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0" w:type="dxa"/>
        <w:tblCellMar>
          <w:top w:w="62" w:type="dxa"/>
          <w:left w:w="119" w:type="dxa"/>
          <w:bottom w:w="62" w:type="dxa"/>
          <w:right w:w="119" w:type="dxa"/>
        </w:tblCellMar>
        <w:tblLook w:val="04A0" w:firstRow="1" w:lastRow="0" w:firstColumn="1" w:lastColumn="0" w:noHBand="0" w:noVBand="1"/>
      </w:tblPr>
      <w:tblGrid>
        <w:gridCol w:w="11050"/>
      </w:tblGrid>
      <w:tr w:rsidR="00C854F6" w:rsidRPr="00EE5EED" w:rsidTr="00376D64">
        <w:trPr>
          <w:trHeight w:val="284"/>
        </w:trPr>
        <w:tc>
          <w:tcPr>
            <w:tcW w:w="11050" w:type="dxa"/>
            <w:vAlign w:val="center"/>
          </w:tcPr>
          <w:p w:rsidR="007A4113" w:rsidRPr="00EE5EED" w:rsidRDefault="0018304E" w:rsidP="007A4113">
            <w:pPr>
              <w:spacing w:line="243" w:lineRule="auto"/>
              <w:jc w:val="center"/>
              <w:rPr>
                <w:rFonts w:cs="Arial"/>
                <w:b/>
                <w:sz w:val="24"/>
                <w:szCs w:val="24"/>
                <w:lang w:val="fr-CA"/>
              </w:rPr>
            </w:pPr>
            <w:bookmarkStart w:id="0" w:name="_Hlk13562358"/>
            <w:r w:rsidRPr="00EE5EED">
              <w:rPr>
                <w:rFonts w:cs="Arial"/>
                <w:b/>
                <w:sz w:val="24"/>
                <w:szCs w:val="24"/>
                <w:lang w:val="fr-CA"/>
              </w:rPr>
              <w:t>COUR SUPÉRIEURE DE JUSTICE DE L’ONTARIO</w:t>
            </w:r>
          </w:p>
          <w:p w:rsidR="007A4113" w:rsidRPr="00EE5EED" w:rsidRDefault="007A4113" w:rsidP="007A4113">
            <w:pPr>
              <w:spacing w:line="243" w:lineRule="auto"/>
              <w:jc w:val="center"/>
              <w:rPr>
                <w:rFonts w:cs="Arial"/>
                <w:b/>
                <w:sz w:val="16"/>
                <w:szCs w:val="16"/>
                <w:lang w:val="fr-CA"/>
              </w:rPr>
            </w:pPr>
          </w:p>
          <w:p w:rsidR="007A4113" w:rsidRPr="00EE5EED" w:rsidRDefault="00EE5EED" w:rsidP="007A4113">
            <w:pPr>
              <w:spacing w:line="243" w:lineRule="auto"/>
              <w:jc w:val="center"/>
              <w:rPr>
                <w:rFonts w:cs="Arial"/>
                <w:b/>
                <w:sz w:val="24"/>
                <w:szCs w:val="24"/>
                <w:lang w:val="fr-CA"/>
              </w:rPr>
            </w:pPr>
            <w:bookmarkStart w:id="1" w:name="_Hlk28851266"/>
            <w:bookmarkStart w:id="2" w:name="_GoBack"/>
            <w:r w:rsidRPr="00EE5EED">
              <w:rPr>
                <w:rFonts w:cs="Arial"/>
                <w:b/>
                <w:sz w:val="24"/>
                <w:szCs w:val="24"/>
                <w:lang w:val="fr-CA"/>
              </w:rPr>
              <w:t>PLAN DE GESTION DU PROCÈS</w:t>
            </w:r>
            <w:r w:rsidR="00C8366D" w:rsidRPr="00EE5EED">
              <w:rPr>
                <w:rFonts w:cs="Arial"/>
                <w:b/>
                <w:sz w:val="24"/>
                <w:szCs w:val="24"/>
                <w:lang w:val="fr-CA"/>
              </w:rPr>
              <w:t xml:space="preserve"> </w:t>
            </w:r>
          </w:p>
          <w:bookmarkEnd w:id="1"/>
          <w:bookmarkEnd w:id="2"/>
          <w:p w:rsidR="00C854F6" w:rsidRPr="00EE5EED" w:rsidRDefault="00EE5EED" w:rsidP="002D27BB">
            <w:pPr>
              <w:spacing w:line="243" w:lineRule="auto"/>
              <w:jc w:val="center"/>
              <w:rPr>
                <w:rFonts w:cs="Arial"/>
                <w:b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b/>
                <w:sz w:val="24"/>
                <w:szCs w:val="24"/>
                <w:lang w:val="fr-CA"/>
              </w:rPr>
              <w:t xml:space="preserve">En vertu de la règle </w:t>
            </w:r>
            <w:r w:rsidR="007A4113" w:rsidRPr="00EE5EED">
              <w:rPr>
                <w:rFonts w:cs="Arial"/>
                <w:b/>
                <w:sz w:val="24"/>
                <w:szCs w:val="24"/>
                <w:lang w:val="fr-CA"/>
              </w:rPr>
              <w:t xml:space="preserve">76 </w:t>
            </w:r>
            <w:r w:rsidR="005F3FBD" w:rsidRPr="00EE5EED">
              <w:rPr>
                <w:rFonts w:cs="Arial"/>
                <w:b/>
                <w:sz w:val="24"/>
                <w:szCs w:val="24"/>
                <w:lang w:val="fr-CA"/>
              </w:rPr>
              <w:t xml:space="preserve">– </w:t>
            </w:r>
            <w:r>
              <w:rPr>
                <w:rFonts w:cs="Arial"/>
                <w:b/>
                <w:sz w:val="24"/>
                <w:szCs w:val="24"/>
                <w:lang w:val="fr-CA"/>
              </w:rPr>
              <w:t xml:space="preserve">Procédure simplifiée </w:t>
            </w:r>
          </w:p>
          <w:p w:rsidR="002D27BB" w:rsidRPr="00EE5EED" w:rsidRDefault="002D27BB" w:rsidP="002D27BB">
            <w:pPr>
              <w:spacing w:line="243" w:lineRule="auto"/>
              <w:jc w:val="center"/>
              <w:rPr>
                <w:rFonts w:cs="Arial"/>
                <w:b/>
                <w:sz w:val="24"/>
                <w:szCs w:val="24"/>
                <w:lang w:val="fr-CA"/>
              </w:rPr>
            </w:pPr>
          </w:p>
        </w:tc>
      </w:tr>
      <w:tr w:rsidR="00C854F6" w:rsidRPr="00EE5EED" w:rsidTr="00376D64">
        <w:trPr>
          <w:trHeight w:val="284"/>
        </w:trPr>
        <w:tc>
          <w:tcPr>
            <w:tcW w:w="11050" w:type="dxa"/>
            <w:vAlign w:val="center"/>
          </w:tcPr>
          <w:p w:rsidR="00C854F6" w:rsidRPr="00EE5EED" w:rsidRDefault="00EE5EED" w:rsidP="00EE5EED">
            <w:pPr>
              <w:spacing w:line="243" w:lineRule="auto"/>
              <w:rPr>
                <w:rFonts w:cs="Arial"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t>N</w:t>
            </w:r>
            <w:r w:rsidRPr="00EE5EED">
              <w:rPr>
                <w:rFonts w:cs="Arial"/>
                <w:sz w:val="24"/>
                <w:szCs w:val="24"/>
                <w:vertAlign w:val="superscript"/>
                <w:lang w:val="fr-CA"/>
              </w:rPr>
              <w:t>o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 de dossier de la Cour </w:t>
            </w:r>
            <w:r w:rsidR="00C854F6" w:rsidRPr="00EE5EED">
              <w:rPr>
                <w:rFonts w:cs="Arial"/>
                <w:sz w:val="24"/>
                <w:szCs w:val="24"/>
                <w:lang w:val="fr-CA"/>
              </w:rPr>
              <w:t xml:space="preserve">: </w:t>
            </w:r>
            <w:bookmarkStart w:id="3" w:name="Text1"/>
            <w:r w:rsidR="0070001B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0001B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70001B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70001B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70001B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70001B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70001B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70001B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70001B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70001B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bookmarkEnd w:id="3"/>
          </w:p>
        </w:tc>
      </w:tr>
      <w:tr w:rsidR="00C854F6" w:rsidRPr="00EE5EED" w:rsidTr="00376D64">
        <w:trPr>
          <w:trHeight w:val="284"/>
        </w:trPr>
        <w:tc>
          <w:tcPr>
            <w:tcW w:w="11050" w:type="dxa"/>
            <w:vAlign w:val="center"/>
          </w:tcPr>
          <w:p w:rsidR="00C854F6" w:rsidRPr="00EE5EED" w:rsidRDefault="00EE5EED" w:rsidP="00EE5EED">
            <w:pPr>
              <w:spacing w:line="243" w:lineRule="auto"/>
              <w:rPr>
                <w:rFonts w:cs="Arial"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t xml:space="preserve">Intitulé du cas </w:t>
            </w:r>
            <w:r w:rsidR="00C854F6" w:rsidRPr="00EE5EED">
              <w:rPr>
                <w:rFonts w:cs="Arial"/>
                <w:sz w:val="24"/>
                <w:szCs w:val="24"/>
                <w:lang w:val="fr-CA"/>
              </w:rPr>
              <w:t xml:space="preserve">: </w:t>
            </w:r>
            <w:r w:rsidR="005F3FBD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5F3FBD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5F3FBD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5F3FBD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5F3FBD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5F3FBD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5F3FBD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5F3FBD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5F3FBD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5F3FBD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</w:p>
        </w:tc>
      </w:tr>
      <w:bookmarkEnd w:id="0"/>
      <w:tr w:rsidR="000A310B" w:rsidRPr="00EE5EED" w:rsidTr="00376D64">
        <w:trPr>
          <w:trHeight w:val="284"/>
        </w:trPr>
        <w:tc>
          <w:tcPr>
            <w:tcW w:w="11050" w:type="dxa"/>
            <w:vAlign w:val="center"/>
          </w:tcPr>
          <w:p w:rsidR="000A310B" w:rsidRPr="00EE5EED" w:rsidRDefault="000A310B" w:rsidP="00C854F6">
            <w:pPr>
              <w:spacing w:line="243" w:lineRule="auto"/>
              <w:rPr>
                <w:rFonts w:cs="Arial"/>
                <w:b/>
                <w:sz w:val="12"/>
                <w:szCs w:val="12"/>
                <w:lang w:val="fr-CA"/>
              </w:rPr>
            </w:pPr>
          </w:p>
        </w:tc>
      </w:tr>
      <w:tr w:rsidR="00C854F6" w:rsidRPr="00EE5EED" w:rsidTr="00376D64">
        <w:trPr>
          <w:trHeight w:val="284"/>
        </w:trPr>
        <w:tc>
          <w:tcPr>
            <w:tcW w:w="11050" w:type="dxa"/>
            <w:vAlign w:val="center"/>
          </w:tcPr>
          <w:p w:rsidR="00BE6DD9" w:rsidRPr="00EE5EED" w:rsidRDefault="00EE5EED" w:rsidP="00EE5EED">
            <w:pPr>
              <w:rPr>
                <w:rFonts w:cs="Arial"/>
                <w:sz w:val="24"/>
                <w:szCs w:val="24"/>
                <w:u w:val="single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t>Je soussigné(e)</w:t>
            </w:r>
            <w:r w:rsidR="00787FFC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787FFC" w:rsidRPr="00EE5EED">
              <w:rPr>
                <w:rFonts w:cs="Arial"/>
                <w:sz w:val="24"/>
                <w:szCs w:val="24"/>
                <w:lang w:val="fr-CA"/>
              </w:rPr>
              <w:t>,</w:t>
            </w:r>
            <w:r w:rsidR="00BE6DD9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E6DD9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DD9"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="00BE6DD9"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="00BE6DD9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="00BE6DD9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cs="Arial"/>
                <w:sz w:val="24"/>
                <w:szCs w:val="24"/>
                <w:lang w:val="fr-CA"/>
              </w:rPr>
              <w:t>partie qui se représente elle-même</w:t>
            </w:r>
            <w:r w:rsidR="00DF6D00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bookmarkStart w:id="4" w:name="_Hlk28849055"/>
            <w:r w:rsidR="00DF6D00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6D00"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="00DF6D00"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="00DF6D00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="00787FFC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bookmarkEnd w:id="4"/>
            <w:r>
              <w:rPr>
                <w:rFonts w:cs="Arial"/>
                <w:sz w:val="24"/>
                <w:szCs w:val="24"/>
                <w:lang w:val="fr-CA"/>
              </w:rPr>
              <w:t>avocat(e) de</w:t>
            </w:r>
            <w:r w:rsidR="00BE6DD9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B27EE5">
              <w:rPr>
                <w:rFonts w:cs="Arial"/>
                <w:sz w:val="24"/>
                <w:szCs w:val="24"/>
                <w:lang w:val="fr-CA"/>
              </w:rPr>
              <w:t xml:space="preserve"> c</w:t>
            </w:r>
            <w:r w:rsidR="00BE6DD9" w:rsidRPr="00EE5EED">
              <w:rPr>
                <w:rFonts w:cs="Arial"/>
                <w:sz w:val="24"/>
                <w:szCs w:val="24"/>
                <w:lang w:val="fr-CA"/>
              </w:rPr>
              <w:t>onfirm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e ce qui suit </w:t>
            </w:r>
            <w:r w:rsidR="00BE6DD9" w:rsidRPr="00EE5EED">
              <w:rPr>
                <w:rFonts w:cs="Arial"/>
                <w:sz w:val="24"/>
                <w:szCs w:val="24"/>
                <w:lang w:val="fr-CA"/>
              </w:rPr>
              <w:t>:</w:t>
            </w:r>
          </w:p>
        </w:tc>
      </w:tr>
      <w:tr w:rsidR="00787FFC" w:rsidRPr="00EE5EED" w:rsidTr="00376D64">
        <w:trPr>
          <w:trHeight w:val="288"/>
        </w:trPr>
        <w:tc>
          <w:tcPr>
            <w:tcW w:w="11050" w:type="dxa"/>
            <w:vAlign w:val="center"/>
          </w:tcPr>
          <w:p w:rsidR="00787FFC" w:rsidRPr="00EE5EED" w:rsidRDefault="00787FFC" w:rsidP="008714AF">
            <w:pPr>
              <w:rPr>
                <w:rFonts w:cs="Arial"/>
                <w:b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EE5EED">
              <w:rPr>
                <w:rFonts w:cs="Arial"/>
                <w:sz w:val="24"/>
                <w:szCs w:val="24"/>
                <w:lang w:val="fr-CA"/>
              </w:rPr>
              <w:t xml:space="preserve">J’ai discuté du plan de gestion du procès avec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, </w:t>
            </w:r>
            <w:r w:rsidR="00EE5EED">
              <w:rPr>
                <w:rFonts w:cs="Arial"/>
                <w:sz w:val="24"/>
                <w:szCs w:val="24"/>
                <w:lang w:val="fr-CA"/>
              </w:rPr>
              <w:t>avocat(e) de la partie adverse/partie qui se représente elle-même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>,</w:t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EE5EED">
              <w:rPr>
                <w:rFonts w:cs="Arial"/>
                <w:sz w:val="24"/>
                <w:szCs w:val="24"/>
                <w:lang w:val="fr-CA"/>
              </w:rPr>
              <w:t xml:space="preserve">et nous </w:t>
            </w:r>
            <w:r w:rsidR="008714AF">
              <w:rPr>
                <w:rFonts w:cs="Arial"/>
                <w:sz w:val="24"/>
                <w:szCs w:val="24"/>
                <w:lang w:val="fr-CA"/>
              </w:rPr>
              <w:t xml:space="preserve">avons </w:t>
            </w:r>
            <w:r w:rsidR="00EE5EED">
              <w:rPr>
                <w:rFonts w:cs="Arial"/>
                <w:sz w:val="24"/>
                <w:szCs w:val="24"/>
                <w:lang w:val="fr-CA"/>
              </w:rPr>
              <w:t xml:space="preserve">convenu de son contenu. </w:t>
            </w:r>
          </w:p>
        </w:tc>
      </w:tr>
      <w:tr w:rsidR="00787FFC" w:rsidRPr="00EE5EED" w:rsidTr="00376D64">
        <w:trPr>
          <w:trHeight w:val="144"/>
        </w:trPr>
        <w:tc>
          <w:tcPr>
            <w:tcW w:w="11050" w:type="dxa"/>
            <w:vAlign w:val="center"/>
          </w:tcPr>
          <w:p w:rsidR="00787FFC" w:rsidRPr="00EE5EED" w:rsidRDefault="00EE5EED" w:rsidP="00C854F6">
            <w:pPr>
              <w:rPr>
                <w:rFonts w:cs="Arial"/>
                <w:b/>
                <w:sz w:val="24"/>
                <w:szCs w:val="24"/>
                <w:lang w:val="fr-CA"/>
              </w:rPr>
            </w:pPr>
            <w:proofErr w:type="gramStart"/>
            <w:r>
              <w:rPr>
                <w:rFonts w:cs="Arial"/>
                <w:b/>
                <w:sz w:val="24"/>
                <w:szCs w:val="24"/>
                <w:lang w:val="fr-CA"/>
              </w:rPr>
              <w:t>ou</w:t>
            </w:r>
            <w:proofErr w:type="gramEnd"/>
          </w:p>
        </w:tc>
      </w:tr>
      <w:tr w:rsidR="00787FFC" w:rsidRPr="00EE5EED" w:rsidTr="00376D64">
        <w:trPr>
          <w:trHeight w:val="288"/>
        </w:trPr>
        <w:tc>
          <w:tcPr>
            <w:tcW w:w="11050" w:type="dxa"/>
            <w:vAlign w:val="center"/>
          </w:tcPr>
          <w:p w:rsidR="00787FFC" w:rsidRPr="00EE5EED" w:rsidRDefault="00787FFC" w:rsidP="008714AF">
            <w:pPr>
              <w:rPr>
                <w:rFonts w:cs="Arial"/>
                <w:b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EE5EED">
              <w:rPr>
                <w:rFonts w:cs="Arial"/>
                <w:sz w:val="24"/>
                <w:szCs w:val="24"/>
                <w:lang w:val="fr-CA"/>
              </w:rPr>
              <w:t xml:space="preserve">Je n’ai pas </w:t>
            </w:r>
            <w:r w:rsidR="008714AF">
              <w:rPr>
                <w:rFonts w:cs="Arial"/>
                <w:sz w:val="24"/>
                <w:szCs w:val="24"/>
                <w:lang w:val="fr-CA"/>
              </w:rPr>
              <w:t xml:space="preserve">pu </w:t>
            </w:r>
            <w:r w:rsidR="00EE5EED">
              <w:rPr>
                <w:rFonts w:cs="Arial"/>
                <w:sz w:val="24"/>
                <w:szCs w:val="24"/>
                <w:lang w:val="fr-CA"/>
              </w:rPr>
              <w:t>discut</w:t>
            </w:r>
            <w:r w:rsidR="008714AF">
              <w:rPr>
                <w:rFonts w:cs="Arial"/>
                <w:sz w:val="24"/>
                <w:szCs w:val="24"/>
                <w:lang w:val="fr-CA"/>
              </w:rPr>
              <w:t>er</w:t>
            </w:r>
            <w:r w:rsidR="00EE5EED">
              <w:rPr>
                <w:rFonts w:cs="Arial"/>
                <w:sz w:val="24"/>
                <w:szCs w:val="24"/>
                <w:lang w:val="fr-CA"/>
              </w:rPr>
              <w:t xml:space="preserve"> du plan de gestion du procès avec </w:t>
            </w:r>
            <w:r w:rsidR="00E911C8">
              <w:rPr>
                <w:rFonts w:cs="Arial"/>
                <w:sz w:val="24"/>
                <w:szCs w:val="24"/>
                <w:lang w:val="fr-CA"/>
              </w:rPr>
              <w:t>l’avocat(e) de la partie adverse/la partie qui se représente elle-même, car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B27EE5">
              <w:rPr>
                <w:rFonts w:cs="Arial"/>
                <w:sz w:val="24"/>
                <w:szCs w:val="24"/>
                <w:lang w:val="fr-CA"/>
              </w:rPr>
              <w:t xml:space="preserve"> e</w:t>
            </w:r>
            <w:r w:rsidR="00E911C8">
              <w:rPr>
                <w:rFonts w:cs="Arial"/>
                <w:sz w:val="24"/>
                <w:szCs w:val="24"/>
                <w:lang w:val="fr-CA"/>
              </w:rPr>
              <w:t>t</w:t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E911C8">
              <w:rPr>
                <w:rFonts w:cs="Arial"/>
                <w:sz w:val="24"/>
                <w:szCs w:val="24"/>
                <w:lang w:val="fr-CA"/>
              </w:rPr>
              <w:t>chaque partie présentera son propre plan de gestion du procès</w:t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>.</w:t>
            </w:r>
          </w:p>
        </w:tc>
      </w:tr>
      <w:tr w:rsidR="00376D64" w:rsidRPr="00EE5EED" w:rsidTr="00376D64">
        <w:trPr>
          <w:trHeight w:val="288"/>
        </w:trPr>
        <w:tc>
          <w:tcPr>
            <w:tcW w:w="11050" w:type="dxa"/>
            <w:vAlign w:val="center"/>
          </w:tcPr>
          <w:p w:rsidR="00376D64" w:rsidRPr="00EE5EED" w:rsidRDefault="00376D64" w:rsidP="00C854F6">
            <w:pPr>
              <w:rPr>
                <w:rFonts w:cs="Arial"/>
                <w:caps/>
                <w:sz w:val="24"/>
                <w:szCs w:val="24"/>
                <w:lang w:val="fr-CA"/>
              </w:rPr>
            </w:pPr>
          </w:p>
        </w:tc>
      </w:tr>
      <w:tr w:rsidR="00376D64" w:rsidRPr="00EE5EED" w:rsidTr="00376D64">
        <w:trPr>
          <w:trHeight w:val="288"/>
        </w:trPr>
        <w:tc>
          <w:tcPr>
            <w:tcW w:w="11050" w:type="dxa"/>
            <w:vAlign w:val="center"/>
          </w:tcPr>
          <w:p w:rsidR="00376D64" w:rsidRPr="00EE5EED" w:rsidRDefault="00E911C8" w:rsidP="00E911C8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LES PARTIES SUIVANTES ONT ÉTÉ REMPLIES ET SONT ANNEXÉES </w:t>
            </w:r>
            <w:r w:rsidR="00376D64"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>:</w:t>
            </w:r>
          </w:p>
        </w:tc>
      </w:tr>
      <w:tr w:rsidR="00376D64" w:rsidRPr="00EE5EED" w:rsidTr="00376D64">
        <w:trPr>
          <w:trHeight w:val="288"/>
        </w:trPr>
        <w:tc>
          <w:tcPr>
            <w:tcW w:w="11050" w:type="dxa"/>
            <w:vAlign w:val="center"/>
          </w:tcPr>
          <w:p w:rsidR="00376D64" w:rsidRPr="00EE5EED" w:rsidRDefault="00376D64" w:rsidP="00FA498E">
            <w:pPr>
              <w:ind w:left="450" w:hanging="450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  <w:t>PART</w:t>
            </w:r>
            <w:r w:rsidR="00E911C8">
              <w:rPr>
                <w:rFonts w:cs="Arial"/>
                <w:sz w:val="24"/>
                <w:szCs w:val="24"/>
                <w:lang w:val="fr-CA"/>
              </w:rPr>
              <w:t>IE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A </w:t>
            </w:r>
            <w:r w:rsidR="005675FB" w:rsidRPr="00EE5EED">
              <w:rPr>
                <w:rFonts w:cs="Arial"/>
                <w:sz w:val="24"/>
                <w:szCs w:val="24"/>
                <w:lang w:val="fr-CA"/>
              </w:rPr>
              <w:t>–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FA498E">
              <w:rPr>
                <w:rFonts w:cs="Arial"/>
                <w:sz w:val="24"/>
                <w:szCs w:val="24"/>
                <w:lang w:val="fr-CA"/>
              </w:rPr>
              <w:t>L</w:t>
            </w:r>
            <w:r w:rsidR="00E911C8" w:rsidRPr="00E911C8">
              <w:rPr>
                <w:rFonts w:cs="Arial"/>
                <w:sz w:val="24"/>
                <w:szCs w:val="24"/>
                <w:lang w:val="fr-CA"/>
              </w:rPr>
              <w:t>iste de tous les témoins, y compris les témoins experts</w:t>
            </w:r>
          </w:p>
        </w:tc>
      </w:tr>
      <w:tr w:rsidR="00376D64" w:rsidRPr="00EE5EED" w:rsidTr="00376D64">
        <w:trPr>
          <w:trHeight w:val="288"/>
        </w:trPr>
        <w:tc>
          <w:tcPr>
            <w:tcW w:w="11050" w:type="dxa"/>
            <w:vAlign w:val="center"/>
          </w:tcPr>
          <w:p w:rsidR="00376D64" w:rsidRPr="00EE5EED" w:rsidRDefault="005675FB" w:rsidP="00E911C8">
            <w:pPr>
              <w:ind w:left="450" w:hanging="450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  <w:t>PART</w:t>
            </w:r>
            <w:r w:rsidR="00E911C8">
              <w:rPr>
                <w:rFonts w:cs="Arial"/>
                <w:sz w:val="24"/>
                <w:szCs w:val="24"/>
                <w:lang w:val="fr-CA"/>
              </w:rPr>
              <w:t>IE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B</w:t>
            </w:r>
            <w:r w:rsidR="00376D64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>–</w:t>
            </w:r>
            <w:r w:rsidR="00376D64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E911C8">
              <w:rPr>
                <w:rFonts w:cs="Arial"/>
                <w:sz w:val="24"/>
                <w:szCs w:val="24"/>
                <w:lang w:val="fr-CA"/>
              </w:rPr>
              <w:t xml:space="preserve">Répartition du temps entre les parties </w:t>
            </w:r>
          </w:p>
        </w:tc>
      </w:tr>
      <w:tr w:rsidR="005675FB" w:rsidRPr="00EE5EED" w:rsidTr="00376D64">
        <w:trPr>
          <w:trHeight w:val="288"/>
        </w:trPr>
        <w:tc>
          <w:tcPr>
            <w:tcW w:w="11050" w:type="dxa"/>
            <w:vAlign w:val="center"/>
          </w:tcPr>
          <w:p w:rsidR="005675FB" w:rsidRPr="00EE5EED" w:rsidRDefault="005675FB" w:rsidP="00E911C8">
            <w:pPr>
              <w:ind w:left="450" w:hanging="450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  <w:t>PART</w:t>
            </w:r>
            <w:r w:rsidR="00E911C8">
              <w:rPr>
                <w:rFonts w:cs="Arial"/>
                <w:sz w:val="24"/>
                <w:szCs w:val="24"/>
                <w:lang w:val="fr-CA"/>
              </w:rPr>
              <w:t>IE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C – </w:t>
            </w:r>
            <w:r w:rsidR="00E911C8">
              <w:rPr>
                <w:rFonts w:cs="Arial"/>
                <w:sz w:val="24"/>
                <w:szCs w:val="24"/>
                <w:lang w:val="fr-CA"/>
              </w:rPr>
              <w:t>Considérations spéciales</w:t>
            </w:r>
          </w:p>
        </w:tc>
      </w:tr>
      <w:tr w:rsidR="008243BD" w:rsidRPr="00EE5EED" w:rsidTr="00376D64">
        <w:trPr>
          <w:trHeight w:val="288"/>
        </w:trPr>
        <w:tc>
          <w:tcPr>
            <w:tcW w:w="11050" w:type="dxa"/>
            <w:vAlign w:val="center"/>
          </w:tcPr>
          <w:p w:rsidR="00727411" w:rsidRPr="00EE5EED" w:rsidRDefault="00727411" w:rsidP="008243BD">
            <w:pPr>
              <w:pBdr>
                <w:bottom w:val="single" w:sz="6" w:space="1" w:color="auto"/>
              </w:pBdr>
              <w:spacing w:after="120"/>
              <w:rPr>
                <w:rFonts w:cs="Arial"/>
                <w:b/>
                <w:sz w:val="24"/>
                <w:szCs w:val="24"/>
                <w:lang w:val="fr-CA"/>
              </w:rPr>
            </w:pPr>
          </w:p>
          <w:p w:rsidR="008243BD" w:rsidRPr="00EE5EED" w:rsidRDefault="009270C2" w:rsidP="008243BD">
            <w:pPr>
              <w:spacing w:after="120"/>
              <w:rPr>
                <w:rFonts w:cs="Arial"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sz w:val="24"/>
                <w:szCs w:val="24"/>
                <w:lang w:val="fr-CA"/>
              </w:rPr>
              <w:t xml:space="preserve">EN VERTU DE LA RÈGLE </w:t>
            </w:r>
            <w:r w:rsidR="008243BD" w:rsidRPr="00EE5EED">
              <w:rPr>
                <w:rFonts w:cs="Arial"/>
                <w:b/>
                <w:sz w:val="24"/>
                <w:szCs w:val="24"/>
                <w:lang w:val="fr-CA"/>
              </w:rPr>
              <w:t>76.10</w:t>
            </w:r>
            <w:r>
              <w:rPr>
                <w:rFonts w:cs="Arial"/>
                <w:b/>
                <w:sz w:val="24"/>
                <w:szCs w:val="24"/>
                <w:lang w:val="fr-CA"/>
              </w:rPr>
              <w:t> </w:t>
            </w:r>
            <w:r w:rsidR="008243BD" w:rsidRPr="00EE5EED">
              <w:rPr>
                <w:rFonts w:cs="Arial"/>
                <w:b/>
                <w:sz w:val="24"/>
                <w:szCs w:val="24"/>
                <w:lang w:val="fr-CA"/>
              </w:rPr>
              <w:t>(4)</w:t>
            </w:r>
            <w:r w:rsidR="008243BD" w:rsidRPr="00EE5EED">
              <w:rPr>
                <w:rFonts w:cs="Arial"/>
                <w:sz w:val="24"/>
                <w:szCs w:val="24"/>
                <w:lang w:val="fr-CA"/>
              </w:rPr>
              <w:t xml:space="preserve">, 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le présent plan de gestion du procès </w:t>
            </w:r>
            <w:r w:rsidRPr="009270C2">
              <w:rPr>
                <w:rFonts w:cs="Arial"/>
                <w:b/>
                <w:sz w:val="24"/>
                <w:szCs w:val="24"/>
                <w:u w:val="single"/>
                <w:lang w:val="fr-CA"/>
              </w:rPr>
              <w:t>doit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 être déposé </w:t>
            </w:r>
            <w:r w:rsidRPr="009270C2">
              <w:rPr>
                <w:rFonts w:cs="Arial"/>
                <w:sz w:val="24"/>
                <w:szCs w:val="24"/>
                <w:lang w:val="fr-CA"/>
              </w:rPr>
              <w:t xml:space="preserve">au moins </w:t>
            </w:r>
            <w:r w:rsidRPr="009270C2">
              <w:rPr>
                <w:rFonts w:cs="Arial"/>
                <w:b/>
                <w:sz w:val="24"/>
                <w:szCs w:val="24"/>
                <w:lang w:val="fr-CA"/>
              </w:rPr>
              <w:t>cinq jours</w:t>
            </w:r>
            <w:r w:rsidRPr="009270C2">
              <w:rPr>
                <w:rFonts w:cs="Arial"/>
                <w:sz w:val="24"/>
                <w:szCs w:val="24"/>
                <w:lang w:val="fr-CA"/>
              </w:rPr>
              <w:t xml:space="preserve"> avant la conférence préparatoire au procès 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prévue, avec les documents suivants </w:t>
            </w:r>
            <w:r w:rsidR="008243BD" w:rsidRPr="00EE5EED">
              <w:rPr>
                <w:rFonts w:cs="Arial"/>
                <w:sz w:val="24"/>
                <w:szCs w:val="24"/>
                <w:lang w:val="fr-CA"/>
              </w:rPr>
              <w:t>:</w:t>
            </w:r>
          </w:p>
          <w:p w:rsidR="008243BD" w:rsidRPr="00EE5EED" w:rsidRDefault="00727411" w:rsidP="00727411">
            <w:pPr>
              <w:spacing w:after="120"/>
              <w:ind w:left="450" w:hanging="450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proofErr w:type="gramStart"/>
            <w:r w:rsidR="006E4812">
              <w:rPr>
                <w:rFonts w:cs="Arial"/>
                <w:sz w:val="24"/>
                <w:szCs w:val="24"/>
                <w:lang w:val="fr-CA"/>
              </w:rPr>
              <w:t>une</w:t>
            </w:r>
            <w:proofErr w:type="gramEnd"/>
            <w:r w:rsidR="006E4812">
              <w:rPr>
                <w:rFonts w:cs="Arial"/>
                <w:sz w:val="24"/>
                <w:szCs w:val="24"/>
                <w:lang w:val="fr-CA"/>
              </w:rPr>
              <w:t xml:space="preserve"> copie de l’affidavit de documents de la partie;</w:t>
            </w:r>
          </w:p>
          <w:p w:rsidR="008243BD" w:rsidRPr="00EE5EED" w:rsidRDefault="00727411" w:rsidP="00727411">
            <w:pPr>
              <w:spacing w:after="120"/>
              <w:ind w:left="450" w:hanging="450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proofErr w:type="gramStart"/>
            <w:r w:rsidR="006E4812" w:rsidRPr="006E4812">
              <w:rPr>
                <w:rFonts w:cs="Arial"/>
                <w:sz w:val="24"/>
                <w:szCs w:val="24"/>
                <w:lang w:val="fr-CA"/>
              </w:rPr>
              <w:t>des</w:t>
            </w:r>
            <w:proofErr w:type="gramEnd"/>
            <w:r w:rsidR="006E4812" w:rsidRPr="006E4812">
              <w:rPr>
                <w:rFonts w:cs="Arial"/>
                <w:sz w:val="24"/>
                <w:szCs w:val="24"/>
                <w:lang w:val="fr-CA"/>
              </w:rPr>
              <w:t xml:space="preserve"> copies des documents sur lesquels </w:t>
            </w:r>
            <w:r w:rsidR="006E4812">
              <w:rPr>
                <w:rFonts w:cs="Arial"/>
                <w:sz w:val="24"/>
                <w:szCs w:val="24"/>
                <w:lang w:val="fr-CA"/>
              </w:rPr>
              <w:t>la partie</w:t>
            </w:r>
            <w:r w:rsidR="006E4812" w:rsidRPr="006E4812">
              <w:rPr>
                <w:rFonts w:cs="Arial"/>
                <w:sz w:val="24"/>
                <w:szCs w:val="24"/>
                <w:lang w:val="fr-CA"/>
              </w:rPr>
              <w:t xml:space="preserve"> appuie sa demande ou sa défense </w:t>
            </w:r>
            <w:r w:rsidR="008243BD" w:rsidRPr="00EE5EED">
              <w:rPr>
                <w:rFonts w:cs="Arial"/>
                <w:sz w:val="24"/>
                <w:szCs w:val="24"/>
                <w:lang w:val="fr-CA"/>
              </w:rPr>
              <w:t>(</w:t>
            </w:r>
            <w:r w:rsidR="006E4812">
              <w:rPr>
                <w:rFonts w:cs="Arial"/>
                <w:sz w:val="24"/>
                <w:szCs w:val="24"/>
                <w:lang w:val="fr-CA"/>
              </w:rPr>
              <w:t xml:space="preserve">généralement </w:t>
            </w:r>
            <w:r w:rsidR="00FA498E">
              <w:rPr>
                <w:rFonts w:cs="Arial"/>
                <w:sz w:val="24"/>
                <w:szCs w:val="24"/>
                <w:lang w:val="fr-CA"/>
              </w:rPr>
              <w:t>annexés à l’exposé des questions en litige de la partie</w:t>
            </w:r>
            <w:r w:rsidR="008243BD" w:rsidRPr="00EE5EED">
              <w:rPr>
                <w:rFonts w:cs="Arial"/>
                <w:sz w:val="24"/>
                <w:szCs w:val="24"/>
                <w:lang w:val="fr-CA"/>
              </w:rPr>
              <w:t>);</w:t>
            </w:r>
          </w:p>
          <w:p w:rsidR="008243BD" w:rsidRPr="00EE5EED" w:rsidRDefault="00727411" w:rsidP="00727411">
            <w:pPr>
              <w:spacing w:after="120"/>
              <w:ind w:left="450" w:hanging="450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proofErr w:type="gramStart"/>
            <w:r w:rsidR="00FA498E">
              <w:rPr>
                <w:rFonts w:cs="Arial"/>
                <w:sz w:val="24"/>
                <w:szCs w:val="24"/>
                <w:lang w:val="fr-CA"/>
              </w:rPr>
              <w:t>une</w:t>
            </w:r>
            <w:proofErr w:type="gramEnd"/>
            <w:r w:rsidR="00FA498E">
              <w:rPr>
                <w:rFonts w:cs="Arial"/>
                <w:sz w:val="24"/>
                <w:szCs w:val="24"/>
                <w:lang w:val="fr-CA"/>
              </w:rPr>
              <w:t xml:space="preserve"> copie </w:t>
            </w:r>
            <w:r w:rsidR="00FA498E" w:rsidRPr="00FA498E">
              <w:rPr>
                <w:rFonts w:cs="Arial"/>
                <w:sz w:val="24"/>
                <w:szCs w:val="24"/>
                <w:lang w:val="fr-CA"/>
              </w:rPr>
              <w:t>des affidavits d’experts, autres que des affidavits d’experts supplémentaires</w:t>
            </w:r>
            <w:r w:rsidR="008243BD" w:rsidRPr="00EE5EED">
              <w:rPr>
                <w:rFonts w:cs="Arial"/>
                <w:sz w:val="24"/>
                <w:szCs w:val="24"/>
                <w:lang w:val="fr-CA"/>
              </w:rPr>
              <w:t>;</w:t>
            </w:r>
          </w:p>
          <w:p w:rsidR="008243BD" w:rsidRPr="00EE5EED" w:rsidRDefault="00727411" w:rsidP="00727411">
            <w:pPr>
              <w:spacing w:after="120"/>
              <w:ind w:left="450" w:hanging="450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proofErr w:type="gramStart"/>
            <w:r w:rsidR="00FA498E" w:rsidRPr="00FA498E">
              <w:rPr>
                <w:rFonts w:cs="Arial"/>
                <w:sz w:val="24"/>
                <w:szCs w:val="24"/>
                <w:lang w:val="fr-CA"/>
              </w:rPr>
              <w:t>tout</w:t>
            </w:r>
            <w:proofErr w:type="gramEnd"/>
            <w:r w:rsidR="00FA498E" w:rsidRPr="00FA498E">
              <w:rPr>
                <w:rFonts w:cs="Arial"/>
                <w:sz w:val="24"/>
                <w:szCs w:val="24"/>
                <w:lang w:val="fr-CA"/>
              </w:rPr>
              <w:t xml:space="preserve"> autre document nécessaire en vue de la conférence</w:t>
            </w:r>
            <w:r w:rsidR="008243BD" w:rsidRPr="00EE5EED">
              <w:rPr>
                <w:rFonts w:cs="Arial"/>
                <w:sz w:val="24"/>
                <w:szCs w:val="24"/>
                <w:lang w:val="fr-CA"/>
              </w:rPr>
              <w:t>;</w:t>
            </w:r>
          </w:p>
          <w:p w:rsidR="008243BD" w:rsidRPr="00EE5EED" w:rsidRDefault="00727411" w:rsidP="00727411">
            <w:pPr>
              <w:spacing w:after="120"/>
              <w:ind w:left="450" w:hanging="450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proofErr w:type="gramStart"/>
            <w:r w:rsidR="00FA498E" w:rsidRPr="00FA498E">
              <w:rPr>
                <w:rFonts w:cs="Arial"/>
                <w:sz w:val="24"/>
                <w:szCs w:val="24"/>
                <w:lang w:val="fr-CA"/>
              </w:rPr>
              <w:t>un</w:t>
            </w:r>
            <w:proofErr w:type="gramEnd"/>
            <w:r w:rsidR="00FA498E" w:rsidRPr="00FA498E">
              <w:rPr>
                <w:rFonts w:cs="Arial"/>
                <w:sz w:val="24"/>
                <w:szCs w:val="24"/>
                <w:lang w:val="fr-CA"/>
              </w:rPr>
              <w:t xml:space="preserve"> exposé</w:t>
            </w:r>
            <w:r w:rsidR="00141684">
              <w:rPr>
                <w:rFonts w:cs="Arial"/>
                <w:sz w:val="24"/>
                <w:szCs w:val="24"/>
                <w:lang w:val="fr-CA"/>
              </w:rPr>
              <w:t>,</w:t>
            </w:r>
            <w:r w:rsidR="00FA498E" w:rsidRPr="00FA498E">
              <w:rPr>
                <w:rFonts w:cs="Arial"/>
                <w:sz w:val="24"/>
                <w:szCs w:val="24"/>
                <w:lang w:val="fr-CA"/>
              </w:rPr>
              <w:t xml:space="preserve"> de </w:t>
            </w:r>
            <w:r w:rsidR="00FA498E">
              <w:rPr>
                <w:rFonts w:cs="Arial"/>
                <w:sz w:val="24"/>
                <w:szCs w:val="24"/>
                <w:lang w:val="fr-CA"/>
              </w:rPr>
              <w:t xml:space="preserve">trois pages </w:t>
            </w:r>
            <w:r w:rsidR="00141684">
              <w:rPr>
                <w:rFonts w:cs="Arial"/>
                <w:sz w:val="24"/>
                <w:szCs w:val="24"/>
                <w:lang w:val="fr-CA"/>
              </w:rPr>
              <w:t xml:space="preserve">au maximum, </w:t>
            </w:r>
            <w:r w:rsidR="00FA498E" w:rsidRPr="00FA498E">
              <w:rPr>
                <w:rFonts w:cs="Arial"/>
                <w:sz w:val="24"/>
                <w:szCs w:val="24"/>
                <w:lang w:val="fr-CA"/>
              </w:rPr>
              <w:t xml:space="preserve">indiquant les questions en litige et précisant </w:t>
            </w:r>
            <w:r w:rsidR="00FA498E">
              <w:rPr>
                <w:rFonts w:cs="Arial"/>
                <w:sz w:val="24"/>
                <w:szCs w:val="24"/>
                <w:lang w:val="fr-CA"/>
              </w:rPr>
              <w:t>l</w:t>
            </w:r>
            <w:r w:rsidR="00FA498E" w:rsidRPr="00FA498E">
              <w:rPr>
                <w:rFonts w:cs="Arial"/>
                <w:sz w:val="24"/>
                <w:szCs w:val="24"/>
                <w:lang w:val="fr-CA"/>
              </w:rPr>
              <w:t xml:space="preserve">a position </w:t>
            </w:r>
            <w:r w:rsidR="00FA498E">
              <w:rPr>
                <w:rFonts w:cs="Arial"/>
                <w:sz w:val="24"/>
                <w:szCs w:val="24"/>
                <w:lang w:val="fr-CA"/>
              </w:rPr>
              <w:t xml:space="preserve">de la partie </w:t>
            </w:r>
            <w:r w:rsidR="00FA498E" w:rsidRPr="00FA498E">
              <w:rPr>
                <w:rFonts w:cs="Arial"/>
                <w:sz w:val="24"/>
                <w:szCs w:val="24"/>
                <w:lang w:val="fr-CA"/>
              </w:rPr>
              <w:t>à l’égard de celles-ci</w:t>
            </w:r>
            <w:r w:rsidR="008243BD" w:rsidRPr="00EE5EED">
              <w:rPr>
                <w:rFonts w:cs="Arial"/>
                <w:sz w:val="24"/>
                <w:szCs w:val="24"/>
                <w:lang w:val="fr-CA"/>
              </w:rPr>
              <w:t xml:space="preserve">; </w:t>
            </w:r>
          </w:p>
          <w:p w:rsidR="0023508B" w:rsidRPr="00EE5EED" w:rsidRDefault="00727411" w:rsidP="00727411">
            <w:pPr>
              <w:spacing w:after="120"/>
              <w:ind w:left="450" w:hanging="450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proofErr w:type="gramStart"/>
            <w:r w:rsidR="00FA498E" w:rsidRPr="00FA498E">
              <w:rPr>
                <w:rFonts w:cs="Arial"/>
                <w:sz w:val="24"/>
                <w:szCs w:val="24"/>
                <w:lang w:val="fr-CA"/>
              </w:rPr>
              <w:t>un</w:t>
            </w:r>
            <w:proofErr w:type="gramEnd"/>
            <w:r w:rsidR="00FA498E" w:rsidRPr="00FA498E">
              <w:rPr>
                <w:rFonts w:cs="Arial"/>
                <w:sz w:val="24"/>
                <w:szCs w:val="24"/>
                <w:lang w:val="fr-CA"/>
              </w:rPr>
              <w:t xml:space="preserve"> aide-mémoire pour la gestion du procès (formule 76D)</w:t>
            </w:r>
            <w:r w:rsidR="0023508B" w:rsidRPr="00EE5EED">
              <w:rPr>
                <w:rFonts w:cs="Arial"/>
                <w:caps/>
                <w:sz w:val="24"/>
                <w:szCs w:val="24"/>
                <w:lang w:val="fr-CA"/>
              </w:rPr>
              <w:t>.</w:t>
            </w:r>
          </w:p>
        </w:tc>
      </w:tr>
      <w:tr w:rsidR="008243BD" w:rsidRPr="00EE5EED" w:rsidTr="00376D64">
        <w:trPr>
          <w:trHeight w:val="288"/>
        </w:trPr>
        <w:tc>
          <w:tcPr>
            <w:tcW w:w="11050" w:type="dxa"/>
            <w:vAlign w:val="center"/>
          </w:tcPr>
          <w:p w:rsidR="008243BD" w:rsidRPr="00EE5EED" w:rsidRDefault="008243BD" w:rsidP="007E7D6B">
            <w:pPr>
              <w:pBdr>
                <w:bottom w:val="single" w:sz="6" w:space="1" w:color="auto"/>
              </w:pBdr>
              <w:spacing w:after="120"/>
              <w:ind w:left="450" w:hanging="450"/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5A0124" w:rsidRPr="00EE5EED" w:rsidRDefault="00FA498E" w:rsidP="00FA498E">
            <w:pPr>
              <w:spacing w:after="120"/>
              <w:rPr>
                <w:rFonts w:cs="Arial"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sz w:val="24"/>
                <w:szCs w:val="24"/>
                <w:lang w:val="fr-CA"/>
              </w:rPr>
              <w:t xml:space="preserve">AVIS AUX </w:t>
            </w:r>
            <w:r w:rsidR="007E7D6B" w:rsidRPr="00EE5EED">
              <w:rPr>
                <w:rFonts w:cs="Arial"/>
                <w:b/>
                <w:sz w:val="24"/>
                <w:szCs w:val="24"/>
                <w:lang w:val="fr-CA"/>
              </w:rPr>
              <w:t>PARTIES</w:t>
            </w:r>
            <w:r>
              <w:rPr>
                <w:rFonts w:cs="Arial"/>
                <w:b/>
                <w:sz w:val="24"/>
                <w:szCs w:val="24"/>
                <w:lang w:val="fr-CA"/>
              </w:rPr>
              <w:t xml:space="preserve"> </w:t>
            </w:r>
            <w:r w:rsidR="007E7D6B" w:rsidRPr="00EE5EED">
              <w:rPr>
                <w:rFonts w:cs="Arial"/>
                <w:sz w:val="24"/>
                <w:szCs w:val="24"/>
                <w:lang w:val="fr-CA"/>
              </w:rPr>
              <w:t xml:space="preserve">: 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La durée totale du procès ne peut pas dépasser cinq jours, y compris les exposés introductifs, la présentation de la preuve, les contre-interrogatoires, les </w:t>
            </w:r>
            <w:proofErr w:type="spellStart"/>
            <w:r>
              <w:rPr>
                <w:rFonts w:cs="Arial"/>
                <w:sz w:val="24"/>
                <w:szCs w:val="24"/>
                <w:lang w:val="fr-CA"/>
              </w:rPr>
              <w:t>réinterrogatoires</w:t>
            </w:r>
            <w:proofErr w:type="spellEnd"/>
            <w:r>
              <w:rPr>
                <w:rFonts w:cs="Arial"/>
                <w:sz w:val="24"/>
                <w:szCs w:val="24"/>
                <w:lang w:val="fr-CA"/>
              </w:rPr>
              <w:t xml:space="preserve"> et les plaidoiries de </w:t>
            </w:r>
            <w:r w:rsidRPr="00FA498E">
              <w:rPr>
                <w:rFonts w:cs="Arial"/>
                <w:b/>
                <w:sz w:val="24"/>
                <w:szCs w:val="24"/>
                <w:u w:val="single"/>
                <w:lang w:val="fr-CA"/>
              </w:rPr>
              <w:t>toutes les parties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7E7D6B" w:rsidRPr="00EE5EED">
              <w:rPr>
                <w:rFonts w:cs="Arial"/>
                <w:sz w:val="24"/>
                <w:szCs w:val="24"/>
                <w:lang w:val="fr-CA"/>
              </w:rPr>
              <w:t>(</w:t>
            </w:r>
            <w:r>
              <w:rPr>
                <w:rFonts w:cs="Arial"/>
                <w:sz w:val="24"/>
                <w:szCs w:val="24"/>
                <w:lang w:val="fr-CA"/>
              </w:rPr>
              <w:t>règle</w:t>
            </w:r>
            <w:r w:rsidR="007E7D6B" w:rsidRPr="00EE5EED">
              <w:rPr>
                <w:rFonts w:cs="Arial"/>
                <w:sz w:val="24"/>
                <w:szCs w:val="24"/>
                <w:lang w:val="fr-CA"/>
              </w:rPr>
              <w:t xml:space="preserve"> 76.10(2)). 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En général, le tribunal siège cinq heures par jour, ce qui signifie que le nombre total d’heures du procès ne doit pas dépasser 25 heures. </w:t>
            </w:r>
          </w:p>
        </w:tc>
      </w:tr>
    </w:tbl>
    <w:p w:rsidR="00376D64" w:rsidRPr="00EE5EED" w:rsidRDefault="00376D64">
      <w:pPr>
        <w:rPr>
          <w:lang w:val="fr-CA"/>
        </w:rPr>
      </w:pPr>
      <w:r w:rsidRPr="00EE5EED">
        <w:rPr>
          <w:lang w:val="fr-CA"/>
        </w:rPr>
        <w:br w:type="page"/>
      </w:r>
    </w:p>
    <w:tbl>
      <w:tblPr>
        <w:tblW w:w="11050" w:type="dxa"/>
        <w:tblCellMar>
          <w:top w:w="62" w:type="dxa"/>
          <w:left w:w="119" w:type="dxa"/>
          <w:bottom w:w="62" w:type="dxa"/>
          <w:right w:w="119" w:type="dxa"/>
        </w:tblCellMar>
        <w:tblLook w:val="04A0" w:firstRow="1" w:lastRow="0" w:firstColumn="1" w:lastColumn="0" w:noHBand="0" w:noVBand="1"/>
      </w:tblPr>
      <w:tblGrid>
        <w:gridCol w:w="11"/>
        <w:gridCol w:w="4166"/>
        <w:gridCol w:w="362"/>
        <w:gridCol w:w="6511"/>
      </w:tblGrid>
      <w:tr w:rsidR="007A4113" w:rsidRPr="00EE5EED" w:rsidTr="00376D64">
        <w:trPr>
          <w:trHeight w:val="288"/>
        </w:trPr>
        <w:tc>
          <w:tcPr>
            <w:tcW w:w="11050" w:type="dxa"/>
            <w:gridSpan w:val="4"/>
            <w:vAlign w:val="center"/>
          </w:tcPr>
          <w:p w:rsidR="009006C9" w:rsidRPr="00EE5EED" w:rsidRDefault="009006C9" w:rsidP="007A4113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  <w:p w:rsidR="007A4113" w:rsidRPr="00EE5EED" w:rsidRDefault="007A4113" w:rsidP="007A4113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b/>
                <w:caps/>
                <w:sz w:val="24"/>
                <w:szCs w:val="24"/>
                <w:u w:val="single"/>
                <w:lang w:val="fr-CA"/>
              </w:rPr>
              <w:t>Part</w:t>
            </w:r>
            <w:r w:rsidR="00FA498E">
              <w:rPr>
                <w:rFonts w:cs="Arial"/>
                <w:b/>
                <w:caps/>
                <w:sz w:val="24"/>
                <w:szCs w:val="24"/>
                <w:u w:val="single"/>
                <w:lang w:val="fr-CA"/>
              </w:rPr>
              <w:t>IE</w:t>
            </w:r>
            <w:r w:rsidRPr="00EE5EED">
              <w:rPr>
                <w:rFonts w:cs="Arial"/>
                <w:b/>
                <w:caps/>
                <w:sz w:val="24"/>
                <w:szCs w:val="24"/>
                <w:u w:val="single"/>
                <w:lang w:val="fr-CA"/>
              </w:rPr>
              <w:t xml:space="preserve"> A</w:t>
            </w:r>
            <w:r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 – </w:t>
            </w:r>
            <w:r w:rsidR="00F05130" w:rsidRPr="00EE5EED">
              <w:rPr>
                <w:rFonts w:cs="Arial"/>
                <w:b/>
                <w:sz w:val="24"/>
                <w:szCs w:val="24"/>
                <w:lang w:val="fr-CA"/>
              </w:rPr>
              <w:t>List</w:t>
            </w:r>
            <w:r w:rsidR="00FA498E">
              <w:rPr>
                <w:rFonts w:cs="Arial"/>
                <w:b/>
                <w:sz w:val="24"/>
                <w:szCs w:val="24"/>
                <w:lang w:val="fr-CA"/>
              </w:rPr>
              <w:t xml:space="preserve">e de tous les témoins </w:t>
            </w:r>
            <w:r w:rsidR="00F05130" w:rsidRPr="00EE5EED">
              <w:rPr>
                <w:rFonts w:cs="Arial"/>
                <w:b/>
                <w:sz w:val="24"/>
                <w:szCs w:val="24"/>
                <w:lang w:val="fr-CA"/>
              </w:rPr>
              <w:t>(</w:t>
            </w:r>
            <w:r w:rsidR="008E030D">
              <w:rPr>
                <w:rFonts w:cs="Arial"/>
                <w:b/>
                <w:sz w:val="24"/>
                <w:szCs w:val="24"/>
                <w:lang w:val="fr-CA"/>
              </w:rPr>
              <w:t>les personnes qui ont déposé un affidavit sous serment ou affirmation solennelle</w:t>
            </w:r>
            <w:r w:rsidR="00F05130" w:rsidRPr="00EE5EED">
              <w:rPr>
                <w:rFonts w:cs="Arial"/>
                <w:b/>
                <w:sz w:val="24"/>
                <w:szCs w:val="24"/>
                <w:lang w:val="fr-CA"/>
              </w:rPr>
              <w:t xml:space="preserve">), </w:t>
            </w:r>
            <w:r w:rsidR="00FA498E" w:rsidRPr="00FA498E">
              <w:rPr>
                <w:rFonts w:cs="Arial"/>
                <w:b/>
                <w:sz w:val="24"/>
                <w:szCs w:val="24"/>
                <w:lang w:val="fr-CA"/>
              </w:rPr>
              <w:t>y compris les témoins experts</w:t>
            </w:r>
          </w:p>
          <w:p w:rsidR="007A4113" w:rsidRPr="00EE5EED" w:rsidRDefault="007A4113" w:rsidP="007A4113">
            <w:pPr>
              <w:ind w:left="360"/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7A4113" w:rsidRPr="00EE5EED" w:rsidRDefault="008E030D" w:rsidP="008E030D">
            <w:pPr>
              <w:numPr>
                <w:ilvl w:val="0"/>
                <w:numId w:val="8"/>
              </w:num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TÉMOINS À L’APPUI DE LA POSITION DU DEMANDEUR </w:t>
            </w:r>
          </w:p>
        </w:tc>
      </w:tr>
      <w:tr w:rsidR="007A4113" w:rsidRPr="00EE5EED" w:rsidTr="00376D64">
        <w:trPr>
          <w:trHeight w:val="288"/>
        </w:trPr>
        <w:tc>
          <w:tcPr>
            <w:tcW w:w="11050" w:type="dxa"/>
            <w:gridSpan w:val="4"/>
            <w:vAlign w:val="center"/>
          </w:tcPr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2"/>
              <w:gridCol w:w="2263"/>
              <w:gridCol w:w="1647"/>
              <w:gridCol w:w="1647"/>
              <w:gridCol w:w="1928"/>
              <w:gridCol w:w="943"/>
            </w:tblGrid>
            <w:tr w:rsidR="008E030D" w:rsidRPr="00EE5EED" w:rsidTr="0039228C"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9228C" w:rsidRPr="00EE5EED" w:rsidRDefault="0039228C" w:rsidP="0039228C">
                  <w:pPr>
                    <w:pStyle w:val="BodyText"/>
                    <w:spacing w:before="40" w:after="40"/>
                    <w:rPr>
                      <w:rFonts w:ascii="Calibri" w:hAnsi="Calibri" w:cs="Calibri"/>
                      <w:b/>
                      <w:szCs w:val="22"/>
                      <w:lang w:val="fr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pStyle w:val="BodyText"/>
                    <w:spacing w:before="40" w:after="40"/>
                    <w:rPr>
                      <w:rFonts w:ascii="Calibri" w:hAnsi="Calibri" w:cs="Calibri"/>
                      <w:b/>
                      <w:szCs w:val="22"/>
                      <w:lang w:val="fr-CA"/>
                    </w:rPr>
                  </w:pPr>
                </w:p>
              </w:tc>
              <w:tc>
                <w:tcPr>
                  <w:tcW w:w="4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8E030D" w:rsidP="008E030D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 xml:space="preserve">Durée estimative </w:t>
                  </w:r>
                  <w:r w:rsidR="0039228C" w:rsidRPr="00EE5EED">
                    <w:rPr>
                      <w:rFonts w:cs="Arial"/>
                      <w:b/>
                      <w:szCs w:val="22"/>
                      <w:lang w:val="fr-CA"/>
                    </w:rPr>
                    <w:t>(minutes)</w:t>
                  </w:r>
                </w:p>
              </w:tc>
            </w:tr>
            <w:tr w:rsidR="008E030D" w:rsidRPr="00EE5EED" w:rsidTr="0039228C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8E030D" w:rsidP="008E030D">
                  <w:pPr>
                    <w:pStyle w:val="BodyText"/>
                    <w:spacing w:before="40" w:after="40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 xml:space="preserve">Nom du témoin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8E030D" w:rsidP="008E030D">
                  <w:pPr>
                    <w:pStyle w:val="BodyText"/>
                    <w:spacing w:before="40" w:after="40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 xml:space="preserve">Rapport avec les questions en litige 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8E030D" w:rsidP="008E030D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>Interrogatoire principal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8E030D" w:rsidP="008E030D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>Contre-interrogatoire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8E030D" w:rsidP="00630637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proofErr w:type="spellStart"/>
                  <w:r>
                    <w:rPr>
                      <w:rFonts w:cs="Arial"/>
                      <w:b/>
                      <w:szCs w:val="22"/>
                      <w:lang w:val="fr-CA"/>
                    </w:rPr>
                    <w:t>Réinterrogatoire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228C" w:rsidRPr="00EE5EED" w:rsidRDefault="0039228C" w:rsidP="0039228C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b/>
                      <w:szCs w:val="22"/>
                      <w:lang w:val="fr-CA"/>
                    </w:rPr>
                    <w:t>Total</w:t>
                  </w:r>
                </w:p>
              </w:tc>
            </w:tr>
            <w:tr w:rsidR="008E030D" w:rsidRPr="00EE5EED" w:rsidTr="0039228C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8E030D" w:rsidRPr="00EE5EED" w:rsidTr="0039228C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8E030D" w:rsidRPr="00EE5EED" w:rsidTr="0039228C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8E030D" w:rsidRPr="00EE5EED" w:rsidTr="0039228C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228C" w:rsidRPr="00EE5EED" w:rsidRDefault="0039228C" w:rsidP="0039228C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8E030D" w:rsidRPr="00EE5EED" w:rsidTr="0039228C">
              <w:tc>
                <w:tcPr>
                  <w:tcW w:w="93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8E030D" w:rsidP="008E030D">
                  <w:pPr>
                    <w:pStyle w:val="BodyText"/>
                    <w:spacing w:before="80" w:after="80"/>
                    <w:jc w:val="right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>Durée totale pour le(s) demandeur</w:t>
                  </w:r>
                  <w:r w:rsidR="0039228C" w:rsidRPr="00EE5EED">
                    <w:rPr>
                      <w:rFonts w:cs="Arial"/>
                      <w:b/>
                      <w:szCs w:val="22"/>
                      <w:lang w:val="fr-CA"/>
                    </w:rPr>
                    <w:t>(s)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228C" w:rsidRPr="00EE5EED" w:rsidRDefault="0039228C" w:rsidP="0039228C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</w:p>
              </w:tc>
            </w:tr>
          </w:tbl>
          <w:p w:rsidR="009006C9" w:rsidRPr="00EE5EED" w:rsidRDefault="009006C9" w:rsidP="009006C9">
            <w:pPr>
              <w:ind w:left="720"/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  <w:p w:rsidR="008960E0" w:rsidRPr="00EE5EED" w:rsidRDefault="008960E0" w:rsidP="009006C9">
            <w:pPr>
              <w:ind w:left="720"/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  <w:p w:rsidR="007A4113" w:rsidRPr="00EE5EED" w:rsidRDefault="008E030D" w:rsidP="008E030D">
            <w:pPr>
              <w:numPr>
                <w:ilvl w:val="0"/>
                <w:numId w:val="8"/>
              </w:numPr>
              <w:rPr>
                <w:rFonts w:cs="Arial"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caps/>
                <w:sz w:val="24"/>
                <w:szCs w:val="24"/>
                <w:lang w:val="fr-CA"/>
              </w:rPr>
              <w:t>TÉMOINS À L’APPUI DE LA POSITION DU DÉFENDEUR</w:t>
            </w:r>
            <w:r w:rsidR="002E37DA" w:rsidRPr="00EE5EED">
              <w:rPr>
                <w:rFonts w:cs="Arial"/>
                <w:caps/>
                <w:sz w:val="24"/>
                <w:szCs w:val="24"/>
                <w:lang w:val="fr-CA"/>
              </w:rPr>
              <w:t xml:space="preserve"> </w:t>
            </w:r>
            <w:r w:rsidR="00826FB1" w:rsidRPr="00EE5EED">
              <w:rPr>
                <w:rFonts w:cs="Arial"/>
                <w:caps/>
                <w:sz w:val="24"/>
                <w:szCs w:val="24"/>
                <w:lang w:val="fr-CA"/>
              </w:rPr>
              <w:br/>
            </w:r>
            <w:r w:rsidR="00826FB1" w:rsidRPr="00EE5EED">
              <w:rPr>
                <w:rFonts w:cs="Arial"/>
                <w:i/>
                <w:szCs w:val="24"/>
                <w:lang w:val="fr-CA"/>
              </w:rPr>
              <w:t>(</w:t>
            </w:r>
            <w:r>
              <w:rPr>
                <w:rFonts w:cs="Arial"/>
                <w:i/>
                <w:szCs w:val="24"/>
                <w:lang w:val="fr-CA"/>
              </w:rPr>
              <w:t>Ajouter des pages s’il y a plus d’un défendeur</w:t>
            </w:r>
            <w:r w:rsidR="00826FB1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</w:tc>
      </w:tr>
      <w:tr w:rsidR="007A4113" w:rsidRPr="00EE5EED" w:rsidTr="00376D64">
        <w:trPr>
          <w:trHeight w:val="227"/>
        </w:trPr>
        <w:tc>
          <w:tcPr>
            <w:tcW w:w="11050" w:type="dxa"/>
            <w:gridSpan w:val="4"/>
            <w:vAlign w:val="center"/>
          </w:tcPr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2"/>
              <w:gridCol w:w="2263"/>
              <w:gridCol w:w="1647"/>
              <w:gridCol w:w="1647"/>
              <w:gridCol w:w="1928"/>
              <w:gridCol w:w="943"/>
            </w:tblGrid>
            <w:tr w:rsidR="008960E0" w:rsidRPr="00EE5EED" w:rsidTr="00B750B6"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960E0" w:rsidRPr="00EE5EED" w:rsidRDefault="008960E0" w:rsidP="008960E0">
                  <w:pPr>
                    <w:pStyle w:val="BodyText"/>
                    <w:spacing w:before="40" w:after="40"/>
                    <w:rPr>
                      <w:rFonts w:ascii="Calibri" w:hAnsi="Calibri" w:cs="Calibri"/>
                      <w:b/>
                      <w:szCs w:val="22"/>
                      <w:lang w:val="fr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pStyle w:val="BodyText"/>
                    <w:spacing w:before="40" w:after="40"/>
                    <w:rPr>
                      <w:rFonts w:ascii="Calibri" w:hAnsi="Calibri" w:cs="Calibri"/>
                      <w:b/>
                      <w:szCs w:val="22"/>
                      <w:lang w:val="fr-CA"/>
                    </w:rPr>
                  </w:pPr>
                </w:p>
              </w:tc>
              <w:tc>
                <w:tcPr>
                  <w:tcW w:w="4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E030D" w:rsidP="008960E0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 xml:space="preserve">Durée estimative </w:t>
                  </w:r>
                  <w:r w:rsidRPr="00EE5EED">
                    <w:rPr>
                      <w:rFonts w:cs="Arial"/>
                      <w:b/>
                      <w:szCs w:val="22"/>
                      <w:lang w:val="fr-CA"/>
                    </w:rPr>
                    <w:t>(minutes)</w:t>
                  </w:r>
                </w:p>
              </w:tc>
            </w:tr>
            <w:tr w:rsidR="008E030D" w:rsidRPr="00EE5EED" w:rsidTr="00B750B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 xml:space="preserve">Nom du témoin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 xml:space="preserve">Rapport avec les questions en litige 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>Interrogatoire principal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>Contre-interrogatoire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proofErr w:type="spellStart"/>
                  <w:r>
                    <w:rPr>
                      <w:rFonts w:cs="Arial"/>
                      <w:b/>
                      <w:szCs w:val="22"/>
                      <w:lang w:val="fr-CA"/>
                    </w:rPr>
                    <w:t>R</w:t>
                  </w:r>
                  <w:r w:rsidR="00630637">
                    <w:rPr>
                      <w:rFonts w:cs="Arial"/>
                      <w:b/>
                      <w:szCs w:val="22"/>
                      <w:lang w:val="fr-CA"/>
                    </w:rPr>
                    <w:t>é</w:t>
                  </w:r>
                  <w:r>
                    <w:rPr>
                      <w:rFonts w:cs="Arial"/>
                      <w:b/>
                      <w:szCs w:val="22"/>
                      <w:lang w:val="fr-CA"/>
                    </w:rPr>
                    <w:t>interrogatoire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b/>
                      <w:szCs w:val="22"/>
                      <w:lang w:val="fr-CA"/>
                    </w:rPr>
                    <w:t>Total</w:t>
                  </w:r>
                </w:p>
              </w:tc>
            </w:tr>
            <w:tr w:rsidR="008960E0" w:rsidRPr="00EE5EED" w:rsidTr="00B750B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8960E0" w:rsidRPr="00EE5EED" w:rsidTr="00B750B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8960E0" w:rsidRPr="00EE5EED" w:rsidTr="00B750B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8960E0" w:rsidRPr="00EE5EED" w:rsidTr="00B750B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960E0" w:rsidRPr="00EE5EED" w:rsidRDefault="008960E0" w:rsidP="008960E0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8960E0" w:rsidRPr="00EE5EED" w:rsidTr="00B750B6">
              <w:tc>
                <w:tcPr>
                  <w:tcW w:w="93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E030D" w:rsidP="008E030D">
                  <w:pPr>
                    <w:pStyle w:val="BodyText"/>
                    <w:spacing w:before="80" w:after="80"/>
                    <w:jc w:val="right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>Durée totale pour le(s) défendeur</w:t>
                  </w:r>
                  <w:r w:rsidR="008960E0" w:rsidRPr="00EE5EED">
                    <w:rPr>
                      <w:rFonts w:cs="Arial"/>
                      <w:b/>
                      <w:szCs w:val="22"/>
                      <w:lang w:val="fr-CA"/>
                    </w:rPr>
                    <w:t>(s)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60E0" w:rsidRPr="00EE5EED" w:rsidRDefault="008960E0" w:rsidP="008960E0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</w:p>
              </w:tc>
            </w:tr>
          </w:tbl>
          <w:p w:rsidR="009006C9" w:rsidRPr="00EE5EED" w:rsidRDefault="009006C9" w:rsidP="009006C9">
            <w:pPr>
              <w:ind w:left="720"/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7A4113" w:rsidRPr="00EE5EED" w:rsidRDefault="008E030D" w:rsidP="008E030D">
            <w:pPr>
              <w:numPr>
                <w:ilvl w:val="0"/>
                <w:numId w:val="8"/>
              </w:numPr>
              <w:spacing w:after="120"/>
              <w:rPr>
                <w:rFonts w:cs="Arial"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TÉMOINS À L’APPUI d’UNE </w:t>
            </w:r>
            <w:r w:rsidRPr="008E030D"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mise en cause ou </w:t>
            </w:r>
            <w:r>
              <w:rPr>
                <w:rFonts w:cs="Arial"/>
                <w:b/>
                <w:caps/>
                <w:sz w:val="24"/>
                <w:szCs w:val="24"/>
                <w:lang w:val="fr-CA"/>
              </w:rPr>
              <w:t>D’</w:t>
            </w:r>
            <w:r w:rsidRPr="008E030D"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une mise en cause subséquente </w:t>
            </w:r>
            <w:r w:rsidR="00520272"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>(</w:t>
            </w:r>
            <w:r>
              <w:rPr>
                <w:rFonts w:cs="Arial"/>
                <w:b/>
                <w:sz w:val="24"/>
                <w:szCs w:val="24"/>
                <w:lang w:val="fr-CA"/>
              </w:rPr>
              <w:t>le cas échéant</w:t>
            </w:r>
            <w:r w:rsidR="00520272"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>)</w:t>
            </w:r>
            <w:r w:rsidR="00664E0B" w:rsidRPr="00EE5EED">
              <w:rPr>
                <w:rFonts w:cs="Arial"/>
                <w:caps/>
                <w:sz w:val="24"/>
                <w:szCs w:val="24"/>
                <w:lang w:val="fr-CA"/>
              </w:rPr>
              <w:t xml:space="preserve"> </w:t>
            </w:r>
            <w:r w:rsidR="00826FB1" w:rsidRPr="00EE5EED">
              <w:rPr>
                <w:rFonts w:cs="Arial"/>
                <w:caps/>
                <w:sz w:val="24"/>
                <w:szCs w:val="24"/>
                <w:lang w:val="fr-CA"/>
              </w:rPr>
              <w:br/>
            </w:r>
            <w:r w:rsidR="00826FB1" w:rsidRPr="00EE5EED">
              <w:rPr>
                <w:rFonts w:cs="Arial"/>
                <w:i/>
                <w:caps/>
                <w:szCs w:val="24"/>
                <w:lang w:val="fr-CA"/>
              </w:rPr>
              <w:t>(</w:t>
            </w:r>
            <w:r>
              <w:rPr>
                <w:rFonts w:cs="Arial"/>
                <w:i/>
                <w:szCs w:val="24"/>
                <w:lang w:val="fr-CA"/>
              </w:rPr>
              <w:t xml:space="preserve">Ajouter des pages s’il y a plus </w:t>
            </w:r>
            <w:r w:rsidR="00630637">
              <w:rPr>
                <w:rFonts w:cs="Arial"/>
                <w:i/>
                <w:szCs w:val="24"/>
                <w:lang w:val="fr-CA"/>
              </w:rPr>
              <w:t xml:space="preserve">d’une </w:t>
            </w:r>
            <w:r>
              <w:rPr>
                <w:rFonts w:cs="Arial"/>
                <w:i/>
                <w:szCs w:val="24"/>
                <w:lang w:val="fr-CA"/>
              </w:rPr>
              <w:t>mise en cause subséquente</w:t>
            </w:r>
            <w:r w:rsidR="00826FB1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  <w:tbl>
            <w:tblPr>
              <w:tblW w:w="10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2"/>
              <w:gridCol w:w="2263"/>
              <w:gridCol w:w="1647"/>
              <w:gridCol w:w="1647"/>
              <w:gridCol w:w="1928"/>
              <w:gridCol w:w="943"/>
            </w:tblGrid>
            <w:tr w:rsidR="00A5638E" w:rsidRPr="00EE5EED" w:rsidTr="00B750B6">
              <w:tc>
                <w:tcPr>
                  <w:tcW w:w="2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5638E" w:rsidRPr="00EE5EED" w:rsidRDefault="00A5638E" w:rsidP="00A5638E">
                  <w:pPr>
                    <w:pStyle w:val="BodyText"/>
                    <w:spacing w:before="40" w:after="40"/>
                    <w:rPr>
                      <w:rFonts w:ascii="Calibri" w:hAnsi="Calibri" w:cs="Calibri"/>
                      <w:b/>
                      <w:szCs w:val="22"/>
                      <w:lang w:val="fr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pStyle w:val="BodyText"/>
                    <w:spacing w:before="40" w:after="40"/>
                    <w:rPr>
                      <w:rFonts w:ascii="Calibri" w:hAnsi="Calibri" w:cs="Calibri"/>
                      <w:b/>
                      <w:szCs w:val="22"/>
                      <w:lang w:val="fr-CA"/>
                    </w:rPr>
                  </w:pPr>
                </w:p>
              </w:tc>
              <w:tc>
                <w:tcPr>
                  <w:tcW w:w="459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8E030D" w:rsidP="00A5638E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 xml:space="preserve">Durée estimative </w:t>
                  </w:r>
                  <w:r w:rsidRPr="00EE5EED">
                    <w:rPr>
                      <w:rFonts w:cs="Arial"/>
                      <w:b/>
                      <w:szCs w:val="22"/>
                      <w:lang w:val="fr-CA"/>
                    </w:rPr>
                    <w:t>(minutes)</w:t>
                  </w:r>
                </w:p>
              </w:tc>
            </w:tr>
            <w:tr w:rsidR="008E030D" w:rsidRPr="00EE5EED" w:rsidTr="00B750B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 xml:space="preserve">Nom du témoin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 xml:space="preserve">Rapport avec les questions en litige </w:t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>Interrogatoire principal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>Contre-interrogatoire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E030D" w:rsidRPr="00EE5EED" w:rsidRDefault="008E030D" w:rsidP="00630637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proofErr w:type="spellStart"/>
                  <w:r>
                    <w:rPr>
                      <w:rFonts w:cs="Arial"/>
                      <w:b/>
                      <w:szCs w:val="22"/>
                      <w:lang w:val="fr-CA"/>
                    </w:rPr>
                    <w:t>Réinterrogatoire</w:t>
                  </w:r>
                  <w:proofErr w:type="spellEnd"/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E030D" w:rsidRPr="00EE5EED" w:rsidRDefault="008E030D" w:rsidP="00607033">
                  <w:pPr>
                    <w:pStyle w:val="BodyText"/>
                    <w:spacing w:before="40" w:after="40"/>
                    <w:jc w:val="center"/>
                    <w:rPr>
                      <w:rFonts w:cs="Arial"/>
                      <w:b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b/>
                      <w:szCs w:val="22"/>
                      <w:lang w:val="fr-CA"/>
                    </w:rPr>
                    <w:t>Total</w:t>
                  </w:r>
                </w:p>
              </w:tc>
            </w:tr>
            <w:tr w:rsidR="00A5638E" w:rsidRPr="00EE5EED" w:rsidTr="00B750B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A5638E" w:rsidRPr="00EE5EED" w:rsidTr="00B750B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A5638E" w:rsidRPr="00EE5EED" w:rsidTr="00B750B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A5638E" w:rsidRPr="00EE5EED" w:rsidTr="00B750B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default w:val="                                            "/>
                          <w:maxLength w:val="45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u w:val="single"/>
                      <w:lang w:val="fr-CA"/>
                    </w:rPr>
                    <w:t xml:space="preserve">                                            </w:t>
                  </w:r>
                  <w:r w:rsidRPr="00EE5EED">
                    <w:rPr>
                      <w:rFonts w:cs="Arial"/>
                      <w:sz w:val="24"/>
                      <w:szCs w:val="24"/>
                      <w:u w:val="single"/>
                      <w:lang w:val="fr-CA"/>
                    </w:rPr>
                    <w:fldChar w:fldCharType="end"/>
                  </w: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  <w:r w:rsidRPr="00EE5EED">
                    <w:rPr>
                      <w:rFonts w:cs="Arial"/>
                      <w:szCs w:val="22"/>
                      <w:lang w:val="fr-CA"/>
                    </w:rPr>
                    <w:t>Affidavit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638E" w:rsidRPr="00EE5EED" w:rsidRDefault="00A5638E" w:rsidP="00A5638E">
                  <w:pPr>
                    <w:spacing w:before="80" w:after="80"/>
                    <w:jc w:val="center"/>
                    <w:rPr>
                      <w:lang w:val="fr-CA"/>
                    </w:rPr>
                  </w:pP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  <w:format w:val="0.00"/>
                        </w:textInput>
                      </w:ffData>
                    </w:fldCha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instrText xml:space="preserve"> FORMTEXT </w:instrTex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separate"/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noProof/>
                      <w:sz w:val="24"/>
                      <w:szCs w:val="24"/>
                      <w:lang w:val="fr-CA"/>
                    </w:rPr>
                    <w:t> </w:t>
                  </w:r>
                  <w:r w:rsidRPr="00EE5EED">
                    <w:rPr>
                      <w:rFonts w:cs="Arial"/>
                      <w:sz w:val="24"/>
                      <w:szCs w:val="24"/>
                      <w:lang w:val="fr-CA"/>
                    </w:rPr>
                    <w:fldChar w:fldCharType="end"/>
                  </w:r>
                </w:p>
              </w:tc>
            </w:tr>
            <w:tr w:rsidR="00A5638E" w:rsidRPr="00EE5EED" w:rsidTr="00B750B6">
              <w:tc>
                <w:tcPr>
                  <w:tcW w:w="93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8E030D" w:rsidP="00630637">
                  <w:pPr>
                    <w:pStyle w:val="BodyText"/>
                    <w:spacing w:before="80" w:after="80"/>
                    <w:jc w:val="right"/>
                    <w:rPr>
                      <w:rFonts w:cs="Arial"/>
                      <w:b/>
                      <w:szCs w:val="22"/>
                      <w:lang w:val="fr-CA"/>
                    </w:rPr>
                  </w:pPr>
                  <w:r>
                    <w:rPr>
                      <w:rFonts w:cs="Arial"/>
                      <w:b/>
                      <w:szCs w:val="22"/>
                      <w:lang w:val="fr-CA"/>
                    </w:rPr>
                    <w:t xml:space="preserve">Durée totale pour </w:t>
                  </w:r>
                  <w:r w:rsidR="00630637">
                    <w:rPr>
                      <w:rFonts w:cs="Arial"/>
                      <w:b/>
                      <w:szCs w:val="22"/>
                      <w:lang w:val="fr-CA"/>
                    </w:rPr>
                    <w:t>une mise en cause ou une mise en cause subséquente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638E" w:rsidRPr="00EE5EED" w:rsidRDefault="00A5638E" w:rsidP="00A5638E">
                  <w:pPr>
                    <w:pStyle w:val="BodyText"/>
                    <w:spacing w:before="80" w:after="80"/>
                    <w:jc w:val="center"/>
                    <w:rPr>
                      <w:rFonts w:cs="Arial"/>
                      <w:szCs w:val="22"/>
                      <w:lang w:val="fr-CA"/>
                    </w:rPr>
                  </w:pPr>
                </w:p>
              </w:tc>
            </w:tr>
          </w:tbl>
          <w:p w:rsidR="00BE6DD9" w:rsidRPr="00EE5EED" w:rsidRDefault="00BE6DD9" w:rsidP="00BE6DD9">
            <w:pPr>
              <w:ind w:left="1134"/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376D64" w:rsidRPr="00EE5EED" w:rsidRDefault="00376D64" w:rsidP="005675FB">
            <w:pPr>
              <w:pBdr>
                <w:bottom w:val="single" w:sz="6" w:space="1" w:color="auto"/>
              </w:pBdr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8243BD" w:rsidRPr="00EE5EED" w:rsidRDefault="008243BD" w:rsidP="005675FB">
            <w:pPr>
              <w:pBdr>
                <w:bottom w:val="single" w:sz="6" w:space="1" w:color="auto"/>
              </w:pBdr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8243BD" w:rsidRPr="00EE5EED" w:rsidRDefault="008243BD" w:rsidP="005675FB">
            <w:pPr>
              <w:pBdr>
                <w:bottom w:val="single" w:sz="6" w:space="1" w:color="auto"/>
              </w:pBdr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8243BD" w:rsidRPr="00EE5EED" w:rsidRDefault="008243BD" w:rsidP="005675FB">
            <w:pPr>
              <w:pBdr>
                <w:bottom w:val="single" w:sz="6" w:space="1" w:color="auto"/>
              </w:pBdr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376D64" w:rsidRPr="00EE5EED" w:rsidRDefault="00376D64" w:rsidP="00BE6DD9">
            <w:pPr>
              <w:ind w:left="1134"/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7A4113" w:rsidRPr="00EE5EED" w:rsidRDefault="009006C9" w:rsidP="007A4113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b/>
                <w:caps/>
                <w:sz w:val="24"/>
                <w:szCs w:val="24"/>
                <w:u w:val="single"/>
                <w:lang w:val="fr-CA"/>
              </w:rPr>
              <w:t>p</w:t>
            </w:r>
            <w:r w:rsidR="007A4113" w:rsidRPr="00EE5EED">
              <w:rPr>
                <w:rFonts w:cs="Arial"/>
                <w:b/>
                <w:caps/>
                <w:sz w:val="24"/>
                <w:szCs w:val="24"/>
                <w:u w:val="single"/>
                <w:lang w:val="fr-CA"/>
              </w:rPr>
              <w:t>art</w:t>
            </w:r>
            <w:r w:rsidR="00630637">
              <w:rPr>
                <w:rFonts w:cs="Arial"/>
                <w:b/>
                <w:caps/>
                <w:sz w:val="24"/>
                <w:szCs w:val="24"/>
                <w:u w:val="single"/>
                <w:lang w:val="fr-CA"/>
              </w:rPr>
              <w:t>IE</w:t>
            </w:r>
            <w:r w:rsidR="007A4113" w:rsidRPr="00EE5EED">
              <w:rPr>
                <w:rFonts w:cs="Arial"/>
                <w:b/>
                <w:caps/>
                <w:sz w:val="24"/>
                <w:szCs w:val="24"/>
                <w:u w:val="single"/>
                <w:lang w:val="fr-CA"/>
              </w:rPr>
              <w:t xml:space="preserve"> b</w:t>
            </w:r>
            <w:r w:rsidR="007A4113"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 – </w:t>
            </w:r>
            <w:r w:rsidR="00630637" w:rsidRPr="008714AF">
              <w:rPr>
                <w:rFonts w:cs="Arial"/>
                <w:b/>
                <w:sz w:val="24"/>
                <w:szCs w:val="24"/>
                <w:lang w:val="fr-CA"/>
              </w:rPr>
              <w:t>Répartition du temps entre les parties</w:t>
            </w:r>
            <w:r w:rsidR="00604132">
              <w:rPr>
                <w:rFonts w:cs="Arial"/>
                <w:b/>
                <w:sz w:val="24"/>
                <w:szCs w:val="24"/>
                <w:lang w:val="fr-CA"/>
              </w:rPr>
              <w:t xml:space="preserve"> au procès</w:t>
            </w:r>
          </w:p>
          <w:p w:rsidR="007A4113" w:rsidRPr="00EE5EED" w:rsidRDefault="007A4113" w:rsidP="007A4113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  <w:p w:rsidR="007A4113" w:rsidRPr="00EE5EED" w:rsidRDefault="00630637" w:rsidP="007A4113">
            <w:pPr>
              <w:numPr>
                <w:ilvl w:val="0"/>
                <w:numId w:val="9"/>
              </w:num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caps/>
                <w:sz w:val="24"/>
                <w:szCs w:val="24"/>
                <w:lang w:val="fr-CA"/>
              </w:rPr>
              <w:t>LAPS DE TEMPS POUR LE DEMANDEUR</w:t>
            </w:r>
          </w:p>
          <w:p w:rsidR="007A4113" w:rsidRPr="00EE5EED" w:rsidRDefault="007A4113" w:rsidP="007A4113">
            <w:pPr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7A4113" w:rsidRPr="00EE5EED" w:rsidRDefault="00B27EE5" w:rsidP="007A4113">
            <w:pPr>
              <w:numPr>
                <w:ilvl w:val="0"/>
                <w:numId w:val="11"/>
              </w:numPr>
              <w:rPr>
                <w:rFonts w:cs="Arial"/>
                <w:i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7A4113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</w:t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l’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exposé introductif</w:t>
            </w:r>
            <w:r w:rsidR="00430E5D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9D4B83" w:rsidRPr="00EE5EED">
              <w:rPr>
                <w:rFonts w:cs="Arial"/>
                <w:sz w:val="24"/>
                <w:szCs w:val="24"/>
                <w:lang w:val="fr-CA"/>
              </w:rPr>
              <w:br/>
            </w:r>
            <w:r w:rsidR="00430E5D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630637">
              <w:rPr>
                <w:rFonts w:cs="Arial"/>
                <w:i/>
                <w:szCs w:val="24"/>
                <w:lang w:val="fr-CA"/>
              </w:rPr>
              <w:t>Survol de la cause et de la décision que la partie souhaite que le juge rende.</w:t>
            </w:r>
            <w:r w:rsidR="009006C9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  <w:p w:rsidR="009006C9" w:rsidRPr="00EE5EED" w:rsidRDefault="009006C9" w:rsidP="009006C9">
            <w:pPr>
              <w:ind w:left="1080"/>
              <w:rPr>
                <w:rFonts w:cs="Arial"/>
                <w:sz w:val="24"/>
                <w:szCs w:val="24"/>
                <w:lang w:val="fr-CA"/>
              </w:rPr>
            </w:pPr>
          </w:p>
          <w:p w:rsidR="007A4113" w:rsidRPr="00EE5EED" w:rsidRDefault="00B27EE5" w:rsidP="007A4113">
            <w:pPr>
              <w:numPr>
                <w:ilvl w:val="0"/>
                <w:numId w:val="11"/>
              </w:numPr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7A4113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</w:t>
            </w:r>
            <w:r w:rsidR="00826FB1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la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 xml:space="preserve">présentation de la preuve principale par affidavit </w:t>
            </w:r>
            <w:r w:rsidR="00630637" w:rsidRPr="00630637">
              <w:rPr>
                <w:rFonts w:cs="Arial"/>
                <w:sz w:val="24"/>
                <w:szCs w:val="24"/>
                <w:lang w:val="fr-CA"/>
              </w:rPr>
              <w:t>et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 la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 xml:space="preserve">lecture </w:t>
            </w:r>
            <w:r w:rsidR="00604132">
              <w:rPr>
                <w:rFonts w:cs="Arial"/>
                <w:b/>
                <w:sz w:val="24"/>
                <w:szCs w:val="24"/>
                <w:lang w:val="fr-CA"/>
              </w:rPr>
              <w:t>à titre de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 xml:space="preserve"> preuve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d’un extrait de la transcription d’un interrogatoire préalable </w:t>
            </w:r>
            <w:r w:rsidR="00430E5D" w:rsidRPr="00EE5EED">
              <w:rPr>
                <w:rFonts w:cs="Arial"/>
                <w:sz w:val="24"/>
                <w:szCs w:val="24"/>
                <w:lang w:val="fr-CA"/>
              </w:rPr>
              <w:t>(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en vertu de la règle </w:t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>31.1</w:t>
            </w:r>
            <w:r w:rsidR="00430E5D" w:rsidRPr="00EE5EED">
              <w:rPr>
                <w:rFonts w:cs="Arial"/>
                <w:sz w:val="24"/>
                <w:szCs w:val="24"/>
                <w:lang w:val="fr-CA"/>
              </w:rPr>
              <w:t>1)</w:t>
            </w:r>
          </w:p>
          <w:p w:rsidR="009006C9" w:rsidRPr="00EE5EED" w:rsidRDefault="009006C9" w:rsidP="009006C9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7A4113" w:rsidRPr="00EE5EED" w:rsidRDefault="00B27EE5" w:rsidP="007A4113">
            <w:pPr>
              <w:numPr>
                <w:ilvl w:val="0"/>
                <w:numId w:val="11"/>
              </w:numPr>
              <w:rPr>
                <w:rFonts w:cs="Arial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7A4113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</w:t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le contre-interrogatoire des déposants</w:t>
            </w:r>
            <w:r w:rsidR="00430E5D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9D4B83" w:rsidRPr="00EE5EED">
              <w:rPr>
                <w:rFonts w:cs="Arial"/>
                <w:sz w:val="24"/>
                <w:szCs w:val="24"/>
                <w:lang w:val="fr-CA"/>
              </w:rPr>
              <w:br/>
            </w:r>
            <w:r w:rsidR="00430E5D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630637">
              <w:rPr>
                <w:rFonts w:cs="Arial"/>
                <w:i/>
                <w:szCs w:val="24"/>
                <w:lang w:val="fr-CA"/>
              </w:rPr>
              <w:t>Interrogatoire des personnes qui ont déposé un affidavit sous serment ou affirmation solennelle à l’appui de la position de la partie adverse.</w:t>
            </w:r>
            <w:r w:rsidR="00430E5D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  <w:p w:rsidR="009006C9" w:rsidRPr="00EE5EED" w:rsidRDefault="009006C9" w:rsidP="009006C9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7A4113" w:rsidRPr="00EE5EED" w:rsidRDefault="00B27EE5" w:rsidP="00430E5D">
            <w:pPr>
              <w:numPr>
                <w:ilvl w:val="0"/>
                <w:numId w:val="11"/>
              </w:numPr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7A4113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 le</w:t>
            </w:r>
            <w:r w:rsidR="007A411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430E5D" w:rsidRPr="00EE5EED">
              <w:rPr>
                <w:rFonts w:cs="Arial"/>
                <w:b/>
                <w:sz w:val="24"/>
                <w:szCs w:val="24"/>
                <w:lang w:val="fr-CA"/>
              </w:rPr>
              <w:t>r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éinterrogatoire</w:t>
            </w:r>
            <w:proofErr w:type="spellEnd"/>
            <w:r w:rsidR="00630637">
              <w:rPr>
                <w:rFonts w:cs="Arial"/>
                <w:b/>
                <w:sz w:val="24"/>
                <w:szCs w:val="24"/>
                <w:lang w:val="fr-CA"/>
              </w:rPr>
              <w:t xml:space="preserve"> de tout déposant d’une partie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qui a été contre-interrogé par la partie adverse</w:t>
            </w:r>
          </w:p>
          <w:p w:rsidR="009006C9" w:rsidRPr="00EE5EED" w:rsidRDefault="009006C9" w:rsidP="009006C9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430E5D" w:rsidRPr="00EE5EED" w:rsidRDefault="00430E5D" w:rsidP="009D4B83">
            <w:pPr>
              <w:ind w:left="1080" w:hanging="360"/>
              <w:rPr>
                <w:rFonts w:cs="Arial"/>
                <w:caps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e.  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pour les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plaidoiries et les observations finales</w:t>
            </w:r>
            <w:r w:rsidR="00E56E25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9D4B83" w:rsidRPr="00EE5EED">
              <w:rPr>
                <w:rFonts w:cs="Arial"/>
                <w:sz w:val="24"/>
                <w:szCs w:val="24"/>
                <w:lang w:val="fr-CA"/>
              </w:rPr>
              <w:br/>
            </w:r>
            <w:r w:rsidR="00E56E25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630637">
              <w:rPr>
                <w:rFonts w:cs="Arial"/>
                <w:i/>
                <w:szCs w:val="24"/>
                <w:lang w:val="fr-CA"/>
              </w:rPr>
              <w:t xml:space="preserve">Résumé de la loi et du rapport entre la loi et les preuves; observations sur les arguments de la partie adverse </w:t>
            </w:r>
            <w:r w:rsidR="00FE0C58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630637">
              <w:rPr>
                <w:rFonts w:cs="Arial"/>
                <w:i/>
                <w:szCs w:val="24"/>
                <w:lang w:val="fr-CA"/>
              </w:rPr>
              <w:t>ou arguments anticipés</w:t>
            </w:r>
            <w:r w:rsidR="00FE0C58" w:rsidRPr="00EE5EED">
              <w:rPr>
                <w:rFonts w:cs="Arial"/>
                <w:i/>
                <w:szCs w:val="24"/>
                <w:lang w:val="fr-CA"/>
              </w:rPr>
              <w:t>)</w:t>
            </w:r>
            <w:r w:rsidR="00E56E25" w:rsidRPr="00EE5EED">
              <w:rPr>
                <w:rFonts w:cs="Arial"/>
                <w:i/>
                <w:szCs w:val="24"/>
                <w:lang w:val="fr-CA"/>
              </w:rPr>
              <w:t xml:space="preserve">; </w:t>
            </w:r>
            <w:r w:rsidR="00630637">
              <w:rPr>
                <w:rFonts w:cs="Arial"/>
                <w:i/>
                <w:szCs w:val="24"/>
                <w:lang w:val="fr-CA"/>
              </w:rPr>
              <w:t>et reformulation de la décision que la partie souhaite que le juge rende.</w:t>
            </w:r>
            <w:r w:rsidR="00E56E25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  <w:p w:rsidR="00430E5D" w:rsidRPr="00EE5EED" w:rsidRDefault="00430E5D" w:rsidP="00430E5D">
            <w:pPr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E56E25" w:rsidRPr="00EE5EED" w:rsidRDefault="00E56E25" w:rsidP="00430E5D">
            <w:pPr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E56E25" w:rsidRPr="00EE5EED" w:rsidRDefault="00630637" w:rsidP="00E56E25">
            <w:pPr>
              <w:numPr>
                <w:ilvl w:val="0"/>
                <w:numId w:val="9"/>
              </w:numPr>
              <w:rPr>
                <w:rFonts w:cs="Arial"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caps/>
                <w:sz w:val="24"/>
                <w:szCs w:val="24"/>
                <w:lang w:val="fr-CA"/>
              </w:rPr>
              <w:t>LAPS DE TEMPS POUR LE DÉFENDEUR</w:t>
            </w:r>
            <w:r w:rsidR="00E56E25" w:rsidRPr="00EE5EED">
              <w:rPr>
                <w:rFonts w:cs="Arial"/>
                <w:caps/>
                <w:sz w:val="24"/>
                <w:szCs w:val="24"/>
                <w:lang w:val="fr-CA"/>
              </w:rPr>
              <w:t xml:space="preserve"> </w:t>
            </w:r>
            <w:r w:rsidR="00D03CAC" w:rsidRPr="00EE5EED">
              <w:rPr>
                <w:rFonts w:cs="Arial"/>
                <w:caps/>
                <w:sz w:val="24"/>
                <w:szCs w:val="24"/>
                <w:lang w:val="fr-CA"/>
              </w:rPr>
              <w:br/>
            </w:r>
            <w:r w:rsidR="00E56E25" w:rsidRPr="00EE5EED">
              <w:rPr>
                <w:rFonts w:cs="Arial"/>
                <w:i/>
                <w:caps/>
                <w:szCs w:val="24"/>
                <w:lang w:val="fr-CA"/>
              </w:rPr>
              <w:t>(</w:t>
            </w:r>
            <w:r>
              <w:rPr>
                <w:rFonts w:cs="Arial"/>
                <w:i/>
                <w:szCs w:val="24"/>
                <w:lang w:val="fr-CA"/>
              </w:rPr>
              <w:t>Ajouter des pages s’il y a plus d’un défendeur</w:t>
            </w:r>
            <w:r w:rsidR="00E56E25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  <w:p w:rsidR="00E56E25" w:rsidRPr="00EE5EED" w:rsidRDefault="00E56E25" w:rsidP="00E56E25">
            <w:pPr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376D64" w:rsidRPr="00EE5EED" w:rsidRDefault="00B27EE5" w:rsidP="00376D64">
            <w:pPr>
              <w:numPr>
                <w:ilvl w:val="0"/>
                <w:numId w:val="16"/>
              </w:numPr>
              <w:rPr>
                <w:rFonts w:cs="Arial"/>
                <w:i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376D64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630637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l’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exposé introductif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br/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630637">
              <w:rPr>
                <w:rFonts w:cs="Arial"/>
                <w:i/>
                <w:szCs w:val="24"/>
                <w:lang w:val="fr-CA"/>
              </w:rPr>
              <w:t>Survol de la cause et de la décision que la partie souhaite que le juge rende.</w:t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  <w:p w:rsidR="00376D64" w:rsidRPr="00EE5EED" w:rsidRDefault="00376D64" w:rsidP="00376D64">
            <w:pPr>
              <w:ind w:left="1080"/>
              <w:rPr>
                <w:rFonts w:cs="Arial"/>
                <w:sz w:val="24"/>
                <w:szCs w:val="24"/>
                <w:lang w:val="fr-CA"/>
              </w:rPr>
            </w:pPr>
          </w:p>
          <w:p w:rsidR="00376D64" w:rsidRPr="00EE5EED" w:rsidRDefault="00B27EE5" w:rsidP="00376D64">
            <w:pPr>
              <w:numPr>
                <w:ilvl w:val="0"/>
                <w:numId w:val="16"/>
              </w:numPr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376D64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630637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la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 xml:space="preserve">présentation de la preuve principale par affidavit </w:t>
            </w:r>
            <w:r w:rsidR="00630637" w:rsidRPr="00630637">
              <w:rPr>
                <w:rFonts w:cs="Arial"/>
                <w:sz w:val="24"/>
                <w:szCs w:val="24"/>
                <w:lang w:val="fr-CA"/>
              </w:rPr>
              <w:t>et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 la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 xml:space="preserve">lecture </w:t>
            </w:r>
            <w:r w:rsidR="00604132">
              <w:rPr>
                <w:rFonts w:cs="Arial"/>
                <w:b/>
                <w:sz w:val="24"/>
                <w:szCs w:val="24"/>
                <w:lang w:val="fr-CA"/>
              </w:rPr>
              <w:t xml:space="preserve">à titre de preuve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d’un extrait de la transcription d’un interrogatoire préalable 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>(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en vertu de la règle 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>31.11)</w:t>
            </w:r>
          </w:p>
          <w:p w:rsidR="00376D64" w:rsidRPr="00EE5EED" w:rsidRDefault="00376D64" w:rsidP="00376D64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376D64" w:rsidRPr="00EE5EED" w:rsidRDefault="00B27EE5" w:rsidP="00376D64">
            <w:pPr>
              <w:numPr>
                <w:ilvl w:val="0"/>
                <w:numId w:val="16"/>
              </w:numPr>
              <w:rPr>
                <w:rFonts w:cs="Arial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>
              <w:rPr>
                <w:rFonts w:cs="Arial"/>
                <w:sz w:val="24"/>
                <w:szCs w:val="24"/>
                <w:lang w:val="fr-CA"/>
              </w:rPr>
              <w:t>m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>inutes</w:t>
            </w:r>
            <w:proofErr w:type="gramEnd"/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le contre-interrogatoire des déposants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br/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630637">
              <w:rPr>
                <w:rFonts w:cs="Arial"/>
                <w:i/>
                <w:szCs w:val="24"/>
                <w:lang w:val="fr-CA"/>
              </w:rPr>
              <w:t>Interrogatoire des personnes qui ont déposé un affidavit sous serment ou affirmation solennelle à l’appui de la position de la partie adverse.</w:t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  <w:p w:rsidR="00376D64" w:rsidRPr="00EE5EED" w:rsidRDefault="00376D64" w:rsidP="00376D64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376D64" w:rsidRPr="00EE5EED" w:rsidRDefault="00B27EE5" w:rsidP="00376D64">
            <w:pPr>
              <w:numPr>
                <w:ilvl w:val="0"/>
                <w:numId w:val="16"/>
              </w:numPr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630637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 le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630637" w:rsidRPr="00EE5EED">
              <w:rPr>
                <w:rFonts w:cs="Arial"/>
                <w:b/>
                <w:sz w:val="24"/>
                <w:szCs w:val="24"/>
                <w:lang w:val="fr-CA"/>
              </w:rPr>
              <w:t>r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éinterrogatoire</w:t>
            </w:r>
            <w:proofErr w:type="spellEnd"/>
            <w:r w:rsidR="00630637">
              <w:rPr>
                <w:rFonts w:cs="Arial"/>
                <w:b/>
                <w:sz w:val="24"/>
                <w:szCs w:val="24"/>
                <w:lang w:val="fr-CA"/>
              </w:rPr>
              <w:t xml:space="preserve"> de tout déposant d’une partie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qui a été contre-interrogé par la partie adverse</w:t>
            </w:r>
          </w:p>
          <w:p w:rsidR="00376D64" w:rsidRPr="00EE5EED" w:rsidRDefault="00376D64" w:rsidP="00376D64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376D64" w:rsidRPr="00EE5EED" w:rsidRDefault="00376D64" w:rsidP="009D4B83">
            <w:pPr>
              <w:ind w:left="1080" w:hanging="360"/>
              <w:rPr>
                <w:rFonts w:cs="Arial"/>
                <w:caps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e.  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B27EE5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630637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pour les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plaidoiries et les observations finales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br/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630637">
              <w:rPr>
                <w:rFonts w:cs="Arial"/>
                <w:i/>
                <w:szCs w:val="24"/>
                <w:lang w:val="fr-CA"/>
              </w:rPr>
              <w:t xml:space="preserve">Résumé de la loi et du rapport entre la loi et les preuves; observations sur les arguments de la partie adverse </w:t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630637">
              <w:rPr>
                <w:rFonts w:cs="Arial"/>
                <w:i/>
                <w:szCs w:val="24"/>
                <w:lang w:val="fr-CA"/>
              </w:rPr>
              <w:t>ou arguments anticipés</w:t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 xml:space="preserve">); </w:t>
            </w:r>
            <w:r w:rsidR="00630637">
              <w:rPr>
                <w:rFonts w:cs="Arial"/>
                <w:i/>
                <w:szCs w:val="24"/>
                <w:lang w:val="fr-CA"/>
              </w:rPr>
              <w:t>et reformulation de la décision que la partie souhaite que le juge rende.</w:t>
            </w:r>
            <w:r w:rsidR="003C00AB">
              <w:rPr>
                <w:rFonts w:cs="Arial"/>
                <w:i/>
                <w:szCs w:val="24"/>
                <w:lang w:val="fr-CA"/>
              </w:rPr>
              <w:t>)</w:t>
            </w:r>
          </w:p>
          <w:p w:rsidR="00E56E25" w:rsidRPr="00EE5EED" w:rsidRDefault="00E56E25" w:rsidP="00E56E25">
            <w:pPr>
              <w:ind w:left="720"/>
              <w:rPr>
                <w:rFonts w:cs="Arial"/>
                <w:sz w:val="24"/>
                <w:szCs w:val="24"/>
                <w:lang w:val="fr-CA"/>
              </w:rPr>
            </w:pPr>
          </w:p>
          <w:p w:rsidR="00D03CAC" w:rsidRPr="00EE5EED" w:rsidRDefault="00D03CAC" w:rsidP="00D03CAC">
            <w:pPr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D03CAC" w:rsidRPr="00EE5EED" w:rsidRDefault="00630637" w:rsidP="00D03CAC">
            <w:pPr>
              <w:numPr>
                <w:ilvl w:val="0"/>
                <w:numId w:val="9"/>
              </w:numPr>
              <w:rPr>
                <w:rFonts w:cs="Arial"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caps/>
                <w:sz w:val="24"/>
                <w:szCs w:val="24"/>
                <w:lang w:val="fr-CA"/>
              </w:rPr>
              <w:lastRenderedPageBreak/>
              <w:t xml:space="preserve">LAPS DE TEMPS POUR UNE </w:t>
            </w:r>
            <w:r w:rsidRPr="008E030D"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mise en cause ou une mise en cause subséquente </w:t>
            </w:r>
            <w:r w:rsidR="00D03CAC"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>(</w:t>
            </w:r>
            <w:r>
              <w:rPr>
                <w:rFonts w:cs="Arial"/>
                <w:b/>
                <w:sz w:val="24"/>
                <w:szCs w:val="24"/>
                <w:lang w:val="fr-CA"/>
              </w:rPr>
              <w:t>le cas échéant</w:t>
            </w:r>
            <w:r w:rsidR="00D03CAC"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>)</w:t>
            </w:r>
            <w:r w:rsidR="00D03CAC" w:rsidRPr="00EE5EED">
              <w:rPr>
                <w:rFonts w:cs="Arial"/>
                <w:caps/>
                <w:sz w:val="24"/>
                <w:szCs w:val="24"/>
                <w:lang w:val="fr-CA"/>
              </w:rPr>
              <w:t xml:space="preserve"> </w:t>
            </w:r>
            <w:r w:rsidR="00D03CAC" w:rsidRPr="00EE5EED">
              <w:rPr>
                <w:rFonts w:cs="Arial"/>
                <w:caps/>
                <w:sz w:val="24"/>
                <w:szCs w:val="24"/>
                <w:lang w:val="fr-CA"/>
              </w:rPr>
              <w:br/>
            </w:r>
            <w:r w:rsidR="00D03CAC" w:rsidRPr="00EE5EED">
              <w:rPr>
                <w:rFonts w:cs="Arial"/>
                <w:i/>
                <w:caps/>
                <w:szCs w:val="24"/>
                <w:lang w:val="fr-CA"/>
              </w:rPr>
              <w:t>(</w:t>
            </w:r>
            <w:r>
              <w:rPr>
                <w:rFonts w:cs="Arial"/>
                <w:i/>
                <w:szCs w:val="24"/>
                <w:lang w:val="fr-CA"/>
              </w:rPr>
              <w:t>Ajouter des pages s’il y a plus d’une mise en cause subséquente</w:t>
            </w:r>
            <w:r w:rsidR="00D03CAC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  <w:p w:rsidR="00A71B8D" w:rsidRPr="00EE5EED" w:rsidRDefault="00A71B8D" w:rsidP="00A71B8D">
            <w:pPr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A71B8D" w:rsidRPr="00EE5EED" w:rsidRDefault="00B27EE5" w:rsidP="00A71B8D">
            <w:pPr>
              <w:numPr>
                <w:ilvl w:val="0"/>
                <w:numId w:val="17"/>
              </w:numPr>
              <w:rPr>
                <w:rFonts w:cs="Arial"/>
                <w:i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630637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l’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exposé introductif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br/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630637">
              <w:rPr>
                <w:rFonts w:cs="Arial"/>
                <w:i/>
                <w:szCs w:val="24"/>
                <w:lang w:val="fr-CA"/>
              </w:rPr>
              <w:t>Survol de la cause et de la décision que la partie souhaite que le juge rende.</w:t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  <w:p w:rsidR="00A71B8D" w:rsidRPr="00EE5EED" w:rsidRDefault="00A71B8D" w:rsidP="00A71B8D">
            <w:pPr>
              <w:ind w:left="1080"/>
              <w:rPr>
                <w:rFonts w:cs="Arial"/>
                <w:sz w:val="24"/>
                <w:szCs w:val="24"/>
                <w:lang w:val="fr-CA"/>
              </w:rPr>
            </w:pPr>
          </w:p>
          <w:p w:rsidR="00A71B8D" w:rsidRPr="00EE5EED" w:rsidRDefault="00B27EE5" w:rsidP="00A71B8D">
            <w:pPr>
              <w:numPr>
                <w:ilvl w:val="0"/>
                <w:numId w:val="17"/>
              </w:numPr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630637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la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 xml:space="preserve">présentation de la preuve principale par affidavit </w:t>
            </w:r>
            <w:r w:rsidR="00630637" w:rsidRPr="00630637">
              <w:rPr>
                <w:rFonts w:cs="Arial"/>
                <w:sz w:val="24"/>
                <w:szCs w:val="24"/>
                <w:lang w:val="fr-CA"/>
              </w:rPr>
              <w:t>et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 la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 xml:space="preserve">lecture </w:t>
            </w:r>
            <w:r w:rsidR="00604132">
              <w:rPr>
                <w:rFonts w:cs="Arial"/>
                <w:b/>
                <w:sz w:val="24"/>
                <w:szCs w:val="24"/>
                <w:lang w:val="fr-CA"/>
              </w:rPr>
              <w:t xml:space="preserve">à titre de preuve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d’un extrait de la transcription d’un interrogatoire préalable 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>(</w:t>
            </w:r>
            <w:r w:rsidR="00630637">
              <w:rPr>
                <w:rFonts w:cs="Arial"/>
                <w:sz w:val="24"/>
                <w:szCs w:val="24"/>
                <w:lang w:val="fr-CA"/>
              </w:rPr>
              <w:t xml:space="preserve">en vertu de la règle 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>31.11)</w:t>
            </w:r>
          </w:p>
          <w:p w:rsidR="00A71B8D" w:rsidRPr="00EE5EED" w:rsidRDefault="00A71B8D" w:rsidP="00A71B8D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A71B8D" w:rsidRPr="00EE5EED" w:rsidRDefault="00B27EE5" w:rsidP="00A71B8D">
            <w:pPr>
              <w:numPr>
                <w:ilvl w:val="0"/>
                <w:numId w:val="17"/>
              </w:numPr>
              <w:rPr>
                <w:rFonts w:cs="Arial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630637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le contre-interrogatoire des déposants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br/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630637">
              <w:rPr>
                <w:rFonts w:cs="Arial"/>
                <w:i/>
                <w:szCs w:val="24"/>
                <w:lang w:val="fr-CA"/>
              </w:rPr>
              <w:t>Interrogatoire des personnes qui ont déposé un affidavit sous serment ou affirmation solennelle à l’appui de la position de la partie adverse.</w:t>
            </w:r>
            <w:r w:rsidR="00630637" w:rsidRPr="00EE5EED">
              <w:rPr>
                <w:rFonts w:cs="Arial"/>
                <w:i/>
                <w:szCs w:val="24"/>
                <w:lang w:val="fr-CA"/>
              </w:rPr>
              <w:t>)</w:t>
            </w:r>
          </w:p>
          <w:p w:rsidR="00A71B8D" w:rsidRPr="00EE5EED" w:rsidRDefault="00A71B8D" w:rsidP="00A71B8D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A71B8D" w:rsidRPr="00EE5EED" w:rsidRDefault="00B27EE5" w:rsidP="00A71B8D">
            <w:pPr>
              <w:numPr>
                <w:ilvl w:val="0"/>
                <w:numId w:val="17"/>
              </w:numPr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630637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pour le</w:t>
            </w:r>
            <w:r w:rsidR="00630637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spellStart"/>
            <w:r w:rsidR="00630637" w:rsidRPr="00EE5EED">
              <w:rPr>
                <w:rFonts w:cs="Arial"/>
                <w:b/>
                <w:sz w:val="24"/>
                <w:szCs w:val="24"/>
                <w:lang w:val="fr-CA"/>
              </w:rPr>
              <w:t>r</w:t>
            </w:r>
            <w:r w:rsidR="00630637">
              <w:rPr>
                <w:rFonts w:cs="Arial"/>
                <w:b/>
                <w:sz w:val="24"/>
                <w:szCs w:val="24"/>
                <w:lang w:val="fr-CA"/>
              </w:rPr>
              <w:t>éinterrogatoire</w:t>
            </w:r>
            <w:proofErr w:type="spellEnd"/>
            <w:r w:rsidR="00630637">
              <w:rPr>
                <w:rFonts w:cs="Arial"/>
                <w:b/>
                <w:sz w:val="24"/>
                <w:szCs w:val="24"/>
                <w:lang w:val="fr-CA"/>
              </w:rPr>
              <w:t xml:space="preserve"> de tout déposant d’une partie </w:t>
            </w:r>
            <w:r w:rsidR="00630637">
              <w:rPr>
                <w:rFonts w:cs="Arial"/>
                <w:sz w:val="24"/>
                <w:szCs w:val="24"/>
                <w:lang w:val="fr-CA"/>
              </w:rPr>
              <w:t>qui a été contre-interrogé par la partie adverse</w:t>
            </w:r>
          </w:p>
          <w:p w:rsidR="00A71B8D" w:rsidRPr="00EE5EED" w:rsidRDefault="00A71B8D" w:rsidP="00A71B8D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A71B8D" w:rsidRPr="00EE5EED" w:rsidRDefault="00A71B8D" w:rsidP="009D4B83">
            <w:pPr>
              <w:ind w:left="1080" w:hanging="360"/>
              <w:rPr>
                <w:rFonts w:cs="Arial"/>
                <w:caps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e.  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B27EE5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proofErr w:type="gramStart"/>
            <w:r w:rsidR="0081033A" w:rsidRPr="00EE5EED">
              <w:rPr>
                <w:rFonts w:cs="Arial"/>
                <w:sz w:val="24"/>
                <w:szCs w:val="24"/>
                <w:lang w:val="fr-CA"/>
              </w:rPr>
              <w:t>minutes</w:t>
            </w:r>
            <w:proofErr w:type="gramEnd"/>
            <w:r w:rsidR="0081033A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 xml:space="preserve">pour les </w:t>
            </w:r>
            <w:r w:rsidR="0081033A">
              <w:rPr>
                <w:rFonts w:cs="Arial"/>
                <w:b/>
                <w:sz w:val="24"/>
                <w:szCs w:val="24"/>
                <w:lang w:val="fr-CA"/>
              </w:rPr>
              <w:t>plaidoiries et les observations finales</w:t>
            </w:r>
            <w:r w:rsidR="0081033A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81033A" w:rsidRPr="00EE5EED">
              <w:rPr>
                <w:rFonts w:cs="Arial"/>
                <w:sz w:val="24"/>
                <w:szCs w:val="24"/>
                <w:lang w:val="fr-CA"/>
              </w:rPr>
              <w:br/>
            </w:r>
            <w:r w:rsidR="0081033A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81033A">
              <w:rPr>
                <w:rFonts w:cs="Arial"/>
                <w:i/>
                <w:szCs w:val="24"/>
                <w:lang w:val="fr-CA"/>
              </w:rPr>
              <w:t xml:space="preserve">Résumé de la loi et du rapport entre la loi et les preuves; observations sur les arguments de la partie adverse </w:t>
            </w:r>
            <w:r w:rsidR="0081033A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81033A">
              <w:rPr>
                <w:rFonts w:cs="Arial"/>
                <w:i/>
                <w:szCs w:val="24"/>
                <w:lang w:val="fr-CA"/>
              </w:rPr>
              <w:t>ou arguments anticipés</w:t>
            </w:r>
            <w:r w:rsidR="0081033A" w:rsidRPr="00EE5EED">
              <w:rPr>
                <w:rFonts w:cs="Arial"/>
                <w:i/>
                <w:szCs w:val="24"/>
                <w:lang w:val="fr-CA"/>
              </w:rPr>
              <w:t xml:space="preserve">); </w:t>
            </w:r>
            <w:r w:rsidR="0081033A">
              <w:rPr>
                <w:rFonts w:cs="Arial"/>
                <w:i/>
                <w:szCs w:val="24"/>
                <w:lang w:val="fr-CA"/>
              </w:rPr>
              <w:t>et reformulation de la décision que la partie souhaite que le juge rende.)</w:t>
            </w:r>
          </w:p>
          <w:p w:rsidR="00A71B8D" w:rsidRPr="00EE5EED" w:rsidRDefault="00A71B8D" w:rsidP="00A71B8D">
            <w:pPr>
              <w:ind w:left="720"/>
              <w:rPr>
                <w:rFonts w:cs="Arial"/>
                <w:sz w:val="24"/>
                <w:szCs w:val="24"/>
                <w:lang w:val="fr-CA"/>
              </w:rPr>
            </w:pPr>
          </w:p>
          <w:p w:rsidR="00E56E25" w:rsidRPr="00EE5EED" w:rsidRDefault="00E56E25" w:rsidP="00E56E25">
            <w:pPr>
              <w:ind w:left="720"/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DE7D1B" w:rsidRPr="00EE5EED" w:rsidRDefault="0081033A" w:rsidP="00E56E25">
            <w:pPr>
              <w:rPr>
                <w:rFonts w:cs="Arial"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DURÉE totale POUR TOUTES LES PARTIES </w:t>
            </w:r>
            <w:r w:rsidR="00E56E25" w:rsidRPr="00EE5EED">
              <w:rPr>
                <w:rFonts w:cs="Arial"/>
                <w:caps/>
                <w:sz w:val="24"/>
                <w:szCs w:val="24"/>
                <w:lang w:val="fr-CA"/>
              </w:rPr>
              <w:t xml:space="preserve">: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E56E25" w:rsidRPr="00EE5EED">
              <w:rPr>
                <w:rFonts w:cs="Arial"/>
                <w:caps/>
                <w:sz w:val="24"/>
                <w:szCs w:val="24"/>
                <w:lang w:val="fr-CA"/>
              </w:rPr>
              <w:t xml:space="preserve"> </w:t>
            </w:r>
            <w:r w:rsidR="00E56E25" w:rsidRPr="00EE5EED">
              <w:rPr>
                <w:rFonts w:cs="Arial"/>
                <w:b/>
                <w:sz w:val="24"/>
                <w:szCs w:val="24"/>
                <w:lang w:val="fr-CA"/>
              </w:rPr>
              <w:t>h</w:t>
            </w:r>
            <w:r>
              <w:rPr>
                <w:rFonts w:cs="Arial"/>
                <w:b/>
                <w:sz w:val="24"/>
                <w:szCs w:val="24"/>
                <w:lang w:val="fr-CA"/>
              </w:rPr>
              <w:t>eures</w:t>
            </w:r>
            <w:r w:rsidR="00E56E25" w:rsidRPr="00EE5EED">
              <w:rPr>
                <w:rFonts w:cs="Arial"/>
                <w:b/>
                <w:sz w:val="24"/>
                <w:szCs w:val="24"/>
                <w:lang w:val="fr-CA"/>
              </w:rPr>
              <w:t>/minutes</w:t>
            </w:r>
            <w:r w:rsidR="00E56E25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</w:p>
          <w:p w:rsidR="00E56E25" w:rsidRPr="00EE5EED" w:rsidRDefault="00DE7D1B" w:rsidP="00E56E25">
            <w:pPr>
              <w:rPr>
                <w:rFonts w:cs="Arial"/>
                <w:i/>
                <w:sz w:val="23"/>
                <w:szCs w:val="23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  <w:t xml:space="preserve">    </w:t>
            </w:r>
            <w:r w:rsidR="00E56E25" w:rsidRPr="00EE5EED">
              <w:rPr>
                <w:rFonts w:cs="Arial"/>
                <w:i/>
                <w:sz w:val="23"/>
                <w:szCs w:val="23"/>
                <w:lang w:val="fr-CA"/>
              </w:rPr>
              <w:t>(</w:t>
            </w:r>
            <w:proofErr w:type="gramStart"/>
            <w:r w:rsidR="0081033A">
              <w:rPr>
                <w:rFonts w:cs="Arial"/>
                <w:i/>
                <w:sz w:val="23"/>
                <w:szCs w:val="23"/>
                <w:lang w:val="fr-CA"/>
              </w:rPr>
              <w:t>ne</w:t>
            </w:r>
            <w:proofErr w:type="gramEnd"/>
            <w:r w:rsidR="0081033A">
              <w:rPr>
                <w:rFonts w:cs="Arial"/>
                <w:i/>
                <w:sz w:val="23"/>
                <w:szCs w:val="23"/>
                <w:lang w:val="fr-CA"/>
              </w:rPr>
              <w:t xml:space="preserve"> peut pas dépasser </w:t>
            </w:r>
            <w:r w:rsidR="00E56E25" w:rsidRPr="00EE5EED">
              <w:rPr>
                <w:rFonts w:cs="Arial"/>
                <w:i/>
                <w:sz w:val="23"/>
                <w:szCs w:val="23"/>
                <w:lang w:val="fr-CA"/>
              </w:rPr>
              <w:t>25 h</w:t>
            </w:r>
            <w:r w:rsidR="0081033A">
              <w:rPr>
                <w:rFonts w:cs="Arial"/>
                <w:i/>
                <w:sz w:val="23"/>
                <w:szCs w:val="23"/>
                <w:lang w:val="fr-CA"/>
              </w:rPr>
              <w:t>eures</w:t>
            </w:r>
            <w:r w:rsidR="00E56E25" w:rsidRPr="00EE5EED">
              <w:rPr>
                <w:rFonts w:cs="Arial"/>
                <w:i/>
                <w:sz w:val="23"/>
                <w:szCs w:val="23"/>
                <w:lang w:val="fr-CA"/>
              </w:rPr>
              <w:t>)</w:t>
            </w:r>
          </w:p>
          <w:p w:rsidR="008243BD" w:rsidRPr="00EE5EED" w:rsidRDefault="008243BD" w:rsidP="00E56E25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E56E25" w:rsidRPr="00EE5EED" w:rsidRDefault="00E56E25" w:rsidP="00E56E25">
            <w:pPr>
              <w:pBdr>
                <w:bottom w:val="single" w:sz="6" w:space="1" w:color="auto"/>
              </w:pBdr>
              <w:rPr>
                <w:rFonts w:cs="Arial"/>
                <w:sz w:val="24"/>
                <w:szCs w:val="24"/>
                <w:lang w:val="fr-CA"/>
              </w:rPr>
            </w:pPr>
          </w:p>
          <w:p w:rsidR="005675FB" w:rsidRPr="00EE5EED" w:rsidRDefault="005675FB" w:rsidP="00E56E25">
            <w:pPr>
              <w:rPr>
                <w:rFonts w:cs="Arial"/>
                <w:sz w:val="24"/>
                <w:szCs w:val="24"/>
                <w:lang w:val="fr-CA"/>
              </w:rPr>
            </w:pPr>
          </w:p>
          <w:p w:rsidR="00E56E25" w:rsidRPr="00EE5EED" w:rsidRDefault="002D27BB" w:rsidP="00E8152F">
            <w:pPr>
              <w:rPr>
                <w:rFonts w:cs="Arial"/>
                <w:i/>
                <w:szCs w:val="24"/>
                <w:lang w:val="fr-CA"/>
              </w:rPr>
            </w:pPr>
            <w:r w:rsidRPr="00EE5EED">
              <w:rPr>
                <w:rFonts w:cs="Arial"/>
                <w:b/>
                <w:caps/>
                <w:sz w:val="24"/>
                <w:szCs w:val="24"/>
                <w:u w:val="single"/>
                <w:lang w:val="fr-CA"/>
              </w:rPr>
              <w:t>Part</w:t>
            </w:r>
            <w:r w:rsidR="0081033A">
              <w:rPr>
                <w:rFonts w:cs="Arial"/>
                <w:b/>
                <w:caps/>
                <w:sz w:val="24"/>
                <w:szCs w:val="24"/>
                <w:u w:val="single"/>
                <w:lang w:val="fr-CA"/>
              </w:rPr>
              <w:t>ie</w:t>
            </w:r>
            <w:r w:rsidRPr="00EE5EED">
              <w:rPr>
                <w:rFonts w:cs="Arial"/>
                <w:b/>
                <w:caps/>
                <w:sz w:val="24"/>
                <w:szCs w:val="24"/>
                <w:u w:val="single"/>
                <w:lang w:val="fr-CA"/>
              </w:rPr>
              <w:t xml:space="preserve"> c</w:t>
            </w:r>
            <w:r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b/>
                <w:caps/>
                <w:sz w:val="24"/>
                <w:szCs w:val="24"/>
                <w:lang w:val="fr-CA"/>
              </w:rPr>
              <w:t>–</w:t>
            </w:r>
            <w:r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b/>
                <w:caps/>
                <w:sz w:val="24"/>
                <w:szCs w:val="24"/>
                <w:lang w:val="fr-CA"/>
              </w:rPr>
              <w:t>considé</w:t>
            </w:r>
            <w:r w:rsidR="00E56E25"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>rations</w:t>
            </w:r>
            <w:r w:rsidR="0081033A"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 spéciales </w:t>
            </w:r>
            <w:r w:rsidR="00E56E25" w:rsidRPr="00EE5EED">
              <w:rPr>
                <w:rFonts w:cs="Arial"/>
                <w:caps/>
                <w:sz w:val="24"/>
                <w:szCs w:val="24"/>
                <w:lang w:val="fr-CA"/>
              </w:rPr>
              <w:t>:</w:t>
            </w:r>
            <w:r w:rsidR="00F97F07"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t xml:space="preserve"> </w:t>
            </w:r>
            <w:r w:rsidR="00727411" w:rsidRPr="00EE5EED">
              <w:rPr>
                <w:rFonts w:cs="Arial"/>
                <w:b/>
                <w:caps/>
                <w:sz w:val="24"/>
                <w:szCs w:val="24"/>
                <w:lang w:val="fr-CA"/>
              </w:rPr>
              <w:br/>
            </w:r>
            <w:r w:rsidR="00386672" w:rsidRPr="00EE5EED">
              <w:rPr>
                <w:rFonts w:cs="Arial"/>
                <w:i/>
                <w:caps/>
                <w:szCs w:val="24"/>
                <w:lang w:val="fr-CA"/>
              </w:rPr>
              <w:t>(</w:t>
            </w:r>
            <w:r w:rsidR="0081033A">
              <w:rPr>
                <w:rFonts w:ascii="Arial Italic" w:hAnsi="Arial Italic" w:cs="Arial"/>
                <w:i/>
                <w:szCs w:val="24"/>
                <w:lang w:val="fr-CA"/>
              </w:rPr>
              <w:t>C</w:t>
            </w:r>
            <w:r w:rsidR="0081033A" w:rsidRPr="0081033A">
              <w:rPr>
                <w:rFonts w:ascii="Arial Italic" w:hAnsi="Arial Italic" w:cs="Arial"/>
                <w:i/>
                <w:szCs w:val="24"/>
                <w:lang w:val="fr-CA"/>
              </w:rPr>
              <w:t>oche</w:t>
            </w:r>
            <w:r w:rsidR="0081033A">
              <w:rPr>
                <w:rFonts w:ascii="Arial Italic" w:hAnsi="Arial Italic" w:cs="Arial"/>
                <w:i/>
                <w:szCs w:val="24"/>
                <w:lang w:val="fr-CA"/>
              </w:rPr>
              <w:t>r</w:t>
            </w:r>
            <w:r w:rsidR="0081033A" w:rsidRPr="0081033A">
              <w:rPr>
                <w:rFonts w:ascii="Arial Italic" w:hAnsi="Arial Italic" w:cs="Arial"/>
                <w:i/>
                <w:szCs w:val="24"/>
                <w:lang w:val="fr-CA"/>
              </w:rPr>
              <w:t xml:space="preserve"> </w:t>
            </w:r>
            <w:r w:rsidR="0081033A">
              <w:rPr>
                <w:rFonts w:ascii="Arial Italic" w:hAnsi="Arial Italic" w:cs="Arial"/>
                <w:i/>
                <w:szCs w:val="24"/>
                <w:lang w:val="fr-CA"/>
              </w:rPr>
              <w:t>et remplir tout ce qui convient</w:t>
            </w:r>
            <w:r w:rsidR="00386672" w:rsidRPr="00EE5EED">
              <w:rPr>
                <w:rFonts w:cs="Arial"/>
                <w:i/>
                <w:szCs w:val="24"/>
                <w:lang w:val="fr-CA"/>
              </w:rPr>
              <w:t>)</w:t>
            </w:r>
            <w:r w:rsidR="00F97F07" w:rsidRPr="00EE5EED">
              <w:rPr>
                <w:rFonts w:cs="Arial"/>
                <w:i/>
                <w:szCs w:val="24"/>
                <w:lang w:val="fr-CA"/>
              </w:rPr>
              <w:t xml:space="preserve"> </w:t>
            </w:r>
          </w:p>
          <w:p w:rsidR="00E8152F" w:rsidRPr="00EE5EED" w:rsidRDefault="00E8152F" w:rsidP="00E8152F">
            <w:pPr>
              <w:rPr>
                <w:rFonts w:cs="Arial"/>
                <w:caps/>
                <w:sz w:val="24"/>
                <w:szCs w:val="24"/>
                <w:lang w:val="fr-CA"/>
              </w:rPr>
            </w:pPr>
          </w:p>
        </w:tc>
      </w:tr>
      <w:tr w:rsidR="007A4113" w:rsidRPr="00EE5EED" w:rsidTr="00376D64">
        <w:trPr>
          <w:trHeight w:val="144"/>
        </w:trPr>
        <w:tc>
          <w:tcPr>
            <w:tcW w:w="11050" w:type="dxa"/>
            <w:gridSpan w:val="4"/>
          </w:tcPr>
          <w:p w:rsidR="00124A0C" w:rsidRPr="00EE5EED" w:rsidRDefault="00DA2789" w:rsidP="00124A0C">
            <w:pPr>
              <w:spacing w:after="120"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 xml:space="preserve">Partie(s) qui se représente(nt) elle(s)-même(s)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:        </w: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>demandeur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    </w: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>défendeur</w:t>
            </w:r>
            <w:r w:rsidR="00727411" w:rsidRPr="00EE5EED">
              <w:rPr>
                <w:rFonts w:cs="Arial"/>
                <w:sz w:val="24"/>
                <w:szCs w:val="24"/>
                <w:lang w:val="fr-CA"/>
              </w:rPr>
              <w:t xml:space="preserve">     </w:t>
            </w:r>
          </w:p>
          <w:p w:rsidR="00DA2789" w:rsidRPr="00EE5EED" w:rsidRDefault="00124A0C" w:rsidP="00DA2789">
            <w:pPr>
              <w:spacing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</w:r>
            <w:r w:rsidRPr="00EE5EED">
              <w:rPr>
                <w:rFonts w:cs="Arial"/>
                <w:sz w:val="24"/>
                <w:szCs w:val="24"/>
                <w:lang w:val="fr-CA"/>
              </w:rPr>
              <w:tab/>
              <w:t xml:space="preserve">       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 xml:space="preserve">Si c’est le cas, identifier la partie </w:t>
            </w:r>
            <w:r w:rsidR="00727411" w:rsidRPr="00EE5EED">
              <w:rPr>
                <w:rFonts w:cs="Arial"/>
                <w:sz w:val="24"/>
                <w:szCs w:val="24"/>
                <w:lang w:val="fr-CA"/>
              </w:rPr>
              <w:t xml:space="preserve">: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</w:p>
          <w:p w:rsidR="000812B9" w:rsidRPr="00EE5EED" w:rsidRDefault="000812B9" w:rsidP="000812B9">
            <w:pPr>
              <w:spacing w:line="243" w:lineRule="auto"/>
              <w:rPr>
                <w:rFonts w:cs="Arial"/>
                <w:i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 xml:space="preserve">Action(s) connexe(s)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: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t xml:space="preserve"> </w:t>
            </w:r>
            <w:r w:rsidRPr="00EE5EED">
              <w:rPr>
                <w:rFonts w:cs="Arial"/>
                <w:i/>
                <w:caps/>
                <w:sz w:val="24"/>
                <w:szCs w:val="24"/>
                <w:lang w:val="fr-CA"/>
              </w:rPr>
              <w:t>(</w:t>
            </w:r>
            <w:r w:rsidR="0081033A">
              <w:rPr>
                <w:rFonts w:ascii="Arial Italic" w:hAnsi="Arial Italic" w:cs="Arial"/>
                <w:i/>
                <w:sz w:val="24"/>
                <w:szCs w:val="24"/>
                <w:lang w:val="fr-CA"/>
              </w:rPr>
              <w:t>numéro de dossier du tribunal et intitulé de la cause</w:t>
            </w:r>
            <w:r w:rsidRPr="00EE5EED">
              <w:rPr>
                <w:rFonts w:cs="Arial"/>
                <w:i/>
                <w:sz w:val="24"/>
                <w:szCs w:val="24"/>
                <w:lang w:val="fr-CA"/>
              </w:rPr>
              <w:t>)</w:t>
            </w:r>
          </w:p>
          <w:p w:rsidR="004011F0" w:rsidRPr="00EE5EED" w:rsidRDefault="004011F0" w:rsidP="006D0059">
            <w:pPr>
              <w:spacing w:before="240"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 xml:space="preserve">Instance bilingue </w:t>
            </w:r>
            <w:r w:rsidR="00604132">
              <w:rPr>
                <w:rFonts w:cs="Arial"/>
                <w:sz w:val="24"/>
                <w:szCs w:val="24"/>
                <w:lang w:val="fr-CA"/>
              </w:rPr>
              <w:t>-</w:t>
            </w:r>
            <w:r w:rsidR="0081033A">
              <w:rPr>
                <w:rFonts w:cs="Arial"/>
                <w:sz w:val="24"/>
                <w:szCs w:val="24"/>
                <w:lang w:val="fr-CA"/>
              </w:rPr>
              <w:t xml:space="preserve"> anglais et français </w:t>
            </w:r>
          </w:p>
          <w:p w:rsidR="00771EB2" w:rsidRPr="00EE5EED" w:rsidRDefault="0081033A" w:rsidP="005A0124">
            <w:pPr>
              <w:numPr>
                <w:ilvl w:val="0"/>
                <w:numId w:val="19"/>
              </w:numPr>
              <w:spacing w:before="360" w:after="240" w:line="243" w:lineRule="auto"/>
              <w:ind w:left="360"/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sz w:val="24"/>
                <w:szCs w:val="24"/>
                <w:lang w:val="fr-CA"/>
              </w:rPr>
              <w:t xml:space="preserve">État du dossier </w:t>
            </w:r>
            <w:r w:rsidR="006D0059" w:rsidRPr="00EE5EED">
              <w:rPr>
                <w:rFonts w:cs="Arial"/>
                <w:b/>
                <w:sz w:val="24"/>
                <w:szCs w:val="24"/>
                <w:lang w:val="fr-CA"/>
              </w:rPr>
              <w:t>:</w:t>
            </w:r>
          </w:p>
          <w:p w:rsidR="00006F8C" w:rsidRPr="00EE5EED" w:rsidRDefault="00006F8C" w:rsidP="00006F8C">
            <w:pPr>
              <w:spacing w:after="240" w:line="243" w:lineRule="auto"/>
              <w:rPr>
                <w:rFonts w:cs="Arial"/>
                <w:i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 xml:space="preserve">Médiation terminée </w:t>
            </w:r>
            <w:r w:rsidRPr="00EE5EED">
              <w:rPr>
                <w:rFonts w:cs="Arial"/>
                <w:i/>
                <w:sz w:val="24"/>
                <w:szCs w:val="24"/>
                <w:lang w:val="fr-CA"/>
              </w:rPr>
              <w:t>(</w:t>
            </w:r>
            <w:r w:rsidR="0081033A">
              <w:rPr>
                <w:rFonts w:cs="Arial"/>
                <w:i/>
                <w:sz w:val="24"/>
                <w:szCs w:val="24"/>
                <w:lang w:val="fr-CA"/>
              </w:rPr>
              <w:t xml:space="preserve">causes de </w:t>
            </w:r>
            <w:r w:rsidRPr="00EE5EED">
              <w:rPr>
                <w:rFonts w:cs="Arial"/>
                <w:i/>
                <w:sz w:val="24"/>
                <w:szCs w:val="24"/>
                <w:lang w:val="fr-CA"/>
              </w:rPr>
              <w:t xml:space="preserve">Toronto, Ottawa </w:t>
            </w:r>
            <w:r w:rsidR="0081033A">
              <w:rPr>
                <w:rFonts w:cs="Arial"/>
                <w:i/>
                <w:sz w:val="24"/>
                <w:szCs w:val="24"/>
                <w:lang w:val="fr-CA"/>
              </w:rPr>
              <w:t>et</w:t>
            </w:r>
            <w:r w:rsidRPr="00EE5EED">
              <w:rPr>
                <w:rFonts w:cs="Arial"/>
                <w:i/>
                <w:sz w:val="24"/>
                <w:szCs w:val="24"/>
                <w:lang w:val="fr-CA"/>
              </w:rPr>
              <w:t xml:space="preserve"> Windsor </w:t>
            </w:r>
            <w:r w:rsidR="0081033A">
              <w:rPr>
                <w:rFonts w:cs="Arial"/>
                <w:i/>
                <w:sz w:val="24"/>
                <w:szCs w:val="24"/>
                <w:lang w:val="fr-CA"/>
              </w:rPr>
              <w:t>seulement</w:t>
            </w:r>
            <w:r w:rsidRPr="00EE5EED">
              <w:rPr>
                <w:rFonts w:cs="Arial"/>
                <w:i/>
                <w:sz w:val="24"/>
                <w:szCs w:val="24"/>
                <w:lang w:val="fr-CA"/>
              </w:rPr>
              <w:t>)</w:t>
            </w:r>
          </w:p>
          <w:p w:rsidR="00771EB2" w:rsidRPr="00EE5EED" w:rsidRDefault="00771EB2" w:rsidP="00771EB2">
            <w:pPr>
              <w:spacing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>Interrogatoires préalables terminés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     </w:t>
            </w:r>
          </w:p>
          <w:p w:rsidR="00771EB2" w:rsidRPr="00EE5EED" w:rsidRDefault="00771EB2" w:rsidP="00006F8C">
            <w:pPr>
              <w:spacing w:before="240" w:after="120"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 xml:space="preserve">Engagements </w:t>
            </w:r>
            <w:r w:rsidR="000305BF">
              <w:rPr>
                <w:rFonts w:cs="Arial"/>
                <w:sz w:val="24"/>
                <w:szCs w:val="24"/>
                <w:lang w:val="fr-CA"/>
              </w:rPr>
              <w:t xml:space="preserve">pris lors des interrogatoires </w:t>
            </w:r>
            <w:r w:rsidR="0081033A">
              <w:rPr>
                <w:rFonts w:cs="Arial"/>
                <w:sz w:val="24"/>
                <w:szCs w:val="24"/>
                <w:lang w:val="fr-CA"/>
              </w:rPr>
              <w:t>préalable</w:t>
            </w:r>
            <w:r w:rsidR="000305BF">
              <w:rPr>
                <w:rFonts w:cs="Arial"/>
                <w:sz w:val="24"/>
                <w:szCs w:val="24"/>
                <w:lang w:val="fr-CA"/>
              </w:rPr>
              <w:t>s</w:t>
            </w:r>
            <w:r w:rsidR="0081033A">
              <w:rPr>
                <w:rFonts w:cs="Arial"/>
                <w:sz w:val="24"/>
                <w:szCs w:val="24"/>
                <w:lang w:val="fr-CA"/>
              </w:rPr>
              <w:t xml:space="preserve"> remplis </w:t>
            </w:r>
          </w:p>
          <w:p w:rsidR="00771EB2" w:rsidRPr="00EE5EED" w:rsidRDefault="000305BF" w:rsidP="00771EB2">
            <w:pPr>
              <w:spacing w:line="243" w:lineRule="auto"/>
              <w:ind w:left="360"/>
              <w:rPr>
                <w:rFonts w:cs="Arial"/>
                <w:sz w:val="24"/>
                <w:szCs w:val="24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t>Dans la négative, pour quelles parties reste-t-il encore des engagements</w:t>
            </w:r>
            <w:r w:rsidR="00771EB2" w:rsidRPr="00EE5EED">
              <w:rPr>
                <w:rFonts w:cs="Arial"/>
                <w:sz w:val="24"/>
                <w:szCs w:val="24"/>
                <w:lang w:val="fr-CA"/>
              </w:rPr>
              <w:t xml:space="preserve">?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</w:p>
          <w:p w:rsidR="00A07B3C" w:rsidRPr="00EE5EED" w:rsidRDefault="000305BF" w:rsidP="00771EB2">
            <w:pPr>
              <w:spacing w:line="243" w:lineRule="auto"/>
              <w:ind w:left="360"/>
              <w:rPr>
                <w:rFonts w:cs="Arial"/>
                <w:sz w:val="24"/>
                <w:szCs w:val="24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t xml:space="preserve">Quand les engagements </w:t>
            </w:r>
            <w:proofErr w:type="spellStart"/>
            <w:r>
              <w:rPr>
                <w:rFonts w:cs="Arial"/>
                <w:sz w:val="24"/>
                <w:szCs w:val="24"/>
                <w:lang w:val="fr-CA"/>
              </w:rPr>
              <w:t>seront-ils</w:t>
            </w:r>
            <w:proofErr w:type="spellEnd"/>
            <w:r>
              <w:rPr>
                <w:rFonts w:cs="Arial"/>
                <w:sz w:val="24"/>
                <w:szCs w:val="24"/>
                <w:lang w:val="fr-CA"/>
              </w:rPr>
              <w:t xml:space="preserve"> remplis</w:t>
            </w:r>
            <w:r w:rsidR="00A07B3C" w:rsidRPr="00EE5EED">
              <w:rPr>
                <w:rFonts w:cs="Arial"/>
                <w:sz w:val="24"/>
                <w:szCs w:val="24"/>
                <w:lang w:val="fr-CA"/>
              </w:rPr>
              <w:t>?</w:t>
            </w:r>
            <w:r w:rsidR="00B27EE5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</w:p>
          <w:p w:rsidR="00006F8C" w:rsidRPr="00EE5EED" w:rsidRDefault="00006F8C" w:rsidP="005A0124">
            <w:pPr>
              <w:spacing w:before="240" w:line="243" w:lineRule="auto"/>
              <w:rPr>
                <w:rFonts w:cs="Arial"/>
                <w:i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t xml:space="preserve"> 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Motions </w:t>
            </w:r>
            <w:r w:rsidR="000305BF">
              <w:rPr>
                <w:rFonts w:cs="Arial"/>
                <w:sz w:val="24"/>
                <w:szCs w:val="24"/>
                <w:lang w:val="fr-CA"/>
              </w:rPr>
              <w:t>non réglées</w:t>
            </w:r>
            <w:r w:rsidR="00F16FF0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F16FF0" w:rsidRPr="00EE5EED">
              <w:rPr>
                <w:rFonts w:cs="Arial"/>
                <w:i/>
                <w:szCs w:val="24"/>
                <w:lang w:val="fr-CA"/>
              </w:rPr>
              <w:t>(</w:t>
            </w:r>
            <w:r w:rsidR="000305BF">
              <w:rPr>
                <w:rFonts w:cs="Arial"/>
                <w:i/>
                <w:szCs w:val="24"/>
                <w:lang w:val="fr-CA"/>
              </w:rPr>
              <w:t xml:space="preserve">indiquer l’objet de chaque motion et si une audition </w:t>
            </w:r>
            <w:r w:rsidR="00604132">
              <w:rPr>
                <w:rFonts w:cs="Arial"/>
                <w:i/>
                <w:szCs w:val="24"/>
                <w:lang w:val="fr-CA"/>
              </w:rPr>
              <w:t xml:space="preserve">sur la motion </w:t>
            </w:r>
            <w:r w:rsidR="000305BF">
              <w:rPr>
                <w:rFonts w:cs="Arial"/>
                <w:i/>
                <w:szCs w:val="24"/>
                <w:lang w:val="fr-CA"/>
              </w:rPr>
              <w:t>est prévue et quand</w:t>
            </w:r>
            <w:r w:rsidR="00F16FF0" w:rsidRPr="00EE5EED">
              <w:rPr>
                <w:rFonts w:cs="Arial"/>
                <w:i/>
                <w:szCs w:val="24"/>
                <w:lang w:val="fr-CA"/>
              </w:rPr>
              <w:t>)</w:t>
            </w:r>
            <w:r w:rsidR="000305BF">
              <w:rPr>
                <w:rFonts w:cs="Arial"/>
                <w:i/>
                <w:szCs w:val="24"/>
                <w:lang w:val="fr-CA"/>
              </w:rPr>
              <w:t> 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: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 </w:t>
            </w:r>
          </w:p>
          <w:p w:rsidR="00771EB2" w:rsidRPr="00EE5EED" w:rsidRDefault="000305BF" w:rsidP="005A0124">
            <w:pPr>
              <w:numPr>
                <w:ilvl w:val="0"/>
                <w:numId w:val="19"/>
              </w:numPr>
              <w:spacing w:before="360" w:after="240" w:line="243" w:lineRule="auto"/>
              <w:ind w:left="360"/>
              <w:rPr>
                <w:rFonts w:cs="Arial"/>
                <w:b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sz w:val="24"/>
                <w:szCs w:val="24"/>
                <w:lang w:val="fr-CA"/>
              </w:rPr>
              <w:lastRenderedPageBreak/>
              <w:t xml:space="preserve">Témoins </w:t>
            </w:r>
            <w:r w:rsidR="006D0059" w:rsidRPr="00EE5EED">
              <w:rPr>
                <w:rFonts w:cs="Arial"/>
                <w:b/>
                <w:sz w:val="24"/>
                <w:szCs w:val="24"/>
                <w:lang w:val="fr-CA"/>
              </w:rPr>
              <w:t>:</w:t>
            </w:r>
          </w:p>
          <w:p w:rsidR="007A4113" w:rsidRPr="00EE5EED" w:rsidRDefault="007A4113" w:rsidP="00DA616D">
            <w:pPr>
              <w:spacing w:line="243" w:lineRule="auto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DA616D">
              <w:rPr>
                <w:rFonts w:cs="Arial"/>
                <w:sz w:val="24"/>
                <w:szCs w:val="24"/>
                <w:lang w:val="fr-CA"/>
              </w:rPr>
              <w:t>Un i</w:t>
            </w:r>
            <w:r w:rsidR="00481E93" w:rsidRPr="00EE5EED">
              <w:rPr>
                <w:rFonts w:cs="Arial"/>
                <w:sz w:val="24"/>
                <w:szCs w:val="24"/>
                <w:lang w:val="fr-CA"/>
              </w:rPr>
              <w:t>nterpr</w:t>
            </w:r>
            <w:r w:rsidR="000305BF">
              <w:rPr>
                <w:rFonts w:cs="Arial"/>
                <w:sz w:val="24"/>
                <w:szCs w:val="24"/>
                <w:lang w:val="fr-CA"/>
              </w:rPr>
              <w:t xml:space="preserve">ète </w:t>
            </w:r>
            <w:r w:rsidR="00DA616D">
              <w:rPr>
                <w:rFonts w:cs="Arial"/>
                <w:sz w:val="24"/>
                <w:szCs w:val="24"/>
                <w:lang w:val="fr-CA"/>
              </w:rPr>
              <w:t xml:space="preserve">est </w:t>
            </w:r>
            <w:r w:rsidR="000305BF">
              <w:rPr>
                <w:rFonts w:cs="Arial"/>
                <w:sz w:val="24"/>
                <w:szCs w:val="24"/>
                <w:lang w:val="fr-CA"/>
              </w:rPr>
              <w:t xml:space="preserve">requis dans les langues suivantes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B27EE5">
              <w:rPr>
                <w:rFonts w:cs="Arial"/>
                <w:sz w:val="24"/>
                <w:szCs w:val="24"/>
                <w:lang w:val="fr-CA"/>
              </w:rPr>
              <w:t>; l</w:t>
            </w:r>
            <w:r w:rsidR="00DA616D" w:rsidRPr="00DA616D">
              <w:rPr>
                <w:rFonts w:cs="Arial"/>
                <w:sz w:val="24"/>
                <w:szCs w:val="24"/>
                <w:lang w:val="fr-CA"/>
              </w:rPr>
              <w:t xml:space="preserve">es </w:t>
            </w:r>
            <w:r w:rsidR="000305BF" w:rsidRPr="000305BF">
              <w:rPr>
                <w:rFonts w:cs="Arial"/>
                <w:sz w:val="24"/>
                <w:szCs w:val="24"/>
                <w:lang w:val="fr-CA"/>
              </w:rPr>
              <w:t xml:space="preserve">dispositions </w:t>
            </w:r>
            <w:r w:rsidR="00DA616D">
              <w:rPr>
                <w:rFonts w:cs="Arial"/>
                <w:sz w:val="24"/>
                <w:szCs w:val="24"/>
                <w:lang w:val="fr-CA"/>
              </w:rPr>
              <w:t xml:space="preserve">doivent être prises </w:t>
            </w:r>
            <w:r w:rsidR="000305BF">
              <w:rPr>
                <w:rFonts w:cs="Arial"/>
                <w:sz w:val="24"/>
                <w:szCs w:val="24"/>
                <w:lang w:val="fr-CA"/>
              </w:rPr>
              <w:t>par</w:t>
            </w:r>
            <w:r w:rsidR="00DA616D">
              <w:rPr>
                <w:rFonts w:cs="Arial"/>
                <w:sz w:val="24"/>
                <w:szCs w:val="24"/>
                <w:lang w:val="fr-CA"/>
              </w:rPr>
              <w:t> </w:t>
            </w:r>
            <w:r w:rsidR="00CA7A3C" w:rsidRPr="00EE5EED">
              <w:rPr>
                <w:rFonts w:cs="Arial"/>
                <w:sz w:val="24"/>
                <w:szCs w:val="24"/>
                <w:lang w:val="fr-CA"/>
              </w:rPr>
              <w:t>:</w:t>
            </w:r>
            <w:r w:rsidR="00B27EE5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4011F0" w:rsidRPr="00EE5EED">
              <w:rPr>
                <w:rFonts w:cs="Arial"/>
                <w:caps/>
                <w:sz w:val="24"/>
                <w:szCs w:val="24"/>
                <w:lang w:val="fr-CA"/>
              </w:rPr>
              <w:t xml:space="preserve"> </w:t>
            </w:r>
          </w:p>
        </w:tc>
      </w:tr>
      <w:tr w:rsidR="007A4113" w:rsidRPr="00EE5EED" w:rsidTr="00376D64">
        <w:trPr>
          <w:trHeight w:val="144"/>
        </w:trPr>
        <w:tc>
          <w:tcPr>
            <w:tcW w:w="11050" w:type="dxa"/>
            <w:gridSpan w:val="4"/>
          </w:tcPr>
          <w:p w:rsidR="00386672" w:rsidRPr="00EE5EED" w:rsidRDefault="00386672" w:rsidP="007A4113">
            <w:pPr>
              <w:spacing w:line="243" w:lineRule="auto"/>
              <w:rPr>
                <w:rFonts w:cs="Arial"/>
                <w:caps/>
                <w:sz w:val="12"/>
                <w:szCs w:val="12"/>
                <w:lang w:val="fr-CA"/>
              </w:rPr>
            </w:pPr>
          </w:p>
          <w:p w:rsidR="007A4113" w:rsidRPr="00EE5EED" w:rsidRDefault="007A4113" w:rsidP="00604132">
            <w:pPr>
              <w:spacing w:line="243" w:lineRule="auto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DA616D">
              <w:rPr>
                <w:rFonts w:cs="Arial"/>
                <w:sz w:val="24"/>
                <w:szCs w:val="24"/>
                <w:lang w:val="fr-CA"/>
              </w:rPr>
              <w:t>Un t</w:t>
            </w:r>
            <w:r w:rsidR="000305BF">
              <w:rPr>
                <w:rFonts w:cs="Arial"/>
                <w:sz w:val="24"/>
                <w:szCs w:val="24"/>
                <w:lang w:val="fr-CA"/>
              </w:rPr>
              <w:t>émoin du nom de</w:t>
            </w:r>
            <w:r w:rsidR="00481E93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0305BF">
              <w:rPr>
                <w:rFonts w:cs="Arial"/>
                <w:sz w:val="24"/>
                <w:szCs w:val="24"/>
                <w:lang w:val="fr-CA"/>
              </w:rPr>
              <w:t xml:space="preserve"> a besoin d’une mesure d’adaptation pour le handicap suivant </w:t>
            </w:r>
            <w:r w:rsidR="00481E93" w:rsidRPr="00EE5EED">
              <w:rPr>
                <w:rFonts w:cs="Arial"/>
                <w:sz w:val="24"/>
                <w:szCs w:val="24"/>
                <w:lang w:val="fr-CA"/>
              </w:rPr>
              <w:t xml:space="preserve">: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</w:p>
        </w:tc>
      </w:tr>
      <w:tr w:rsidR="007A4113" w:rsidRPr="00EE5EED" w:rsidTr="00376D64">
        <w:trPr>
          <w:trHeight w:val="144"/>
        </w:trPr>
        <w:tc>
          <w:tcPr>
            <w:tcW w:w="11050" w:type="dxa"/>
            <w:gridSpan w:val="4"/>
          </w:tcPr>
          <w:p w:rsidR="00386672" w:rsidRPr="00EE5EED" w:rsidRDefault="00386672" w:rsidP="007A4113">
            <w:pPr>
              <w:spacing w:line="243" w:lineRule="auto"/>
              <w:rPr>
                <w:rFonts w:cs="Arial"/>
                <w:caps/>
                <w:sz w:val="12"/>
                <w:szCs w:val="12"/>
                <w:lang w:val="fr-CA"/>
              </w:rPr>
            </w:pPr>
          </w:p>
          <w:p w:rsidR="00481E93" w:rsidRPr="00EE5EED" w:rsidRDefault="00481E93" w:rsidP="00DA616D">
            <w:pPr>
              <w:spacing w:line="243" w:lineRule="auto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DA616D">
              <w:rPr>
                <w:rFonts w:cs="Arial"/>
                <w:sz w:val="24"/>
                <w:szCs w:val="24"/>
                <w:lang w:val="fr-CA"/>
              </w:rPr>
              <w:t>Un témoin du nom de</w:t>
            </w:r>
            <w:r w:rsidR="00DA616D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B27EE5">
              <w:rPr>
                <w:rFonts w:cs="Arial"/>
                <w:sz w:val="24"/>
                <w:szCs w:val="24"/>
                <w:lang w:val="fr-CA"/>
              </w:rPr>
              <w:t xml:space="preserve"> n</w:t>
            </w:r>
            <w:r w:rsidR="00DA616D" w:rsidRPr="00DA616D">
              <w:rPr>
                <w:rFonts w:cs="Arial"/>
                <w:sz w:val="24"/>
                <w:szCs w:val="24"/>
                <w:lang w:val="fr-CA"/>
              </w:rPr>
              <w:t xml:space="preserve">’est pas disponible les jours suivants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: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</w:p>
        </w:tc>
      </w:tr>
      <w:tr w:rsidR="007A4113" w:rsidRPr="00EE5EED" w:rsidTr="00376D64">
        <w:trPr>
          <w:trHeight w:val="144"/>
        </w:trPr>
        <w:tc>
          <w:tcPr>
            <w:tcW w:w="11050" w:type="dxa"/>
            <w:gridSpan w:val="4"/>
          </w:tcPr>
          <w:p w:rsidR="00386672" w:rsidRPr="00EE5EED" w:rsidRDefault="00386672" w:rsidP="00594E45">
            <w:pPr>
              <w:spacing w:line="243" w:lineRule="auto"/>
              <w:rPr>
                <w:rFonts w:cs="Arial"/>
                <w:caps/>
                <w:sz w:val="12"/>
                <w:szCs w:val="12"/>
                <w:lang w:val="fr-CA"/>
              </w:rPr>
            </w:pPr>
          </w:p>
          <w:p w:rsidR="00E53A41" w:rsidRDefault="00E53A41" w:rsidP="00594E45">
            <w:pPr>
              <w:spacing w:line="243" w:lineRule="auto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DA616D">
              <w:rPr>
                <w:rFonts w:cs="Arial"/>
                <w:sz w:val="24"/>
                <w:szCs w:val="24"/>
                <w:lang w:val="fr-CA"/>
              </w:rPr>
              <w:t xml:space="preserve">Témoins hors de la ville / du pays </w:t>
            </w:r>
            <w:r w:rsidR="00263A2B" w:rsidRPr="00EE5EED">
              <w:rPr>
                <w:rFonts w:cs="Arial"/>
                <w:sz w:val="24"/>
                <w:szCs w:val="24"/>
                <w:lang w:val="fr-CA"/>
              </w:rPr>
              <w:t>(</w:t>
            </w:r>
            <w:r w:rsidR="00DA616D">
              <w:rPr>
                <w:rFonts w:cs="Arial"/>
                <w:sz w:val="24"/>
                <w:szCs w:val="24"/>
                <w:lang w:val="fr-CA"/>
              </w:rPr>
              <w:t xml:space="preserve">indiquer leurs </w:t>
            </w:r>
            <w:proofErr w:type="gramStart"/>
            <w:r w:rsidR="00DA616D">
              <w:rPr>
                <w:rFonts w:cs="Arial"/>
                <w:sz w:val="24"/>
                <w:szCs w:val="24"/>
                <w:lang w:val="fr-CA"/>
              </w:rPr>
              <w:t>noms</w:t>
            </w:r>
            <w:r w:rsidR="00263A2B" w:rsidRPr="00EE5EED">
              <w:rPr>
                <w:rFonts w:cs="Arial"/>
                <w:sz w:val="24"/>
                <w:szCs w:val="24"/>
                <w:lang w:val="fr-CA"/>
              </w:rPr>
              <w:t>)</w:t>
            </w:r>
            <w:r w:rsidR="00B27EE5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>
              <w:rPr>
                <w:rFonts w:cs="Arial"/>
                <w:sz w:val="24"/>
                <w:szCs w:val="24"/>
                <w:lang w:val="fr-CA"/>
              </w:rPr>
              <w:t> </w:t>
            </w:r>
            <w:r w:rsidR="00B27EE5" w:rsidRPr="00EE5EED">
              <w:rPr>
                <w:rFonts w:cs="Arial"/>
                <w:sz w:val="24"/>
                <w:szCs w:val="24"/>
                <w:lang w:val="fr-CA"/>
              </w:rPr>
              <w:t>:</w:t>
            </w:r>
            <w:proofErr w:type="gramEnd"/>
            <w:r w:rsidR="00B27EE5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  <w:r w:rsidR="00B27EE5" w:rsidRPr="00EE5EED">
              <w:rPr>
                <w:rFonts w:cs="Arial"/>
                <w:caps/>
                <w:sz w:val="24"/>
                <w:szCs w:val="24"/>
                <w:lang w:val="fr-CA"/>
              </w:rPr>
              <w:t xml:space="preserve"> </w:t>
            </w:r>
          </w:p>
          <w:p w:rsidR="00B27EE5" w:rsidRPr="00EE5EED" w:rsidRDefault="00B27EE5" w:rsidP="00594E45">
            <w:pPr>
              <w:spacing w:line="243" w:lineRule="auto"/>
              <w:rPr>
                <w:rFonts w:cs="Arial"/>
                <w:caps/>
                <w:sz w:val="24"/>
                <w:szCs w:val="24"/>
                <w:lang w:val="fr-CA"/>
              </w:rPr>
            </w:pPr>
          </w:p>
          <w:p w:rsidR="00E53A41" w:rsidRPr="00EE5EED" w:rsidRDefault="00E53A41" w:rsidP="00E53A41">
            <w:pPr>
              <w:spacing w:line="243" w:lineRule="auto"/>
              <w:rPr>
                <w:rFonts w:cs="Arial"/>
                <w:sz w:val="24"/>
                <w:szCs w:val="24"/>
                <w:u w:val="single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DA616D">
              <w:rPr>
                <w:rFonts w:cs="Arial"/>
                <w:sz w:val="24"/>
                <w:szCs w:val="24"/>
                <w:lang w:val="fr-CA"/>
              </w:rPr>
              <w:t xml:space="preserve">Une ordonnance judiciaire autorisant le contre-interrogatoire par vidéoconférence de témoins qui se trouvent hors de la ville / du pays sera demandée pour les </w:t>
            </w:r>
            <w:proofErr w:type="gramStart"/>
            <w:r w:rsidR="00DA616D">
              <w:rPr>
                <w:rFonts w:cs="Arial"/>
                <w:sz w:val="24"/>
                <w:szCs w:val="24"/>
                <w:lang w:val="fr-CA"/>
              </w:rPr>
              <w:t xml:space="preserve">témoins </w:t>
            </w:r>
            <w:r w:rsidR="00B27EE5">
              <w:rPr>
                <w:rFonts w:cs="Arial"/>
                <w:sz w:val="24"/>
                <w:szCs w:val="24"/>
                <w:lang w:val="fr-CA"/>
              </w:rPr>
              <w:t> </w:t>
            </w:r>
            <w:r w:rsidR="00B27EE5" w:rsidRPr="00EE5EED">
              <w:rPr>
                <w:rFonts w:cs="Arial"/>
                <w:sz w:val="24"/>
                <w:szCs w:val="24"/>
                <w:lang w:val="fr-CA"/>
              </w:rPr>
              <w:t>:</w:t>
            </w:r>
            <w:proofErr w:type="gramEnd"/>
            <w:r w:rsidR="00B27EE5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</w:p>
          <w:p w:rsidR="00360F49" w:rsidRPr="00EE5EED" w:rsidRDefault="00360F49" w:rsidP="00360F49">
            <w:pPr>
              <w:spacing w:before="240" w:after="120"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DA616D">
              <w:rPr>
                <w:rFonts w:cs="Arial"/>
                <w:sz w:val="24"/>
                <w:szCs w:val="24"/>
                <w:lang w:val="fr-CA"/>
              </w:rPr>
              <w:t xml:space="preserve">Des rapports d’expert ont été signifiés par 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:    </w: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DA616D">
              <w:rPr>
                <w:rFonts w:cs="Arial"/>
                <w:sz w:val="24"/>
                <w:szCs w:val="24"/>
                <w:lang w:val="fr-CA"/>
              </w:rPr>
              <w:t xml:space="preserve">le </w:t>
            </w:r>
            <w:r w:rsidR="00422D98">
              <w:rPr>
                <w:rFonts w:cs="Arial"/>
                <w:sz w:val="24"/>
                <w:szCs w:val="24"/>
                <w:lang w:val="fr-CA"/>
              </w:rPr>
              <w:t>demandeur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     </w: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422D98">
              <w:rPr>
                <w:rFonts w:cs="Arial"/>
                <w:sz w:val="24"/>
                <w:szCs w:val="24"/>
                <w:lang w:val="fr-CA"/>
              </w:rPr>
              <w:t xml:space="preserve">le défendeur </w:t>
            </w:r>
          </w:p>
          <w:p w:rsidR="00360F49" w:rsidRPr="00EE5EED" w:rsidRDefault="00422D98" w:rsidP="00360F49">
            <w:pPr>
              <w:spacing w:line="243" w:lineRule="auto"/>
              <w:ind w:left="360"/>
              <w:rPr>
                <w:rFonts w:cs="Arial"/>
                <w:sz w:val="24"/>
                <w:szCs w:val="24"/>
                <w:lang w:val="fr-CA"/>
              </w:rPr>
            </w:pPr>
            <w:r>
              <w:rPr>
                <w:rFonts w:cs="Arial"/>
                <w:sz w:val="24"/>
                <w:szCs w:val="24"/>
                <w:lang w:val="fr-CA"/>
              </w:rPr>
              <w:t xml:space="preserve">Les rapports d’expert doivent être signifiés </w:t>
            </w:r>
            <w:r>
              <w:rPr>
                <w:rFonts w:cs="Arial"/>
                <w:b/>
                <w:sz w:val="24"/>
                <w:szCs w:val="24"/>
                <w:lang w:val="fr-CA"/>
              </w:rPr>
              <w:t xml:space="preserve">au moins 90 jours 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avant la conférence préparatoire au procès et les rapports d’expert en réponse doivent être signifiés </w:t>
            </w:r>
            <w:r>
              <w:rPr>
                <w:rFonts w:cs="Arial"/>
                <w:b/>
                <w:sz w:val="24"/>
                <w:szCs w:val="24"/>
                <w:lang w:val="fr-CA"/>
              </w:rPr>
              <w:t xml:space="preserve">au moins 60 jours 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avant la conférence préparatoire au procès </w:t>
            </w:r>
            <w:r w:rsidR="00360F49" w:rsidRPr="00EE5EED">
              <w:rPr>
                <w:rFonts w:cs="Arial"/>
                <w:sz w:val="24"/>
                <w:szCs w:val="24"/>
                <w:lang w:val="fr-CA"/>
              </w:rPr>
              <w:t>(</w:t>
            </w:r>
            <w:r>
              <w:rPr>
                <w:rFonts w:cs="Arial"/>
                <w:sz w:val="24"/>
                <w:szCs w:val="24"/>
                <w:lang w:val="fr-CA"/>
              </w:rPr>
              <w:t xml:space="preserve">règle </w:t>
            </w:r>
            <w:r w:rsidR="00360F49" w:rsidRPr="00EE5EED">
              <w:rPr>
                <w:rFonts w:cs="Arial"/>
                <w:sz w:val="24"/>
                <w:szCs w:val="24"/>
                <w:lang w:val="fr-CA"/>
              </w:rPr>
              <w:t>53.03)</w:t>
            </w:r>
            <w:r>
              <w:rPr>
                <w:rFonts w:cs="Arial"/>
                <w:sz w:val="24"/>
                <w:szCs w:val="24"/>
                <w:lang w:val="fr-CA"/>
              </w:rPr>
              <w:t>.</w:t>
            </w:r>
          </w:p>
          <w:p w:rsidR="00A76EE8" w:rsidRPr="00EE5EED" w:rsidRDefault="00594E45" w:rsidP="00360F49">
            <w:pPr>
              <w:spacing w:before="240" w:after="120"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422D98">
              <w:rPr>
                <w:rFonts w:cs="Arial"/>
                <w:sz w:val="24"/>
                <w:szCs w:val="24"/>
                <w:lang w:val="fr-CA"/>
              </w:rPr>
              <w:t>Des affidavits d’experts</w:t>
            </w:r>
            <w:r w:rsidR="00A07B3C" w:rsidRPr="00EE5EED">
              <w:rPr>
                <w:rFonts w:cs="Arial"/>
                <w:sz w:val="24"/>
                <w:szCs w:val="24"/>
                <w:lang w:val="fr-CA"/>
              </w:rPr>
              <w:t xml:space="preserve"> (</w:t>
            </w:r>
            <w:r w:rsidR="00422D98">
              <w:rPr>
                <w:rFonts w:cs="Arial"/>
                <w:sz w:val="24"/>
                <w:szCs w:val="24"/>
                <w:lang w:val="fr-CA"/>
              </w:rPr>
              <w:t xml:space="preserve">auxquels sont annexés les rapports d’expert) </w:t>
            </w:r>
            <w:r w:rsidR="00604132">
              <w:rPr>
                <w:rFonts w:cs="Arial"/>
                <w:sz w:val="24"/>
                <w:szCs w:val="24"/>
                <w:lang w:val="fr-CA"/>
              </w:rPr>
              <w:t xml:space="preserve">ont été </w:t>
            </w:r>
            <w:r w:rsidR="00422D98">
              <w:rPr>
                <w:rFonts w:cs="Arial"/>
                <w:sz w:val="24"/>
                <w:szCs w:val="24"/>
                <w:lang w:val="fr-CA"/>
              </w:rPr>
              <w:t xml:space="preserve">présentés par </w:t>
            </w:r>
            <w:r w:rsidR="00DA2789" w:rsidRPr="00EE5EED">
              <w:rPr>
                <w:rFonts w:cs="Arial"/>
                <w:sz w:val="24"/>
                <w:szCs w:val="24"/>
                <w:lang w:val="fr-CA"/>
              </w:rPr>
              <w:t>:</w:t>
            </w:r>
            <w:r w:rsidR="004011F0" w:rsidRPr="00EE5EED">
              <w:rPr>
                <w:rFonts w:cs="Arial"/>
                <w:sz w:val="24"/>
                <w:szCs w:val="24"/>
                <w:lang w:val="fr-CA"/>
              </w:rPr>
              <w:t xml:space="preserve">    </w:t>
            </w:r>
            <w:r w:rsidR="004011F0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1F0"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="004011F0"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="004011F0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="004011F0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422D98">
              <w:rPr>
                <w:rFonts w:cs="Arial"/>
                <w:sz w:val="24"/>
                <w:szCs w:val="24"/>
                <w:lang w:val="fr-CA"/>
              </w:rPr>
              <w:t>le demandeur</w:t>
            </w:r>
            <w:r w:rsidR="00422D98" w:rsidRPr="00EE5EED">
              <w:rPr>
                <w:rFonts w:cs="Arial"/>
                <w:sz w:val="24"/>
                <w:szCs w:val="24"/>
                <w:lang w:val="fr-CA"/>
              </w:rPr>
              <w:t xml:space="preserve">      </w:t>
            </w:r>
            <w:r w:rsidR="004011F0" w:rsidRPr="00EE5EED">
              <w:rPr>
                <w:rFonts w:cs="Arial"/>
                <w:sz w:val="24"/>
                <w:szCs w:val="24"/>
                <w:lang w:val="fr-CA"/>
              </w:rPr>
              <w:t xml:space="preserve">  </w:t>
            </w:r>
            <w:r w:rsidR="004011F0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1F0"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="004011F0"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="004011F0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="004011F0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422D98">
              <w:rPr>
                <w:rFonts w:cs="Arial"/>
                <w:sz w:val="24"/>
                <w:szCs w:val="24"/>
                <w:lang w:val="fr-CA"/>
              </w:rPr>
              <w:t>le défendeur</w:t>
            </w:r>
            <w:r w:rsidR="00DA2789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</w:p>
          <w:p w:rsidR="00594E45" w:rsidRPr="00EE5EED" w:rsidRDefault="00A76EE8" w:rsidP="00A76EE8">
            <w:pPr>
              <w:spacing w:line="243" w:lineRule="auto"/>
              <w:ind w:left="360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lang w:val="fr-CA"/>
              </w:rPr>
              <w:t>(</w:t>
            </w:r>
            <w:r w:rsidR="00422D98">
              <w:rPr>
                <w:rFonts w:cs="Arial"/>
                <w:sz w:val="24"/>
                <w:szCs w:val="24"/>
                <w:lang w:val="fr-CA"/>
              </w:rPr>
              <w:t xml:space="preserve">Si ce n’est pas le cas, tous les affidavits d’experts, </w:t>
            </w:r>
            <w:r w:rsidR="00141684" w:rsidRPr="00141684">
              <w:rPr>
                <w:rFonts w:cs="Arial"/>
                <w:sz w:val="24"/>
                <w:szCs w:val="24"/>
                <w:lang w:val="fr-CA"/>
              </w:rPr>
              <w:t>autres que des affidavits d’experts supplémentaires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, </w:t>
            </w:r>
            <w:r w:rsidR="00141684">
              <w:rPr>
                <w:rFonts w:cs="Arial"/>
                <w:b/>
                <w:sz w:val="24"/>
                <w:szCs w:val="24"/>
                <w:lang w:val="fr-CA"/>
              </w:rPr>
              <w:t>doivent</w:t>
            </w:r>
            <w:r w:rsidR="00141684">
              <w:rPr>
                <w:rFonts w:cs="Arial"/>
                <w:sz w:val="24"/>
                <w:szCs w:val="24"/>
                <w:lang w:val="fr-CA"/>
              </w:rPr>
              <w:t xml:space="preserve"> être signifiés et déposés au moins </w:t>
            </w:r>
            <w:r w:rsidR="00141684" w:rsidRPr="00141684">
              <w:rPr>
                <w:rFonts w:cs="Arial"/>
                <w:b/>
                <w:sz w:val="24"/>
                <w:szCs w:val="24"/>
                <w:lang w:val="fr-CA"/>
              </w:rPr>
              <w:t>cinq jours</w:t>
            </w:r>
            <w:r w:rsidR="00141684">
              <w:rPr>
                <w:rFonts w:cs="Arial"/>
                <w:sz w:val="24"/>
                <w:szCs w:val="24"/>
                <w:lang w:val="fr-CA"/>
              </w:rPr>
              <w:t xml:space="preserve"> avant la conférence préparatoire au procès prévue.</w:t>
            </w:r>
            <w:r w:rsidRPr="00EE5EED">
              <w:rPr>
                <w:rFonts w:cs="Arial"/>
                <w:sz w:val="24"/>
                <w:szCs w:val="24"/>
                <w:lang w:val="fr-CA"/>
              </w:rPr>
              <w:t>)</w:t>
            </w:r>
          </w:p>
          <w:p w:rsidR="00594E45" w:rsidRPr="00EE5EED" w:rsidRDefault="00594E45" w:rsidP="00594E45">
            <w:pPr>
              <w:spacing w:line="243" w:lineRule="auto"/>
              <w:rPr>
                <w:rFonts w:cs="Arial"/>
                <w:sz w:val="24"/>
                <w:szCs w:val="24"/>
                <w:lang w:val="fr-CA"/>
              </w:rPr>
            </w:pPr>
          </w:p>
          <w:p w:rsidR="00594E45" w:rsidRPr="00EE5EED" w:rsidRDefault="00894EAD" w:rsidP="00594E45">
            <w:pPr>
              <w:spacing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141684">
              <w:rPr>
                <w:rFonts w:cs="Arial"/>
                <w:sz w:val="24"/>
                <w:szCs w:val="24"/>
                <w:lang w:val="fr-CA"/>
              </w:rPr>
              <w:t xml:space="preserve">Des </w:t>
            </w:r>
            <w:r w:rsidR="00141684" w:rsidRPr="00141684">
              <w:rPr>
                <w:rFonts w:cs="Arial"/>
                <w:sz w:val="24"/>
                <w:szCs w:val="24"/>
                <w:lang w:val="fr-CA"/>
              </w:rPr>
              <w:t>affidavits d’experts supplémentaires</w:t>
            </w:r>
            <w:r w:rsidR="00141684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141684">
              <w:rPr>
                <w:rFonts w:cs="Arial"/>
                <w:sz w:val="24"/>
                <w:szCs w:val="24"/>
                <w:lang w:val="fr-CA"/>
              </w:rPr>
              <w:t xml:space="preserve">sont attendus </w:t>
            </w:r>
            <w:r w:rsidR="00EF26B0" w:rsidRPr="00EE5EED">
              <w:rPr>
                <w:rFonts w:cs="Arial"/>
                <w:sz w:val="24"/>
                <w:szCs w:val="24"/>
                <w:lang w:val="fr-CA"/>
              </w:rPr>
              <w:t xml:space="preserve">:      </w:t>
            </w:r>
            <w:r w:rsidR="00EF26B0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6B0"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="00EF26B0"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="00EF26B0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="00EF26B0"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141684">
              <w:rPr>
                <w:rFonts w:cs="Arial"/>
                <w:sz w:val="24"/>
                <w:szCs w:val="24"/>
                <w:lang w:val="fr-CA"/>
              </w:rPr>
              <w:t>du demandeur</w:t>
            </w:r>
            <w:r w:rsidR="00EF26B0" w:rsidRPr="00EE5EED">
              <w:rPr>
                <w:rFonts w:cs="Arial"/>
                <w:sz w:val="24"/>
                <w:szCs w:val="24"/>
                <w:lang w:val="fr-CA"/>
              </w:rPr>
              <w:t xml:space="preserve">      </w:t>
            </w:r>
            <w:r w:rsidR="00EF26B0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26B0"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="00EF26B0"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="00EF26B0"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="00EF26B0" w:rsidRPr="00EE5EED">
              <w:rPr>
                <w:rFonts w:cs="Arial"/>
                <w:sz w:val="24"/>
                <w:szCs w:val="24"/>
                <w:lang w:val="fr-CA"/>
              </w:rPr>
              <w:t xml:space="preserve"> d</w:t>
            </w:r>
            <w:r w:rsidR="00141684">
              <w:rPr>
                <w:rFonts w:cs="Arial"/>
                <w:sz w:val="24"/>
                <w:szCs w:val="24"/>
                <w:lang w:val="fr-CA"/>
              </w:rPr>
              <w:t>u défendeur</w:t>
            </w:r>
            <w:r w:rsidR="00EF26B0" w:rsidRPr="00EE5EED">
              <w:rPr>
                <w:rFonts w:cs="Arial"/>
                <w:sz w:val="24"/>
                <w:szCs w:val="24"/>
                <w:lang w:val="fr-CA"/>
              </w:rPr>
              <w:t xml:space="preserve">    </w:t>
            </w:r>
          </w:p>
          <w:p w:rsidR="006D0059" w:rsidRPr="00EE5EED" w:rsidRDefault="00141684" w:rsidP="005A0124">
            <w:pPr>
              <w:numPr>
                <w:ilvl w:val="0"/>
                <w:numId w:val="19"/>
              </w:numPr>
              <w:spacing w:before="360" w:after="240" w:line="243" w:lineRule="auto"/>
              <w:ind w:left="360"/>
              <w:rPr>
                <w:rFonts w:cs="Arial"/>
                <w:b/>
                <w:sz w:val="24"/>
                <w:szCs w:val="24"/>
                <w:lang w:val="fr-CA"/>
              </w:rPr>
            </w:pPr>
            <w:r>
              <w:rPr>
                <w:rFonts w:cs="Arial"/>
                <w:b/>
                <w:sz w:val="24"/>
                <w:szCs w:val="24"/>
                <w:lang w:val="fr-CA"/>
              </w:rPr>
              <w:t>Autres considérations / exige</w:t>
            </w:r>
            <w:r w:rsidR="00604132">
              <w:rPr>
                <w:rFonts w:cs="Arial"/>
                <w:b/>
                <w:sz w:val="24"/>
                <w:szCs w:val="24"/>
                <w:lang w:val="fr-CA"/>
              </w:rPr>
              <w:t>nce</w:t>
            </w:r>
            <w:r>
              <w:rPr>
                <w:rFonts w:cs="Arial"/>
                <w:b/>
                <w:sz w:val="24"/>
                <w:szCs w:val="24"/>
                <w:lang w:val="fr-CA"/>
              </w:rPr>
              <w:t xml:space="preserve">s pour le procès </w:t>
            </w:r>
            <w:r w:rsidR="006D0059" w:rsidRPr="00EE5EED">
              <w:rPr>
                <w:rFonts w:cs="Arial"/>
                <w:b/>
                <w:sz w:val="24"/>
                <w:szCs w:val="24"/>
                <w:lang w:val="fr-CA"/>
              </w:rPr>
              <w:t>:</w:t>
            </w:r>
          </w:p>
          <w:p w:rsidR="00594E45" w:rsidRPr="00EE5EED" w:rsidRDefault="00594E45" w:rsidP="00594E45">
            <w:pPr>
              <w:spacing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141684">
              <w:rPr>
                <w:rFonts w:cs="Arial"/>
                <w:sz w:val="24"/>
                <w:szCs w:val="24"/>
                <w:lang w:val="fr-CA"/>
              </w:rPr>
              <w:t>Le matériel audiovisuel requis pour le procès inclut ce qui suit </w:t>
            </w:r>
            <w:r w:rsidR="00B27EE5" w:rsidRPr="00EE5EED">
              <w:rPr>
                <w:rFonts w:cs="Arial"/>
                <w:sz w:val="24"/>
                <w:szCs w:val="24"/>
                <w:lang w:val="fr-CA"/>
              </w:rPr>
              <w:t>:</w:t>
            </w:r>
            <w:r w:rsidR="00B27EE5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</w:p>
          <w:p w:rsidR="00CA7A3C" w:rsidRPr="00EE5EED" w:rsidRDefault="00CA7A3C" w:rsidP="00594E45">
            <w:pPr>
              <w:spacing w:line="243" w:lineRule="auto"/>
              <w:rPr>
                <w:rFonts w:cs="Arial"/>
                <w:sz w:val="24"/>
                <w:szCs w:val="24"/>
                <w:lang w:val="fr-CA"/>
              </w:rPr>
            </w:pPr>
          </w:p>
          <w:p w:rsidR="001356B0" w:rsidRPr="00EE5EED" w:rsidRDefault="001356B0" w:rsidP="001356B0">
            <w:pPr>
              <w:spacing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141684">
              <w:rPr>
                <w:rFonts w:cs="Arial"/>
                <w:sz w:val="24"/>
                <w:szCs w:val="24"/>
                <w:lang w:val="fr-CA"/>
              </w:rPr>
              <w:t>Des services de sécurité supplémentaires sont demandés au tribunal.</w:t>
            </w:r>
          </w:p>
          <w:p w:rsidR="00A54908" w:rsidRPr="00EE5EED" w:rsidRDefault="00A54908" w:rsidP="001356B0">
            <w:pPr>
              <w:spacing w:line="243" w:lineRule="auto"/>
              <w:rPr>
                <w:rFonts w:cs="Arial"/>
                <w:sz w:val="24"/>
                <w:szCs w:val="24"/>
                <w:lang w:val="fr-CA"/>
              </w:rPr>
            </w:pPr>
          </w:p>
          <w:p w:rsidR="00894EAD" w:rsidRPr="00EE5EED" w:rsidRDefault="00A54908" w:rsidP="00604132">
            <w:pPr>
              <w:spacing w:line="243" w:lineRule="auto"/>
              <w:rPr>
                <w:rFonts w:cs="Arial"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instrText xml:space="preserve"> FORMCHECKBOX </w:instrText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</w:r>
            <w:r w:rsidRPr="00EE5EED">
              <w:rPr>
                <w:rFonts w:cs="Arial"/>
                <w:caps/>
                <w:sz w:val="24"/>
                <w:szCs w:val="24"/>
                <w:lang w:val="fr-CA"/>
              </w:rPr>
              <w:fldChar w:fldCharType="end"/>
            </w:r>
            <w:r w:rsidRPr="00EE5EED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141684">
              <w:rPr>
                <w:rFonts w:cs="Arial"/>
                <w:sz w:val="24"/>
                <w:szCs w:val="24"/>
                <w:lang w:val="fr-CA"/>
              </w:rPr>
              <w:t xml:space="preserve">Autres renseignements pour le juge </w:t>
            </w:r>
            <w:r w:rsidR="00604132">
              <w:rPr>
                <w:rFonts w:cs="Arial"/>
                <w:sz w:val="24"/>
                <w:szCs w:val="24"/>
                <w:lang w:val="fr-CA"/>
              </w:rPr>
              <w:t xml:space="preserve">ou le protonotaire </w:t>
            </w:r>
            <w:r w:rsidR="00141684">
              <w:rPr>
                <w:rFonts w:cs="Arial"/>
                <w:sz w:val="24"/>
                <w:szCs w:val="24"/>
                <w:lang w:val="fr-CA"/>
              </w:rPr>
              <w:t>de la conférence préparatoire au procès</w:t>
            </w:r>
            <w:r w:rsidR="00B27EE5">
              <w:rPr>
                <w:rFonts w:cs="Arial"/>
                <w:sz w:val="24"/>
                <w:szCs w:val="24"/>
                <w:lang w:val="fr-CA"/>
              </w:rPr>
              <w:t> </w:t>
            </w:r>
            <w:r w:rsidR="00B27EE5" w:rsidRPr="00EE5EED">
              <w:rPr>
                <w:rFonts w:cs="Arial"/>
                <w:sz w:val="24"/>
                <w:szCs w:val="24"/>
                <w:lang w:val="fr-CA"/>
              </w:rPr>
              <w:t>:</w:t>
            </w:r>
            <w:r w:rsidR="00B27EE5">
              <w:rPr>
                <w:rFonts w:cs="Arial"/>
                <w:sz w:val="24"/>
                <w:szCs w:val="24"/>
                <w:lang w:val="fr-CA"/>
              </w:rPr>
              <w:t xml:space="preserve"> 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instrText xml:space="preserve"> FORMTEXT </w:instrTex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separate"/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noProof/>
                <w:sz w:val="24"/>
                <w:szCs w:val="24"/>
                <w:u w:val="single"/>
                <w:lang w:val="fr-CA"/>
              </w:rPr>
              <w:t> </w:t>
            </w:r>
            <w:r w:rsidR="00B27EE5" w:rsidRPr="00EE5EED">
              <w:rPr>
                <w:rFonts w:cs="Arial"/>
                <w:sz w:val="24"/>
                <w:szCs w:val="24"/>
                <w:u w:val="single"/>
                <w:lang w:val="fr-CA"/>
              </w:rPr>
              <w:fldChar w:fldCharType="end"/>
            </w:r>
          </w:p>
        </w:tc>
      </w:tr>
      <w:tr w:rsidR="007A4113" w:rsidRPr="00EE5EED" w:rsidTr="00376D64">
        <w:trPr>
          <w:trHeight w:val="144"/>
        </w:trPr>
        <w:tc>
          <w:tcPr>
            <w:tcW w:w="11050" w:type="dxa"/>
            <w:gridSpan w:val="4"/>
          </w:tcPr>
          <w:p w:rsidR="007A4113" w:rsidRPr="00EE5EED" w:rsidRDefault="00A54908" w:rsidP="007A4113">
            <w:pPr>
              <w:spacing w:line="243" w:lineRule="auto"/>
              <w:rPr>
                <w:rFonts w:cs="Arial"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sz w:val="24"/>
                <w:szCs w:val="24"/>
                <w:lang w:val="fr-CA"/>
              </w:rPr>
              <w:t>_________________________________________________________________________________</w:t>
            </w:r>
          </w:p>
        </w:tc>
      </w:tr>
      <w:tr w:rsidR="007A4113" w:rsidRPr="00EE5EED" w:rsidTr="00376D64">
        <w:trPr>
          <w:trHeight w:val="144"/>
        </w:trPr>
        <w:tc>
          <w:tcPr>
            <w:tcW w:w="11050" w:type="dxa"/>
            <w:gridSpan w:val="4"/>
          </w:tcPr>
          <w:p w:rsidR="007A4113" w:rsidRPr="00EE5EED" w:rsidRDefault="007A4113" w:rsidP="007A4113">
            <w:pPr>
              <w:pStyle w:val="CommentText"/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A54908" w:rsidRPr="00EE5EED" w:rsidRDefault="00A54908" w:rsidP="007A4113">
            <w:pPr>
              <w:pStyle w:val="CommentText"/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A54908" w:rsidRPr="00EE5EED" w:rsidRDefault="00A54908" w:rsidP="007A4113">
            <w:pPr>
              <w:pStyle w:val="CommentText"/>
              <w:jc w:val="both"/>
              <w:rPr>
                <w:rFonts w:ascii="Arial" w:hAnsi="Arial" w:cs="Arial"/>
                <w:b/>
                <w:lang w:val="fr-CA"/>
              </w:rPr>
            </w:pPr>
          </w:p>
        </w:tc>
      </w:tr>
      <w:tr w:rsidR="00E45F02" w:rsidRPr="00EE5EED" w:rsidTr="00376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/>
        </w:trPr>
        <w:tc>
          <w:tcPr>
            <w:tcW w:w="4166" w:type="dxa"/>
            <w:vAlign w:val="bottom"/>
            <w:hideMark/>
          </w:tcPr>
          <w:p w:rsidR="00E45F02" w:rsidRPr="00EE5EED" w:rsidRDefault="00E45F02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bookmarkStart w:id="5" w:name="_Hlk13562690"/>
          </w:p>
        </w:tc>
        <w:tc>
          <w:tcPr>
            <w:tcW w:w="362" w:type="dxa"/>
            <w:vAlign w:val="bottom"/>
          </w:tcPr>
          <w:p w:rsidR="00E45F02" w:rsidRPr="00EE5EED" w:rsidRDefault="00E45F02">
            <w:pPr>
              <w:rPr>
                <w:rFonts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5F02" w:rsidRPr="00EE5EED" w:rsidRDefault="00E45F02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  <w:r w:rsidRPr="00EE5EED">
              <w:rPr>
                <w:rFonts w:cs="Arial"/>
                <w:b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5EED">
              <w:rPr>
                <w:rFonts w:cs="Arial"/>
                <w:b/>
                <w:sz w:val="24"/>
                <w:szCs w:val="24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b/>
                <w:sz w:val="24"/>
                <w:szCs w:val="24"/>
                <w:lang w:val="fr-CA"/>
              </w:rPr>
            </w:r>
            <w:r w:rsidRPr="00EE5EED">
              <w:rPr>
                <w:rFonts w:cs="Arial"/>
                <w:b/>
                <w:sz w:val="24"/>
                <w:szCs w:val="24"/>
                <w:lang w:val="fr-CA"/>
              </w:rPr>
              <w:fldChar w:fldCharType="separate"/>
            </w:r>
            <w:r w:rsidRPr="00EE5EED">
              <w:rPr>
                <w:rFonts w:cs="Arial"/>
                <w:b/>
                <w:noProof/>
                <w:sz w:val="24"/>
                <w:szCs w:val="24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 w:val="24"/>
                <w:szCs w:val="24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 w:val="24"/>
                <w:szCs w:val="24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 w:val="24"/>
                <w:szCs w:val="24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 w:val="24"/>
                <w:szCs w:val="24"/>
                <w:lang w:val="fr-CA"/>
              </w:rPr>
              <w:t> </w:t>
            </w:r>
            <w:r w:rsidRPr="00EE5EED">
              <w:rPr>
                <w:rFonts w:cs="Arial"/>
                <w:b/>
                <w:sz w:val="24"/>
                <w:szCs w:val="24"/>
                <w:lang w:val="fr-CA"/>
              </w:rPr>
              <w:fldChar w:fldCharType="end"/>
            </w:r>
          </w:p>
        </w:tc>
      </w:tr>
      <w:tr w:rsidR="00E45F02" w:rsidRPr="00EE5EED" w:rsidTr="00376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397"/>
        </w:trPr>
        <w:tc>
          <w:tcPr>
            <w:tcW w:w="4166" w:type="dxa"/>
            <w:vAlign w:val="bottom"/>
          </w:tcPr>
          <w:p w:rsidR="00E45F02" w:rsidRPr="00EE5EED" w:rsidRDefault="00E45F02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  <w:p w:rsidR="00A54908" w:rsidRPr="00EE5EED" w:rsidRDefault="00A54908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  <w:p w:rsidR="00A54908" w:rsidRPr="00EE5EED" w:rsidRDefault="00A54908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</w:tc>
        <w:tc>
          <w:tcPr>
            <w:tcW w:w="362" w:type="dxa"/>
            <w:vAlign w:val="bottom"/>
          </w:tcPr>
          <w:p w:rsidR="00E45F02" w:rsidRPr="00EE5EED" w:rsidRDefault="00E45F02">
            <w:pPr>
              <w:rPr>
                <w:rFonts w:cs="Arial"/>
                <w:sz w:val="24"/>
                <w:szCs w:val="24"/>
                <w:lang w:val="fr-CA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604A8" w:rsidRPr="00141684" w:rsidRDefault="003D6AB4">
            <w:pPr>
              <w:rPr>
                <w:rFonts w:cs="Arial"/>
                <w:szCs w:val="22"/>
                <w:lang w:val="fr-CA"/>
              </w:rPr>
            </w:pPr>
            <w:r w:rsidRPr="00EE5EED">
              <w:rPr>
                <w:rFonts w:cs="Arial"/>
                <w:szCs w:val="22"/>
                <w:lang w:val="fr-CA"/>
              </w:rPr>
              <w:t>N</w:t>
            </w:r>
            <w:r w:rsidR="00141684">
              <w:rPr>
                <w:rFonts w:cs="Arial"/>
                <w:szCs w:val="22"/>
                <w:lang w:val="fr-CA"/>
              </w:rPr>
              <w:t>om de</w:t>
            </w:r>
            <w:r w:rsidRPr="00EE5EED">
              <w:rPr>
                <w:rFonts w:cs="Arial"/>
                <w:caps/>
                <w:szCs w:val="22"/>
                <w:lang w:val="fr-CA"/>
              </w:rPr>
              <w:t xml:space="preserve"> </w:t>
            </w:r>
            <w:r w:rsidR="00E604A8" w:rsidRPr="00EE5EED">
              <w:rPr>
                <w:rFonts w:cs="Arial"/>
                <w:caps/>
                <w:szCs w:val="22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4A8" w:rsidRPr="00EE5EED">
              <w:rPr>
                <w:rFonts w:cs="Arial"/>
                <w:caps/>
                <w:szCs w:val="22"/>
                <w:lang w:val="fr-CA"/>
              </w:rPr>
              <w:instrText xml:space="preserve"> FORMCHECKBOX </w:instrText>
            </w:r>
            <w:r w:rsidR="00E604A8" w:rsidRPr="00EE5EED">
              <w:rPr>
                <w:rFonts w:cs="Arial"/>
                <w:caps/>
                <w:szCs w:val="22"/>
                <w:lang w:val="fr-CA"/>
              </w:rPr>
            </w:r>
            <w:r w:rsidR="00E604A8" w:rsidRPr="00EE5EED">
              <w:rPr>
                <w:rFonts w:cs="Arial"/>
                <w:caps/>
                <w:szCs w:val="22"/>
                <w:lang w:val="fr-CA"/>
              </w:rPr>
              <w:fldChar w:fldCharType="end"/>
            </w:r>
            <w:r w:rsidR="00141684">
              <w:rPr>
                <w:rFonts w:cs="Arial"/>
                <w:caps/>
                <w:szCs w:val="22"/>
                <w:lang w:val="fr-CA"/>
              </w:rPr>
              <w:t xml:space="preserve"> </w:t>
            </w:r>
            <w:r w:rsidR="00141684" w:rsidRPr="00141684">
              <w:rPr>
                <w:rFonts w:cs="Arial"/>
                <w:szCs w:val="22"/>
                <w:lang w:val="fr-CA"/>
              </w:rPr>
              <w:t xml:space="preserve">l’avocat </w:t>
            </w:r>
            <w:r w:rsidR="00141684">
              <w:rPr>
                <w:rFonts w:cs="Arial"/>
                <w:szCs w:val="22"/>
                <w:lang w:val="fr-CA"/>
              </w:rPr>
              <w:t>de l’auteur de la motion</w:t>
            </w:r>
            <w:r w:rsidR="00E604A8" w:rsidRPr="00141684">
              <w:rPr>
                <w:rFonts w:cs="Arial"/>
                <w:szCs w:val="22"/>
                <w:lang w:val="fr-CA"/>
              </w:rPr>
              <w:t xml:space="preserve"> </w:t>
            </w:r>
            <w:r w:rsidR="00E604A8" w:rsidRPr="00141684">
              <w:rPr>
                <w:rFonts w:cs="Arial"/>
                <w:szCs w:val="22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04A8" w:rsidRPr="00141684">
              <w:rPr>
                <w:rFonts w:cs="Arial"/>
                <w:szCs w:val="22"/>
                <w:lang w:val="fr-CA"/>
              </w:rPr>
              <w:instrText xml:space="preserve"> FORMCHECKBOX </w:instrText>
            </w:r>
            <w:r w:rsidR="00E604A8" w:rsidRPr="00141684">
              <w:rPr>
                <w:rFonts w:cs="Arial"/>
                <w:szCs w:val="22"/>
                <w:lang w:val="fr-CA"/>
              </w:rPr>
            </w:r>
            <w:r w:rsidR="00E604A8" w:rsidRPr="00141684">
              <w:rPr>
                <w:rFonts w:cs="Arial"/>
                <w:szCs w:val="22"/>
                <w:lang w:val="fr-CA"/>
              </w:rPr>
              <w:fldChar w:fldCharType="end"/>
            </w:r>
            <w:r w:rsidR="00E604A8" w:rsidRPr="00141684">
              <w:rPr>
                <w:rFonts w:cs="Arial"/>
                <w:szCs w:val="22"/>
                <w:lang w:val="fr-CA"/>
              </w:rPr>
              <w:t xml:space="preserve"> </w:t>
            </w:r>
            <w:r w:rsidR="00897041" w:rsidRPr="00141684">
              <w:rPr>
                <w:rFonts w:cs="Arial"/>
                <w:szCs w:val="22"/>
                <w:lang w:val="fr-CA"/>
              </w:rPr>
              <w:t xml:space="preserve"> </w:t>
            </w:r>
            <w:r w:rsidR="00141684">
              <w:rPr>
                <w:rFonts w:cs="Arial"/>
                <w:szCs w:val="22"/>
                <w:lang w:val="fr-CA"/>
              </w:rPr>
              <w:t>la partie qui se représente elle-même</w:t>
            </w:r>
          </w:p>
          <w:p w:rsidR="00E45F02" w:rsidRPr="00141684" w:rsidRDefault="00141684">
            <w:pPr>
              <w:rPr>
                <w:rFonts w:cs="Arial"/>
                <w:sz w:val="24"/>
                <w:szCs w:val="24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                 </w:t>
            </w:r>
            <w:r w:rsidR="003D6AB4" w:rsidRPr="00141684">
              <w:rPr>
                <w:rFonts w:cs="Arial"/>
                <w:szCs w:val="22"/>
                <w:lang w:val="fr-CA"/>
              </w:rPr>
              <w:t xml:space="preserve">  </w:t>
            </w:r>
            <w:r w:rsidR="00897041" w:rsidRPr="00141684">
              <w:rPr>
                <w:rFonts w:cs="Arial"/>
                <w:szCs w:val="22"/>
                <w:lang w:val="fr-CA"/>
              </w:rPr>
              <w:t>(</w:t>
            </w:r>
            <w:r w:rsidRPr="00141684">
              <w:rPr>
                <w:rFonts w:cs="Arial"/>
                <w:i/>
                <w:szCs w:val="22"/>
                <w:lang w:val="fr-CA"/>
              </w:rPr>
              <w:t>Écrire en lettres d’imprimerie ou écrire lisiblement</w:t>
            </w:r>
            <w:r>
              <w:rPr>
                <w:rFonts w:cs="Arial"/>
                <w:sz w:val="24"/>
                <w:szCs w:val="24"/>
                <w:lang w:val="fr-CA"/>
              </w:rPr>
              <w:t>.</w:t>
            </w:r>
            <w:r w:rsidR="00897041" w:rsidRPr="00141684">
              <w:rPr>
                <w:rFonts w:cs="Arial"/>
                <w:sz w:val="24"/>
                <w:szCs w:val="24"/>
                <w:lang w:val="fr-CA"/>
              </w:rPr>
              <w:t>)</w:t>
            </w:r>
            <w:r w:rsidR="003D6AB4" w:rsidRPr="00141684">
              <w:rPr>
                <w:rFonts w:cs="Arial"/>
                <w:sz w:val="24"/>
                <w:szCs w:val="24"/>
                <w:lang w:val="fr-CA"/>
              </w:rPr>
              <w:t xml:space="preserve"> </w:t>
            </w:r>
          </w:p>
          <w:p w:rsidR="00484741" w:rsidRPr="00EE5EED" w:rsidRDefault="00484741">
            <w:pPr>
              <w:rPr>
                <w:rFonts w:cs="Arial"/>
                <w:b/>
                <w:caps/>
                <w:sz w:val="24"/>
                <w:szCs w:val="24"/>
                <w:lang w:val="fr-CA"/>
              </w:rPr>
            </w:pPr>
          </w:p>
        </w:tc>
      </w:tr>
      <w:tr w:rsidR="00E45F02" w:rsidRPr="00EE5EED" w:rsidTr="00376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/>
        </w:trPr>
        <w:tc>
          <w:tcPr>
            <w:tcW w:w="4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5F02" w:rsidRPr="009452F0" w:rsidRDefault="009452F0" w:rsidP="00141684">
            <w:pPr>
              <w:rPr>
                <w:rFonts w:cs="Arial"/>
                <w:szCs w:val="22"/>
                <w:lang w:val="fr-CA"/>
              </w:rPr>
            </w:pPr>
            <w:r w:rsidRPr="009452F0">
              <w:rPr>
                <w:rFonts w:cs="Arial"/>
                <w:sz w:val="24"/>
                <w:szCs w:val="24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J-MM-AAAA"/>
                    <w:maxLength w:val="100"/>
                  </w:textInput>
                </w:ffData>
              </w:fldChar>
            </w:r>
            <w:r w:rsidRPr="009452F0">
              <w:rPr>
                <w:rFonts w:cs="Arial"/>
                <w:sz w:val="24"/>
                <w:szCs w:val="24"/>
                <w:lang w:val="fr-CA"/>
              </w:rPr>
              <w:instrText xml:space="preserve"> FORMTEXT </w:instrText>
            </w:r>
            <w:r w:rsidRPr="009452F0">
              <w:rPr>
                <w:rFonts w:cs="Arial"/>
                <w:sz w:val="24"/>
                <w:szCs w:val="24"/>
                <w:lang w:val="fr-CA"/>
              </w:rPr>
            </w:r>
            <w:r w:rsidRPr="009452F0">
              <w:rPr>
                <w:rFonts w:cs="Arial"/>
                <w:sz w:val="24"/>
                <w:szCs w:val="24"/>
                <w:lang w:val="fr-CA"/>
              </w:rPr>
              <w:fldChar w:fldCharType="separate"/>
            </w:r>
            <w:r w:rsidRPr="009452F0">
              <w:rPr>
                <w:rFonts w:cs="Arial"/>
                <w:noProof/>
                <w:sz w:val="24"/>
                <w:szCs w:val="24"/>
                <w:lang w:val="fr-CA"/>
              </w:rPr>
              <w:t>JJ-MM-AAAA</w:t>
            </w:r>
            <w:r w:rsidRPr="009452F0">
              <w:rPr>
                <w:rFonts w:cs="Arial"/>
                <w:sz w:val="24"/>
                <w:szCs w:val="24"/>
                <w:lang w:val="fr-CA"/>
              </w:rPr>
              <w:fldChar w:fldCharType="end"/>
            </w:r>
          </w:p>
        </w:tc>
        <w:tc>
          <w:tcPr>
            <w:tcW w:w="362" w:type="dxa"/>
            <w:vAlign w:val="bottom"/>
          </w:tcPr>
          <w:p w:rsidR="00E45F02" w:rsidRPr="00EE5EED" w:rsidRDefault="00E45F02">
            <w:pPr>
              <w:rPr>
                <w:rFonts w:cs="Arial"/>
                <w:b/>
                <w:szCs w:val="22"/>
                <w:lang w:val="fr-CA"/>
              </w:rPr>
            </w:pPr>
          </w:p>
        </w:tc>
        <w:tc>
          <w:tcPr>
            <w:tcW w:w="6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45F02" w:rsidRPr="00EE5EED" w:rsidRDefault="00E45F02">
            <w:pPr>
              <w:rPr>
                <w:rFonts w:cs="Arial"/>
                <w:b/>
                <w:caps/>
                <w:szCs w:val="22"/>
                <w:lang w:val="fr-CA"/>
              </w:rPr>
            </w:pPr>
            <w:r w:rsidRPr="00EE5EED">
              <w:rPr>
                <w:rFonts w:cs="Arial"/>
                <w:b/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E5EED">
              <w:rPr>
                <w:rFonts w:cs="Arial"/>
                <w:b/>
                <w:szCs w:val="22"/>
                <w:lang w:val="fr-CA"/>
              </w:rPr>
              <w:instrText xml:space="preserve"> FORMTEXT </w:instrText>
            </w:r>
            <w:r w:rsidRPr="00EE5EED">
              <w:rPr>
                <w:rFonts w:cs="Arial"/>
                <w:b/>
                <w:szCs w:val="22"/>
                <w:lang w:val="fr-CA"/>
              </w:rPr>
            </w:r>
            <w:r w:rsidRPr="00EE5EED">
              <w:rPr>
                <w:rFonts w:cs="Arial"/>
                <w:b/>
                <w:szCs w:val="22"/>
                <w:lang w:val="fr-CA"/>
              </w:rPr>
              <w:fldChar w:fldCharType="separate"/>
            </w:r>
            <w:r w:rsidRPr="00EE5EED">
              <w:rPr>
                <w:rFonts w:cs="Arial"/>
                <w:b/>
                <w:noProof/>
                <w:szCs w:val="22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Cs w:val="22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Cs w:val="22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Cs w:val="22"/>
                <w:lang w:val="fr-CA"/>
              </w:rPr>
              <w:t> </w:t>
            </w:r>
            <w:r w:rsidRPr="00EE5EED">
              <w:rPr>
                <w:rFonts w:cs="Arial"/>
                <w:b/>
                <w:noProof/>
                <w:szCs w:val="22"/>
                <w:lang w:val="fr-CA"/>
              </w:rPr>
              <w:t> </w:t>
            </w:r>
            <w:r w:rsidRPr="00EE5EED">
              <w:rPr>
                <w:rFonts w:cs="Arial"/>
                <w:b/>
                <w:szCs w:val="22"/>
                <w:lang w:val="fr-CA"/>
              </w:rPr>
              <w:fldChar w:fldCharType="end"/>
            </w:r>
          </w:p>
        </w:tc>
      </w:tr>
      <w:tr w:rsidR="00E45F02" w:rsidRPr="00EE5EED" w:rsidTr="00376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288"/>
        </w:trPr>
        <w:tc>
          <w:tcPr>
            <w:tcW w:w="41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5F02" w:rsidRPr="00EE5EED" w:rsidRDefault="00E45F02" w:rsidP="001A5AAC">
            <w:pPr>
              <w:rPr>
                <w:rFonts w:cs="Arial"/>
                <w:b/>
                <w:caps/>
                <w:szCs w:val="22"/>
                <w:lang w:val="fr-CA"/>
              </w:rPr>
            </w:pPr>
            <w:r w:rsidRPr="00EE5EED">
              <w:rPr>
                <w:rFonts w:cs="Arial"/>
                <w:szCs w:val="22"/>
                <w:lang w:val="fr-CA"/>
              </w:rPr>
              <w:t>Date</w:t>
            </w:r>
          </w:p>
        </w:tc>
        <w:tc>
          <w:tcPr>
            <w:tcW w:w="362" w:type="dxa"/>
          </w:tcPr>
          <w:p w:rsidR="00E45F02" w:rsidRPr="00EE5EED" w:rsidRDefault="00E45F02">
            <w:pPr>
              <w:rPr>
                <w:rFonts w:cs="Arial"/>
                <w:szCs w:val="22"/>
                <w:lang w:val="fr-CA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5F02" w:rsidRPr="00EE5EED" w:rsidRDefault="00141684" w:rsidP="00141684">
            <w:pPr>
              <w:rPr>
                <w:rFonts w:cs="Arial"/>
                <w:b/>
                <w:caps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Numéro de téléphone</w:t>
            </w:r>
            <w:r w:rsidR="00E45F02" w:rsidRPr="00EE5EED">
              <w:rPr>
                <w:rFonts w:cs="Arial"/>
                <w:szCs w:val="22"/>
                <w:lang w:val="fr-CA"/>
              </w:rPr>
              <w:t>,</w:t>
            </w:r>
            <w:r w:rsidR="00E604A8" w:rsidRPr="00EE5EED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courriel et numéro de télécopieur</w:t>
            </w:r>
            <w:r w:rsidR="00E604A8" w:rsidRPr="00EE5EED">
              <w:rPr>
                <w:rFonts w:cs="Arial"/>
                <w:szCs w:val="22"/>
                <w:lang w:val="fr-CA"/>
              </w:rPr>
              <w:t xml:space="preserve"> (</w:t>
            </w:r>
            <w:r>
              <w:rPr>
                <w:rFonts w:cs="Arial"/>
                <w:szCs w:val="22"/>
                <w:lang w:val="fr-CA"/>
              </w:rPr>
              <w:t>le cas échéant</w:t>
            </w:r>
            <w:r w:rsidR="00E604A8" w:rsidRPr="00EE5EED">
              <w:rPr>
                <w:rFonts w:cs="Arial"/>
                <w:szCs w:val="22"/>
                <w:lang w:val="fr-CA"/>
              </w:rPr>
              <w:t>)</w:t>
            </w:r>
          </w:p>
        </w:tc>
      </w:tr>
      <w:bookmarkEnd w:id="5"/>
    </w:tbl>
    <w:p w:rsidR="00D3398C" w:rsidRPr="00EE5EED" w:rsidRDefault="00D3398C" w:rsidP="00B27EE5">
      <w:pPr>
        <w:pBdr>
          <w:bottom w:val="single" w:sz="4" w:space="0" w:color="auto"/>
        </w:pBdr>
        <w:rPr>
          <w:rFonts w:cs="Arial"/>
          <w:sz w:val="24"/>
          <w:szCs w:val="24"/>
          <w:lang w:val="fr-CA"/>
        </w:rPr>
      </w:pPr>
    </w:p>
    <w:sectPr w:rsidR="00D3398C" w:rsidRPr="00EE5EED" w:rsidSect="00376D64">
      <w:footerReference w:type="default" r:id="rId8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033" w:rsidRDefault="00607033">
      <w:r>
        <w:separator/>
      </w:r>
    </w:p>
  </w:endnote>
  <w:endnote w:type="continuationSeparator" w:id="0">
    <w:p w:rsidR="00607033" w:rsidRDefault="0060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Italic">
    <w:altName w:val="Segoe Script"/>
    <w:panose1 w:val="020B060402020209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97" w:rsidRPr="009E2597" w:rsidRDefault="00737BCC">
    <w:pPr>
      <w:pStyle w:val="Footer"/>
      <w:rPr>
        <w:sz w:val="16"/>
        <w:lang w:val="en-CA"/>
      </w:rPr>
    </w:pPr>
    <w:proofErr w:type="gramStart"/>
    <w:r>
      <w:rPr>
        <w:sz w:val="16"/>
        <w:lang w:val="en-CA"/>
      </w:rPr>
      <w:t>Date</w:t>
    </w:r>
    <w:r w:rsidR="00FA498E">
      <w:rPr>
        <w:sz w:val="16"/>
        <w:lang w:val="en-CA"/>
      </w:rPr>
      <w:t xml:space="preserve"> </w:t>
    </w:r>
    <w:r>
      <w:rPr>
        <w:sz w:val="16"/>
        <w:lang w:val="en-CA"/>
      </w:rPr>
      <w:t>:</w:t>
    </w:r>
    <w:proofErr w:type="gramEnd"/>
    <w:r>
      <w:rPr>
        <w:sz w:val="16"/>
        <w:lang w:val="en-CA"/>
      </w:rPr>
      <w:t xml:space="preserve"> </w:t>
    </w:r>
    <w:r w:rsidR="00FA498E">
      <w:rPr>
        <w:sz w:val="16"/>
        <w:lang w:val="en-CA"/>
      </w:rPr>
      <w:t xml:space="preserve">5 </w:t>
    </w:r>
    <w:proofErr w:type="spellStart"/>
    <w:r w:rsidR="00FA498E">
      <w:rPr>
        <w:sz w:val="16"/>
        <w:lang w:val="en-CA"/>
      </w:rPr>
      <w:t>décembre</w:t>
    </w:r>
    <w:proofErr w:type="spellEnd"/>
    <w:r>
      <w:rPr>
        <w:sz w:val="16"/>
        <w:lang w:val="en-CA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033" w:rsidRDefault="00607033">
      <w:r>
        <w:separator/>
      </w:r>
    </w:p>
  </w:footnote>
  <w:footnote w:type="continuationSeparator" w:id="0">
    <w:p w:rsidR="00607033" w:rsidRDefault="0060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06A"/>
    <w:multiLevelType w:val="singleLevel"/>
    <w:tmpl w:val="5148BC14"/>
    <w:lvl w:ilvl="0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" w15:restartNumberingAfterBreak="0">
    <w:nsid w:val="1001283F"/>
    <w:multiLevelType w:val="hybridMultilevel"/>
    <w:tmpl w:val="476A108A"/>
    <w:lvl w:ilvl="0" w:tplc="C35419D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840D7"/>
    <w:multiLevelType w:val="hybridMultilevel"/>
    <w:tmpl w:val="EAA8F4A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5261A"/>
    <w:multiLevelType w:val="hybridMultilevel"/>
    <w:tmpl w:val="F97826BA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74C201C"/>
    <w:multiLevelType w:val="hybridMultilevel"/>
    <w:tmpl w:val="2A72C13C"/>
    <w:lvl w:ilvl="0" w:tplc="E6A6F5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22014C"/>
    <w:multiLevelType w:val="hybridMultilevel"/>
    <w:tmpl w:val="FC04EF2C"/>
    <w:lvl w:ilvl="0" w:tplc="E5BC1BD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77C48"/>
    <w:multiLevelType w:val="hybridMultilevel"/>
    <w:tmpl w:val="5A8C3D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C2D6A"/>
    <w:multiLevelType w:val="hybridMultilevel"/>
    <w:tmpl w:val="6BD66B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35394"/>
    <w:multiLevelType w:val="hybridMultilevel"/>
    <w:tmpl w:val="BFBAF966"/>
    <w:lvl w:ilvl="0" w:tplc="84529BC6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073727"/>
    <w:multiLevelType w:val="hybridMultilevel"/>
    <w:tmpl w:val="4BA8BAE2"/>
    <w:lvl w:ilvl="0" w:tplc="FBBAA37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634B66"/>
    <w:multiLevelType w:val="hybridMultilevel"/>
    <w:tmpl w:val="9D22A7D2"/>
    <w:lvl w:ilvl="0" w:tplc="8A02F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B63"/>
    <w:multiLevelType w:val="hybridMultilevel"/>
    <w:tmpl w:val="F4087766"/>
    <w:lvl w:ilvl="0" w:tplc="4FD05E5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301E7"/>
    <w:multiLevelType w:val="hybridMultilevel"/>
    <w:tmpl w:val="5DC00D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E5F0D"/>
    <w:multiLevelType w:val="hybridMultilevel"/>
    <w:tmpl w:val="BB868E68"/>
    <w:lvl w:ilvl="0" w:tplc="CCF0A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2B7B60"/>
    <w:multiLevelType w:val="hybridMultilevel"/>
    <w:tmpl w:val="4BA8BAE2"/>
    <w:lvl w:ilvl="0" w:tplc="FBBAA37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933CC8"/>
    <w:multiLevelType w:val="hybridMultilevel"/>
    <w:tmpl w:val="42AE63B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F0375"/>
    <w:multiLevelType w:val="hybridMultilevel"/>
    <w:tmpl w:val="8702C2B6"/>
    <w:lvl w:ilvl="0" w:tplc="8A02F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17797"/>
    <w:multiLevelType w:val="hybridMultilevel"/>
    <w:tmpl w:val="C39A825C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7BCD2B46"/>
    <w:multiLevelType w:val="hybridMultilevel"/>
    <w:tmpl w:val="90DCF0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5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18"/>
  </w:num>
  <w:num w:numId="10">
    <w:abstractNumId w:val="15"/>
  </w:num>
  <w:num w:numId="11">
    <w:abstractNumId w:val="8"/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9"/>
  </w:num>
  <w:num w:numId="17">
    <w:abstractNumId w:val="14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C1"/>
    <w:rsid w:val="00003126"/>
    <w:rsid w:val="00003E67"/>
    <w:rsid w:val="00006F8C"/>
    <w:rsid w:val="00024750"/>
    <w:rsid w:val="000305BF"/>
    <w:rsid w:val="00042603"/>
    <w:rsid w:val="00047C57"/>
    <w:rsid w:val="0007246A"/>
    <w:rsid w:val="000812B9"/>
    <w:rsid w:val="0008348E"/>
    <w:rsid w:val="000A310B"/>
    <w:rsid w:val="000A48F6"/>
    <w:rsid w:val="000B3064"/>
    <w:rsid w:val="000E1771"/>
    <w:rsid w:val="00102264"/>
    <w:rsid w:val="00105717"/>
    <w:rsid w:val="0011277B"/>
    <w:rsid w:val="00120E82"/>
    <w:rsid w:val="00124A0C"/>
    <w:rsid w:val="001356B0"/>
    <w:rsid w:val="00141684"/>
    <w:rsid w:val="00162E49"/>
    <w:rsid w:val="00180453"/>
    <w:rsid w:val="0018304E"/>
    <w:rsid w:val="001A3D1D"/>
    <w:rsid w:val="001A5AAC"/>
    <w:rsid w:val="001B513D"/>
    <w:rsid w:val="001B5FC9"/>
    <w:rsid w:val="001C6B16"/>
    <w:rsid w:val="001D54D6"/>
    <w:rsid w:val="00211EDD"/>
    <w:rsid w:val="0023508B"/>
    <w:rsid w:val="00241E3E"/>
    <w:rsid w:val="00263A2B"/>
    <w:rsid w:val="00266CB7"/>
    <w:rsid w:val="00290576"/>
    <w:rsid w:val="002A41C8"/>
    <w:rsid w:val="002A4B6E"/>
    <w:rsid w:val="002B04D6"/>
    <w:rsid w:val="002D27BB"/>
    <w:rsid w:val="002E37DA"/>
    <w:rsid w:val="002F3D78"/>
    <w:rsid w:val="0030602C"/>
    <w:rsid w:val="0031651E"/>
    <w:rsid w:val="00316599"/>
    <w:rsid w:val="00342F49"/>
    <w:rsid w:val="0035568A"/>
    <w:rsid w:val="00360F49"/>
    <w:rsid w:val="003740E8"/>
    <w:rsid w:val="00376D64"/>
    <w:rsid w:val="00386672"/>
    <w:rsid w:val="0039228C"/>
    <w:rsid w:val="003928B9"/>
    <w:rsid w:val="003A03E4"/>
    <w:rsid w:val="003B32BE"/>
    <w:rsid w:val="003C00AB"/>
    <w:rsid w:val="003C5915"/>
    <w:rsid w:val="003C6B41"/>
    <w:rsid w:val="003D6AB4"/>
    <w:rsid w:val="003E23A4"/>
    <w:rsid w:val="003F5527"/>
    <w:rsid w:val="004011F0"/>
    <w:rsid w:val="0040666C"/>
    <w:rsid w:val="00416C32"/>
    <w:rsid w:val="00422D98"/>
    <w:rsid w:val="00430E5D"/>
    <w:rsid w:val="004417DE"/>
    <w:rsid w:val="004666A8"/>
    <w:rsid w:val="00473072"/>
    <w:rsid w:val="004812C7"/>
    <w:rsid w:val="00481E93"/>
    <w:rsid w:val="00484058"/>
    <w:rsid w:val="00484353"/>
    <w:rsid w:val="00484741"/>
    <w:rsid w:val="004A4C94"/>
    <w:rsid w:val="004C5E64"/>
    <w:rsid w:val="004D5619"/>
    <w:rsid w:val="004E2AB6"/>
    <w:rsid w:val="004E7B88"/>
    <w:rsid w:val="004F2560"/>
    <w:rsid w:val="004F2E09"/>
    <w:rsid w:val="0050177F"/>
    <w:rsid w:val="005028E8"/>
    <w:rsid w:val="00520272"/>
    <w:rsid w:val="00566F88"/>
    <w:rsid w:val="005675FB"/>
    <w:rsid w:val="0057214A"/>
    <w:rsid w:val="0057284A"/>
    <w:rsid w:val="00574CAF"/>
    <w:rsid w:val="00581E4F"/>
    <w:rsid w:val="00594E45"/>
    <w:rsid w:val="005A0124"/>
    <w:rsid w:val="005C5B10"/>
    <w:rsid w:val="005E0035"/>
    <w:rsid w:val="005F3FBD"/>
    <w:rsid w:val="005F4145"/>
    <w:rsid w:val="005F715E"/>
    <w:rsid w:val="00604132"/>
    <w:rsid w:val="00607033"/>
    <w:rsid w:val="00616D76"/>
    <w:rsid w:val="00630637"/>
    <w:rsid w:val="00635A16"/>
    <w:rsid w:val="00661533"/>
    <w:rsid w:val="00664E0B"/>
    <w:rsid w:val="006713B2"/>
    <w:rsid w:val="00673E15"/>
    <w:rsid w:val="00690CF0"/>
    <w:rsid w:val="006B6D17"/>
    <w:rsid w:val="006D0059"/>
    <w:rsid w:val="006D1C50"/>
    <w:rsid w:val="006D3BD6"/>
    <w:rsid w:val="006E4812"/>
    <w:rsid w:val="006E7FBA"/>
    <w:rsid w:val="006F7D37"/>
    <w:rsid w:val="0070001B"/>
    <w:rsid w:val="0070393A"/>
    <w:rsid w:val="00705780"/>
    <w:rsid w:val="0072564D"/>
    <w:rsid w:val="00727411"/>
    <w:rsid w:val="00737BCC"/>
    <w:rsid w:val="00752168"/>
    <w:rsid w:val="007534EB"/>
    <w:rsid w:val="00754065"/>
    <w:rsid w:val="00755818"/>
    <w:rsid w:val="0076606C"/>
    <w:rsid w:val="00771EB2"/>
    <w:rsid w:val="00773F14"/>
    <w:rsid w:val="0078347E"/>
    <w:rsid w:val="00787FFC"/>
    <w:rsid w:val="0079280F"/>
    <w:rsid w:val="00793DE9"/>
    <w:rsid w:val="00794ADE"/>
    <w:rsid w:val="00796EDC"/>
    <w:rsid w:val="007A4113"/>
    <w:rsid w:val="007B3FBD"/>
    <w:rsid w:val="007C1D70"/>
    <w:rsid w:val="007C51C1"/>
    <w:rsid w:val="007E7D6B"/>
    <w:rsid w:val="0081033A"/>
    <w:rsid w:val="008137C5"/>
    <w:rsid w:val="00823019"/>
    <w:rsid w:val="008243BD"/>
    <w:rsid w:val="00826FB1"/>
    <w:rsid w:val="00855BF6"/>
    <w:rsid w:val="008714AF"/>
    <w:rsid w:val="00875771"/>
    <w:rsid w:val="00892E46"/>
    <w:rsid w:val="00894EAD"/>
    <w:rsid w:val="008960E0"/>
    <w:rsid w:val="00897041"/>
    <w:rsid w:val="008E030D"/>
    <w:rsid w:val="008F2666"/>
    <w:rsid w:val="009006C9"/>
    <w:rsid w:val="00917D7E"/>
    <w:rsid w:val="009270C2"/>
    <w:rsid w:val="009344C1"/>
    <w:rsid w:val="0093454B"/>
    <w:rsid w:val="009452F0"/>
    <w:rsid w:val="0099221A"/>
    <w:rsid w:val="009A5794"/>
    <w:rsid w:val="009A5C23"/>
    <w:rsid w:val="009B79A7"/>
    <w:rsid w:val="009C53BA"/>
    <w:rsid w:val="009C5667"/>
    <w:rsid w:val="009D4B83"/>
    <w:rsid w:val="009E2597"/>
    <w:rsid w:val="009E51DD"/>
    <w:rsid w:val="009E76DA"/>
    <w:rsid w:val="00A07A85"/>
    <w:rsid w:val="00A07B3C"/>
    <w:rsid w:val="00A10C57"/>
    <w:rsid w:val="00A1283E"/>
    <w:rsid w:val="00A2012A"/>
    <w:rsid w:val="00A2076B"/>
    <w:rsid w:val="00A23E40"/>
    <w:rsid w:val="00A364B6"/>
    <w:rsid w:val="00A42967"/>
    <w:rsid w:val="00A42B34"/>
    <w:rsid w:val="00A54908"/>
    <w:rsid w:val="00A54A97"/>
    <w:rsid w:val="00A5638E"/>
    <w:rsid w:val="00A572CA"/>
    <w:rsid w:val="00A60314"/>
    <w:rsid w:val="00A71B8D"/>
    <w:rsid w:val="00A76EE8"/>
    <w:rsid w:val="00A773C0"/>
    <w:rsid w:val="00A80876"/>
    <w:rsid w:val="00A86912"/>
    <w:rsid w:val="00A91B80"/>
    <w:rsid w:val="00A94A3E"/>
    <w:rsid w:val="00AB2528"/>
    <w:rsid w:val="00AC6078"/>
    <w:rsid w:val="00AD6671"/>
    <w:rsid w:val="00AE56B1"/>
    <w:rsid w:val="00B27EE5"/>
    <w:rsid w:val="00B3371B"/>
    <w:rsid w:val="00B64FE2"/>
    <w:rsid w:val="00B750B6"/>
    <w:rsid w:val="00B75A72"/>
    <w:rsid w:val="00BA1261"/>
    <w:rsid w:val="00BC4445"/>
    <w:rsid w:val="00BD1C7F"/>
    <w:rsid w:val="00BD36E5"/>
    <w:rsid w:val="00BE0D09"/>
    <w:rsid w:val="00BE6DD9"/>
    <w:rsid w:val="00C171CA"/>
    <w:rsid w:val="00C3220A"/>
    <w:rsid w:val="00C3300C"/>
    <w:rsid w:val="00C67AF2"/>
    <w:rsid w:val="00C76F3E"/>
    <w:rsid w:val="00C8044F"/>
    <w:rsid w:val="00C8366D"/>
    <w:rsid w:val="00C847B7"/>
    <w:rsid w:val="00C84FE7"/>
    <w:rsid w:val="00C854F6"/>
    <w:rsid w:val="00C8755A"/>
    <w:rsid w:val="00C94904"/>
    <w:rsid w:val="00CA654E"/>
    <w:rsid w:val="00CA7A3C"/>
    <w:rsid w:val="00CD1FC5"/>
    <w:rsid w:val="00CD3A6F"/>
    <w:rsid w:val="00CE29FE"/>
    <w:rsid w:val="00CE39AF"/>
    <w:rsid w:val="00CE5518"/>
    <w:rsid w:val="00CF1358"/>
    <w:rsid w:val="00D03CAC"/>
    <w:rsid w:val="00D22857"/>
    <w:rsid w:val="00D3398C"/>
    <w:rsid w:val="00D41AA1"/>
    <w:rsid w:val="00D5385D"/>
    <w:rsid w:val="00D60FC5"/>
    <w:rsid w:val="00D62A45"/>
    <w:rsid w:val="00D831D4"/>
    <w:rsid w:val="00D85666"/>
    <w:rsid w:val="00D946D1"/>
    <w:rsid w:val="00DA085C"/>
    <w:rsid w:val="00DA2789"/>
    <w:rsid w:val="00DA616D"/>
    <w:rsid w:val="00DA661C"/>
    <w:rsid w:val="00DB5039"/>
    <w:rsid w:val="00DB526A"/>
    <w:rsid w:val="00DE7D1B"/>
    <w:rsid w:val="00DF4674"/>
    <w:rsid w:val="00DF5DBA"/>
    <w:rsid w:val="00DF6D00"/>
    <w:rsid w:val="00DF7044"/>
    <w:rsid w:val="00E0028A"/>
    <w:rsid w:val="00E22F36"/>
    <w:rsid w:val="00E23E41"/>
    <w:rsid w:val="00E412E5"/>
    <w:rsid w:val="00E43A64"/>
    <w:rsid w:val="00E45F02"/>
    <w:rsid w:val="00E468AB"/>
    <w:rsid w:val="00E53A41"/>
    <w:rsid w:val="00E56E25"/>
    <w:rsid w:val="00E604A8"/>
    <w:rsid w:val="00E71EFE"/>
    <w:rsid w:val="00E8152F"/>
    <w:rsid w:val="00E817E2"/>
    <w:rsid w:val="00E81F35"/>
    <w:rsid w:val="00E911C8"/>
    <w:rsid w:val="00E941ED"/>
    <w:rsid w:val="00E96BEA"/>
    <w:rsid w:val="00EA17FD"/>
    <w:rsid w:val="00EA2D2A"/>
    <w:rsid w:val="00EC4EE8"/>
    <w:rsid w:val="00EE1786"/>
    <w:rsid w:val="00EE1B54"/>
    <w:rsid w:val="00EE5EED"/>
    <w:rsid w:val="00EE6037"/>
    <w:rsid w:val="00EF26B0"/>
    <w:rsid w:val="00F05130"/>
    <w:rsid w:val="00F16FF0"/>
    <w:rsid w:val="00F6756C"/>
    <w:rsid w:val="00F72892"/>
    <w:rsid w:val="00F76D55"/>
    <w:rsid w:val="00F91755"/>
    <w:rsid w:val="00F94B8D"/>
    <w:rsid w:val="00F97F07"/>
    <w:rsid w:val="00FA498E"/>
    <w:rsid w:val="00FB22BD"/>
    <w:rsid w:val="00FC5DA4"/>
    <w:rsid w:val="00FE0C58"/>
    <w:rsid w:val="00FE519B"/>
    <w:rsid w:val="00FE535E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6321490"/>
  <w15:chartTrackingRefBased/>
  <w15:docId w15:val="{35FEF909-58AC-4928-9081-2D585D08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0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D36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7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BD1C7F"/>
    <w:rPr>
      <w:rFonts w:ascii="Arial" w:hAnsi="Arial"/>
      <w:sz w:val="22"/>
      <w:lang w:val="en-US" w:eastAsia="en-US"/>
    </w:rPr>
  </w:style>
  <w:style w:type="paragraph" w:styleId="CommentText">
    <w:name w:val="annotation text"/>
    <w:basedOn w:val="Normal"/>
    <w:link w:val="CommentTextChar"/>
    <w:rsid w:val="00897041"/>
    <w:rPr>
      <w:rFonts w:ascii="Times New Roman" w:hAnsi="Times New Roman"/>
      <w:sz w:val="20"/>
    </w:rPr>
  </w:style>
  <w:style w:type="character" w:customStyle="1" w:styleId="CommentTextChar">
    <w:name w:val="Comment Text Char"/>
    <w:link w:val="CommentText"/>
    <w:rsid w:val="00897041"/>
    <w:rPr>
      <w:lang w:val="en-US" w:eastAsia="en-US"/>
    </w:rPr>
  </w:style>
  <w:style w:type="paragraph" w:customStyle="1" w:styleId="zparawtab-e">
    <w:name w:val="zparawtab-e"/>
    <w:rsid w:val="000A310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ListParagraph">
    <w:name w:val="List Paragraph"/>
    <w:basedOn w:val="Normal"/>
    <w:uiPriority w:val="34"/>
    <w:qFormat/>
    <w:rsid w:val="009006C9"/>
    <w:pPr>
      <w:ind w:left="720"/>
    </w:pPr>
  </w:style>
  <w:style w:type="paragraph" w:styleId="BodyText">
    <w:name w:val="Body Text"/>
    <w:basedOn w:val="Normal"/>
    <w:link w:val="BodyTextChar"/>
    <w:rsid w:val="0039228C"/>
    <w:pPr>
      <w:spacing w:after="120"/>
    </w:pPr>
  </w:style>
  <w:style w:type="character" w:customStyle="1" w:styleId="BodyTextChar">
    <w:name w:val="Body Text Char"/>
    <w:link w:val="BodyText"/>
    <w:rsid w:val="0039228C"/>
    <w:rPr>
      <w:rFonts w:ascii="Arial" w:hAnsi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AD623-AE39-4E89-B174-A506E5A4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1886</Words>
  <Characters>10755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de gestion du procès</vt:lpstr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gestion du procès</dc:title>
  <dc:subject>Règle 76</dc:subject>
  <dc:creator>Cour supérieure de justice</dc:creator>
  <cp:keywords/>
  <cp:lastModifiedBy>Tantsis, Sophie (JUD)</cp:lastModifiedBy>
  <cp:revision>2</cp:revision>
  <cp:lastPrinted>2019-11-29T19:14:00Z</cp:lastPrinted>
  <dcterms:created xsi:type="dcterms:W3CDTF">2020-01-02T14:55:00Z</dcterms:created>
  <dcterms:modified xsi:type="dcterms:W3CDTF">2020-01-02T14:55:00Z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Joshua.Patlik@ontario.ca</vt:lpwstr>
  </property>
  <property fmtid="{D5CDD505-2E9C-101B-9397-08002B2CF9AE}" pid="5" name="MSIP_Label_034a106e-6316-442c-ad35-738afd673d2b_SetDate">
    <vt:lpwstr>2019-06-19T14:55:18.8705013Z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Extended_MSFT_Method">
    <vt:lpwstr>Automatic</vt:lpwstr>
  </property>
  <property fmtid="{D5CDD505-2E9C-101B-9397-08002B2CF9AE}" pid="9" name="Sensitivity">
    <vt:lpwstr>OPS - Unclassified Information</vt:lpwstr>
  </property>
</Properties>
</file>