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949580" w14:textId="19E86C53" w:rsidR="0043237F" w:rsidRPr="00FF4990" w:rsidRDefault="00FF4990" w:rsidP="0034080A">
      <w:pPr>
        <w:jc w:val="center"/>
        <w:rPr>
          <w:rFonts w:cs="Arial"/>
          <w:b/>
          <w:szCs w:val="22"/>
          <w:u w:val="single"/>
          <w:lang w:val="fr-CA"/>
        </w:rPr>
      </w:pPr>
      <w:r w:rsidRPr="004C2DF8">
        <w:rPr>
          <w:rFonts w:cs="Arial"/>
          <w:b/>
          <w:szCs w:val="22"/>
          <w:u w:val="single"/>
          <w:lang w:val="fr-CA"/>
        </w:rPr>
        <w:t>Ord</w:t>
      </w:r>
      <w:r>
        <w:rPr>
          <w:rFonts w:cs="Arial"/>
          <w:b/>
          <w:szCs w:val="22"/>
          <w:u w:val="single"/>
          <w:lang w:val="fr-CA"/>
        </w:rPr>
        <w:t>onnance donnant des directives</w:t>
      </w:r>
      <w:r w:rsidRPr="004C2DF8">
        <w:rPr>
          <w:rFonts w:cs="Arial"/>
          <w:b/>
          <w:szCs w:val="22"/>
          <w:u w:val="single"/>
          <w:lang w:val="fr-CA"/>
        </w:rPr>
        <w:t xml:space="preserve"> – </w:t>
      </w:r>
      <w:r>
        <w:rPr>
          <w:rFonts w:cs="Arial"/>
          <w:b/>
          <w:szCs w:val="22"/>
          <w:u w:val="single"/>
          <w:lang w:val="fr-CA"/>
        </w:rPr>
        <w:t>Instances inscrites au rôle des successions</w:t>
      </w:r>
      <w:r w:rsidRPr="004C2DF8">
        <w:rPr>
          <w:rFonts w:cs="Arial"/>
          <w:b/>
          <w:szCs w:val="22"/>
          <w:u w:val="single"/>
          <w:lang w:val="fr-CA"/>
        </w:rPr>
        <w:t xml:space="preserve"> – </w:t>
      </w:r>
      <w:r>
        <w:rPr>
          <w:rFonts w:cs="Arial"/>
          <w:b/>
          <w:szCs w:val="22"/>
          <w:u w:val="single"/>
          <w:lang w:val="fr-CA"/>
        </w:rPr>
        <w:t xml:space="preserve">Nomination d’un avocat en vertu de l’article </w:t>
      </w:r>
      <w:r w:rsidR="00FA636E" w:rsidRPr="00FF4990">
        <w:rPr>
          <w:rFonts w:cs="Arial"/>
          <w:b/>
          <w:szCs w:val="22"/>
          <w:u w:val="single"/>
          <w:lang w:val="fr-CA"/>
        </w:rPr>
        <w:t xml:space="preserve">3 </w:t>
      </w:r>
      <w:r w:rsidRPr="004C2DF8">
        <w:rPr>
          <w:rFonts w:cs="Arial"/>
          <w:b/>
          <w:szCs w:val="22"/>
          <w:u w:val="single"/>
          <w:lang w:val="fr-CA"/>
        </w:rPr>
        <w:t>(</w:t>
      </w:r>
      <w:r>
        <w:rPr>
          <w:rFonts w:cs="Arial"/>
          <w:b/>
          <w:szCs w:val="22"/>
          <w:u w:val="single"/>
          <w:lang w:val="fr-CA"/>
        </w:rPr>
        <w:t>modèle de dispositions</w:t>
      </w:r>
      <w:r w:rsidRPr="004C2DF8">
        <w:rPr>
          <w:rFonts w:cs="Arial"/>
          <w:b/>
          <w:szCs w:val="22"/>
          <w:u w:val="single"/>
          <w:lang w:val="fr-CA"/>
        </w:rPr>
        <w:t>)</w:t>
      </w: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438"/>
        <w:gridCol w:w="6300"/>
        <w:gridCol w:w="4050"/>
      </w:tblGrid>
      <w:tr w:rsidR="00C25B4E" w:rsidRPr="00FF4990" w14:paraId="24ADFCB7" w14:textId="77777777" w:rsidTr="002A5897">
        <w:trPr>
          <w:tblHeader/>
        </w:trPr>
        <w:tc>
          <w:tcPr>
            <w:tcW w:w="3438" w:type="dxa"/>
            <w:shd w:val="pct12" w:color="auto" w:fill="auto"/>
          </w:tcPr>
          <w:p w14:paraId="1C3844D7" w14:textId="5D4D68D4" w:rsidR="0063492D" w:rsidRPr="00FF4990" w:rsidRDefault="00522D2C" w:rsidP="0034080A">
            <w:pPr>
              <w:rPr>
                <w:rFonts w:cs="Arial"/>
                <w:b/>
                <w:szCs w:val="22"/>
                <w:lang w:val="fr-CA"/>
              </w:rPr>
            </w:pPr>
            <w:r>
              <w:rPr>
                <w:rFonts w:cs="Arial"/>
                <w:b/>
                <w:szCs w:val="22"/>
                <w:lang w:val="fr-CA"/>
              </w:rPr>
              <w:t>Question</w:t>
            </w:r>
          </w:p>
        </w:tc>
        <w:tc>
          <w:tcPr>
            <w:tcW w:w="6300" w:type="dxa"/>
            <w:shd w:val="pct12" w:color="auto" w:fill="auto"/>
          </w:tcPr>
          <w:p w14:paraId="35B5B0D1" w14:textId="74BC601F" w:rsidR="0063492D" w:rsidRPr="00FF4990" w:rsidRDefault="00522D2C" w:rsidP="00607E63">
            <w:pPr>
              <w:rPr>
                <w:rFonts w:cs="Arial"/>
                <w:b/>
                <w:szCs w:val="22"/>
                <w:lang w:val="fr-CA"/>
              </w:rPr>
            </w:pPr>
            <w:r>
              <w:rPr>
                <w:rFonts w:cs="Arial"/>
                <w:b/>
                <w:szCs w:val="22"/>
                <w:lang w:val="fr-CA"/>
              </w:rPr>
              <w:t>Modèle de clause</w:t>
            </w:r>
          </w:p>
        </w:tc>
        <w:tc>
          <w:tcPr>
            <w:tcW w:w="4050" w:type="dxa"/>
            <w:shd w:val="pct12" w:color="auto" w:fill="auto"/>
          </w:tcPr>
          <w:p w14:paraId="164D0B0F" w14:textId="08DC2B39" w:rsidR="0063492D" w:rsidRPr="00FF4990" w:rsidRDefault="00522D2C" w:rsidP="0034080A">
            <w:pPr>
              <w:rPr>
                <w:rFonts w:cs="Arial"/>
                <w:b/>
                <w:szCs w:val="22"/>
                <w:lang w:val="fr-CA"/>
              </w:rPr>
            </w:pPr>
            <w:r w:rsidRPr="003913F3">
              <w:rPr>
                <w:rFonts w:cs="Arial"/>
                <w:b/>
                <w:szCs w:val="22"/>
                <w:lang w:val="fr-CA"/>
              </w:rPr>
              <w:t>Annotation</w:t>
            </w:r>
            <w:r>
              <w:rPr>
                <w:rFonts w:cs="Arial"/>
                <w:b/>
                <w:szCs w:val="22"/>
                <w:lang w:val="fr-CA"/>
              </w:rPr>
              <w:t>s</w:t>
            </w:r>
            <w:r w:rsidRPr="003913F3">
              <w:rPr>
                <w:rFonts w:cs="Arial"/>
                <w:b/>
                <w:szCs w:val="22"/>
                <w:lang w:val="fr-CA"/>
              </w:rPr>
              <w:t>/</w:t>
            </w:r>
            <w:r>
              <w:rPr>
                <w:rFonts w:cs="Arial"/>
                <w:b/>
                <w:szCs w:val="22"/>
                <w:lang w:val="fr-CA"/>
              </w:rPr>
              <w:t>c</w:t>
            </w:r>
            <w:r w:rsidRPr="003913F3">
              <w:rPr>
                <w:rFonts w:cs="Arial"/>
                <w:b/>
                <w:szCs w:val="22"/>
                <w:lang w:val="fr-CA"/>
              </w:rPr>
              <w:t>omment</w:t>
            </w:r>
            <w:r>
              <w:rPr>
                <w:rFonts w:cs="Arial"/>
                <w:b/>
                <w:szCs w:val="22"/>
                <w:lang w:val="fr-CA"/>
              </w:rPr>
              <w:t>aire</w:t>
            </w:r>
            <w:r w:rsidRPr="003913F3">
              <w:rPr>
                <w:rFonts w:cs="Arial"/>
                <w:b/>
                <w:szCs w:val="22"/>
                <w:lang w:val="fr-CA"/>
              </w:rPr>
              <w:t>s</w:t>
            </w:r>
          </w:p>
        </w:tc>
      </w:tr>
      <w:tr w:rsidR="00C25B4E" w:rsidRPr="00FF4990" w14:paraId="36720936" w14:textId="77777777" w:rsidTr="002A5897">
        <w:tc>
          <w:tcPr>
            <w:tcW w:w="13788" w:type="dxa"/>
            <w:gridSpan w:val="3"/>
          </w:tcPr>
          <w:p w14:paraId="41C4D026" w14:textId="747C234D" w:rsidR="005048B3" w:rsidRPr="00FF4990" w:rsidRDefault="00D9454B" w:rsidP="00FA636E">
            <w:pPr>
              <w:jc w:val="center"/>
              <w:rPr>
                <w:rFonts w:cs="Arial"/>
                <w:b/>
                <w:i/>
                <w:szCs w:val="22"/>
                <w:lang w:val="fr-CA"/>
              </w:rPr>
            </w:pPr>
            <w:r>
              <w:rPr>
                <w:rFonts w:cs="Arial"/>
                <w:b/>
                <w:i/>
                <w:szCs w:val="22"/>
                <w:lang w:val="fr-CA"/>
              </w:rPr>
              <w:t>Nomination</w:t>
            </w:r>
          </w:p>
        </w:tc>
      </w:tr>
      <w:tr w:rsidR="00C25B4E" w:rsidRPr="00FF4990" w14:paraId="264431DC" w14:textId="77777777" w:rsidTr="0063492D">
        <w:tc>
          <w:tcPr>
            <w:tcW w:w="3438" w:type="dxa"/>
          </w:tcPr>
          <w:p w14:paraId="4FD83A6D" w14:textId="4E3D4DCB" w:rsidR="005048B3" w:rsidRPr="00FF4990" w:rsidRDefault="00D91ABA" w:rsidP="005048B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 xml:space="preserve">Nomination d’un avocat en vertu de l’article 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3 </w:t>
            </w:r>
            <w:r>
              <w:rPr>
                <w:rFonts w:cs="Arial"/>
                <w:szCs w:val="22"/>
                <w:lang w:val="fr-CA"/>
              </w:rPr>
              <w:t xml:space="preserve">de la </w:t>
            </w:r>
            <w:r w:rsidRPr="00D91ABA">
              <w:rPr>
                <w:rFonts w:cs="Arial"/>
                <w:i/>
                <w:szCs w:val="22"/>
                <w:lang w:val="fr-CA"/>
              </w:rPr>
              <w:t>Loi de 1992 sur la prise de décisions au nom d’autrui</w:t>
            </w:r>
            <w:r w:rsidR="00ED7724" w:rsidRPr="00FF4990">
              <w:rPr>
                <w:rFonts w:cs="Arial"/>
                <w:i/>
                <w:szCs w:val="22"/>
                <w:lang w:val="fr-CA"/>
              </w:rPr>
              <w:t xml:space="preserve"> </w:t>
            </w:r>
          </w:p>
        </w:tc>
        <w:tc>
          <w:tcPr>
            <w:tcW w:w="6300" w:type="dxa"/>
          </w:tcPr>
          <w:p w14:paraId="35465153" w14:textId="0E1F13FF" w:rsidR="005048B3" w:rsidRPr="00FF4990" w:rsidRDefault="004A0234" w:rsidP="005048B3">
            <w:pPr>
              <w:rPr>
                <w:rFonts w:cs="Arial"/>
                <w:bCs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 xml:space="preserve">que </w:t>
            </w:r>
            <w:r w:rsidRPr="004A0234">
              <w:rPr>
                <w:rFonts w:cs="Arial"/>
                <w:bCs/>
                <w:szCs w:val="22"/>
                <w:lang w:val="fr-CA"/>
              </w:rPr>
              <w:t xml:space="preserve">le tuteur et curateur public </w:t>
            </w:r>
            <w:r w:rsidRPr="00FF4990">
              <w:rPr>
                <w:rFonts w:cs="Arial"/>
                <w:bCs/>
                <w:szCs w:val="22"/>
                <w:lang w:val="fr-CA"/>
              </w:rPr>
              <w:t>(</w:t>
            </w:r>
            <w:r>
              <w:rPr>
                <w:rFonts w:cs="Arial"/>
                <w:bCs/>
                <w:szCs w:val="22"/>
                <w:lang w:val="fr-CA"/>
              </w:rPr>
              <w:t>l</w:t>
            </w:r>
            <w:r w:rsidRPr="00FF4990">
              <w:rPr>
                <w:rFonts w:cs="Arial"/>
                <w:bCs/>
                <w:szCs w:val="22"/>
                <w:lang w:val="fr-CA"/>
              </w:rPr>
              <w:t xml:space="preserve">e </w:t>
            </w:r>
            <w:r>
              <w:rPr>
                <w:rFonts w:cs="Arial"/>
                <w:bCs/>
                <w:szCs w:val="22"/>
                <w:lang w:val="fr-CA"/>
              </w:rPr>
              <w:t>« </w:t>
            </w:r>
            <w:r>
              <w:rPr>
                <w:rFonts w:cs="Arial"/>
                <w:b/>
                <w:bCs/>
                <w:szCs w:val="22"/>
                <w:lang w:val="fr-CA"/>
              </w:rPr>
              <w:t>TCP</w:t>
            </w:r>
            <w:r>
              <w:rPr>
                <w:rFonts w:cs="Arial"/>
                <w:bCs/>
                <w:szCs w:val="22"/>
                <w:lang w:val="fr-CA"/>
              </w:rPr>
              <w:t> »</w:t>
            </w:r>
            <w:r w:rsidRPr="00FF4990">
              <w:rPr>
                <w:rFonts w:cs="Arial"/>
                <w:bCs/>
                <w:szCs w:val="22"/>
                <w:lang w:val="fr-CA"/>
              </w:rPr>
              <w:t xml:space="preserve">) </w:t>
            </w:r>
            <w:r w:rsidRPr="004A0234">
              <w:rPr>
                <w:rFonts w:cs="Arial"/>
                <w:bCs/>
                <w:szCs w:val="22"/>
                <w:lang w:val="fr-CA"/>
              </w:rPr>
              <w:t xml:space="preserve">prenne des dispositions pour faire représenter </w:t>
            </w:r>
            <w:r>
              <w:rPr>
                <w:rFonts w:cs="Arial"/>
                <w:bCs/>
                <w:szCs w:val="22"/>
                <w:lang w:val="fr-CA"/>
              </w:rPr>
              <w:t>[</w:t>
            </w:r>
            <w:r w:rsidRPr="004A0234">
              <w:rPr>
                <w:rFonts w:cs="Arial"/>
                <w:bCs/>
                <w:szCs w:val="22"/>
                <w:lang w:val="fr-CA"/>
              </w:rPr>
              <w:t>la personne</w:t>
            </w:r>
            <w:r>
              <w:rPr>
                <w:rFonts w:cs="Arial"/>
                <w:bCs/>
                <w:szCs w:val="22"/>
                <w:lang w:val="fr-CA"/>
              </w:rPr>
              <w:t>]</w:t>
            </w:r>
            <w:r w:rsidRPr="004A0234">
              <w:rPr>
                <w:rFonts w:cs="Arial"/>
                <w:bCs/>
                <w:szCs w:val="22"/>
                <w:lang w:val="fr-CA"/>
              </w:rPr>
              <w:t xml:space="preserve"> par un avocat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>,</w:t>
            </w:r>
            <w:r>
              <w:rPr>
                <w:rFonts w:cs="Arial"/>
                <w:bCs/>
                <w:szCs w:val="22"/>
                <w:lang w:val="fr-CA"/>
              </w:rPr>
              <w:t xml:space="preserve"> conformément à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 xml:space="preserve">l’article </w:t>
            </w:r>
            <w:r w:rsidRPr="00FF4990">
              <w:rPr>
                <w:rFonts w:cs="Arial"/>
                <w:szCs w:val="22"/>
                <w:lang w:val="fr-CA"/>
              </w:rPr>
              <w:t xml:space="preserve">3 </w:t>
            </w:r>
            <w:r>
              <w:rPr>
                <w:rFonts w:cs="Arial"/>
                <w:szCs w:val="22"/>
                <w:lang w:val="fr-CA"/>
              </w:rPr>
              <w:t xml:space="preserve">de la </w:t>
            </w:r>
            <w:r w:rsidRPr="00D91ABA">
              <w:rPr>
                <w:rFonts w:cs="Arial"/>
                <w:i/>
                <w:szCs w:val="22"/>
                <w:lang w:val="fr-CA"/>
              </w:rPr>
              <w:t>Loi de 1992 sur la prise de décisions au nom d’autrui</w:t>
            </w:r>
            <w:r w:rsidR="00ED7724" w:rsidRPr="00FF4990">
              <w:rPr>
                <w:szCs w:val="22"/>
                <w:lang w:val="fr-CA"/>
              </w:rPr>
              <w:t xml:space="preserve">, </w:t>
            </w:r>
            <w:r>
              <w:rPr>
                <w:szCs w:val="22"/>
                <w:lang w:val="fr-CA"/>
              </w:rPr>
              <w:t>L</w:t>
            </w:r>
            <w:r w:rsidR="00ED7724" w:rsidRPr="00FF4990">
              <w:rPr>
                <w:szCs w:val="22"/>
                <w:lang w:val="fr-CA"/>
              </w:rPr>
              <w:t>.O. 1992, c</w:t>
            </w:r>
            <w:r>
              <w:rPr>
                <w:szCs w:val="22"/>
                <w:lang w:val="fr-CA"/>
              </w:rPr>
              <w:t>hap</w:t>
            </w:r>
            <w:r w:rsidR="00ED7724" w:rsidRPr="00FF4990">
              <w:rPr>
                <w:szCs w:val="22"/>
                <w:lang w:val="fr-CA"/>
              </w:rPr>
              <w:t>. 30</w:t>
            </w:r>
            <w:r w:rsidR="00D32685" w:rsidRPr="00FF4990">
              <w:rPr>
                <w:szCs w:val="22"/>
                <w:lang w:val="fr-CA"/>
              </w:rPr>
              <w:t xml:space="preserve"> (</w:t>
            </w:r>
            <w:r w:rsidRPr="004A0234">
              <w:rPr>
                <w:bCs/>
                <w:szCs w:val="22"/>
                <w:lang w:val="fr-CA"/>
              </w:rPr>
              <w:t>«</w:t>
            </w:r>
            <w:r>
              <w:rPr>
                <w:b/>
                <w:szCs w:val="22"/>
                <w:lang w:val="fr-CA"/>
              </w:rPr>
              <w:t xml:space="preserve"> avocat nommé en vertu de l’article </w:t>
            </w:r>
            <w:r w:rsidR="00D32685" w:rsidRPr="00FF4990">
              <w:rPr>
                <w:b/>
                <w:szCs w:val="22"/>
                <w:lang w:val="fr-CA"/>
              </w:rPr>
              <w:t>3</w:t>
            </w:r>
            <w:r>
              <w:rPr>
                <w:b/>
                <w:szCs w:val="22"/>
                <w:lang w:val="fr-CA"/>
              </w:rPr>
              <w:t> </w:t>
            </w:r>
            <w:r w:rsidRPr="004A0234">
              <w:rPr>
                <w:bCs/>
                <w:szCs w:val="22"/>
                <w:lang w:val="fr-CA"/>
              </w:rPr>
              <w:t>»</w:t>
            </w:r>
            <w:r w:rsidR="00D32685" w:rsidRPr="00FF4990">
              <w:rPr>
                <w:szCs w:val="22"/>
                <w:lang w:val="fr-CA"/>
              </w:rPr>
              <w:t>)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, </w:t>
            </w:r>
            <w:r w:rsidR="00B62604">
              <w:rPr>
                <w:rFonts w:cs="Arial"/>
                <w:bCs/>
                <w:szCs w:val="22"/>
                <w:lang w:val="fr-CA"/>
              </w:rPr>
              <w:t>et que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 [</w:t>
            </w:r>
            <w:r w:rsidR="00B62604">
              <w:rPr>
                <w:rFonts w:cs="Arial"/>
                <w:bCs/>
                <w:szCs w:val="22"/>
                <w:lang w:val="fr-CA"/>
              </w:rPr>
              <w:t>la personne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] </w:t>
            </w:r>
            <w:r w:rsidR="00B62604">
              <w:rPr>
                <w:rFonts w:cs="Arial"/>
                <w:bCs/>
                <w:szCs w:val="22"/>
                <w:lang w:val="fr-CA"/>
              </w:rPr>
              <w:t>soit r</w:t>
            </w:r>
            <w:r w:rsidR="00B62604" w:rsidRPr="00B62604">
              <w:rPr>
                <w:rFonts w:cs="Arial"/>
                <w:bCs/>
                <w:szCs w:val="22"/>
                <w:lang w:val="fr-CA"/>
              </w:rPr>
              <w:t xml:space="preserve">éputée capable de retenir les services d’un avocat et de le mandater. 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 </w:t>
            </w:r>
          </w:p>
        </w:tc>
        <w:tc>
          <w:tcPr>
            <w:tcW w:w="4050" w:type="dxa"/>
          </w:tcPr>
          <w:p w14:paraId="65AA9BF1" w14:textId="5AFFA3D8" w:rsidR="005048B3" w:rsidRPr="00FF4990" w:rsidRDefault="00860154" w:rsidP="00607E63">
            <w:pPr>
              <w:rPr>
                <w:rFonts w:cs="Arial"/>
                <w:i/>
                <w:szCs w:val="22"/>
                <w:lang w:val="fr-CA"/>
              </w:rPr>
            </w:pPr>
            <w:r w:rsidRPr="00D91ABA">
              <w:rPr>
                <w:rFonts w:cs="Arial"/>
                <w:i/>
                <w:szCs w:val="22"/>
                <w:lang w:val="fr-CA"/>
              </w:rPr>
              <w:t>Loi de 1992 sur la prise de décisions au nom d’autrui</w:t>
            </w:r>
            <w:r w:rsidRPr="00FF4990">
              <w:rPr>
                <w:szCs w:val="22"/>
                <w:lang w:val="fr-CA"/>
              </w:rPr>
              <w:t xml:space="preserve">, </w:t>
            </w:r>
            <w:r>
              <w:rPr>
                <w:szCs w:val="22"/>
                <w:lang w:val="fr-CA"/>
              </w:rPr>
              <w:t>L</w:t>
            </w:r>
            <w:r w:rsidRPr="00FF4990">
              <w:rPr>
                <w:szCs w:val="22"/>
                <w:lang w:val="fr-CA"/>
              </w:rPr>
              <w:t>.O. 1992, c</w:t>
            </w:r>
            <w:r>
              <w:rPr>
                <w:szCs w:val="22"/>
                <w:lang w:val="fr-CA"/>
              </w:rPr>
              <w:t>hap</w:t>
            </w:r>
            <w:r w:rsidRPr="00FF4990">
              <w:rPr>
                <w:szCs w:val="22"/>
                <w:lang w:val="fr-CA"/>
              </w:rPr>
              <w:t>. 30</w:t>
            </w:r>
            <w:r w:rsidR="000E0533">
              <w:rPr>
                <w:szCs w:val="22"/>
                <w:lang w:val="fr-CA"/>
              </w:rPr>
              <w:t>, dans sa version</w:t>
            </w:r>
            <w:r>
              <w:rPr>
                <w:szCs w:val="22"/>
                <w:lang w:val="fr-CA"/>
              </w:rPr>
              <w:t xml:space="preserve"> modifiée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 (</w:t>
            </w:r>
            <w:r>
              <w:rPr>
                <w:rFonts w:cs="Arial"/>
                <w:bCs/>
                <w:szCs w:val="22"/>
                <w:lang w:val="fr-CA"/>
              </w:rPr>
              <w:t>« </w:t>
            </w:r>
            <w:r>
              <w:rPr>
                <w:rFonts w:cs="Arial"/>
                <w:b/>
                <w:szCs w:val="22"/>
                <w:lang w:val="fr-CA"/>
              </w:rPr>
              <w:t>LP</w:t>
            </w:r>
            <w:r w:rsidR="00ED7724" w:rsidRPr="00FF4990">
              <w:rPr>
                <w:rFonts w:cs="Arial"/>
                <w:b/>
                <w:szCs w:val="22"/>
                <w:lang w:val="fr-CA"/>
              </w:rPr>
              <w:t>D</w:t>
            </w:r>
            <w:r>
              <w:rPr>
                <w:rFonts w:cs="Arial"/>
                <w:b/>
                <w:szCs w:val="22"/>
                <w:lang w:val="fr-CA"/>
              </w:rPr>
              <w:t>N</w:t>
            </w:r>
            <w:r w:rsidR="00ED7724" w:rsidRPr="00FF4990">
              <w:rPr>
                <w:rFonts w:cs="Arial"/>
                <w:b/>
                <w:szCs w:val="22"/>
                <w:lang w:val="fr-CA"/>
              </w:rPr>
              <w:t>A</w:t>
            </w:r>
            <w:r>
              <w:rPr>
                <w:rFonts w:cs="Arial"/>
                <w:szCs w:val="22"/>
                <w:lang w:val="fr-CA"/>
              </w:rPr>
              <w:t> »</w:t>
            </w:r>
            <w:r w:rsidR="00ED7724" w:rsidRPr="00FF4990">
              <w:rPr>
                <w:rFonts w:cs="Arial"/>
                <w:szCs w:val="22"/>
                <w:lang w:val="fr-CA"/>
              </w:rPr>
              <w:t>)</w:t>
            </w:r>
          </w:p>
          <w:p w14:paraId="5D2D4EA1" w14:textId="77C7F023" w:rsidR="00CA02CC" w:rsidRPr="00FF4990" w:rsidRDefault="00272A93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Ce libe</w:t>
            </w:r>
            <w:r w:rsidR="000E0533">
              <w:rPr>
                <w:rFonts w:cs="Arial"/>
                <w:szCs w:val="22"/>
                <w:lang w:val="fr-CA"/>
              </w:rPr>
              <w:t>llé reprend celui du paragraphe </w:t>
            </w:r>
            <w:r w:rsidR="00ED7724" w:rsidRPr="00FF4990">
              <w:rPr>
                <w:rFonts w:cs="Arial"/>
                <w:szCs w:val="22"/>
                <w:lang w:val="fr-CA"/>
              </w:rPr>
              <w:t>3</w:t>
            </w:r>
            <w:r w:rsidR="000E0533">
              <w:rPr>
                <w:rFonts w:cs="Arial"/>
                <w:szCs w:val="22"/>
                <w:lang w:val="fr-CA"/>
              </w:rPr>
              <w:t> 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(1) </w:t>
            </w:r>
            <w:r>
              <w:rPr>
                <w:rFonts w:cs="Arial"/>
                <w:szCs w:val="22"/>
                <w:lang w:val="fr-CA"/>
              </w:rPr>
              <w:t>de la LPDNA</w:t>
            </w:r>
            <w:r w:rsidR="00ED7724" w:rsidRPr="00FF4990">
              <w:rPr>
                <w:rFonts w:cs="Arial"/>
                <w:szCs w:val="22"/>
                <w:lang w:val="fr-CA"/>
              </w:rPr>
              <w:t>.</w:t>
            </w:r>
          </w:p>
          <w:p w14:paraId="2E2E6DC7" w14:textId="4CE3D681" w:rsidR="00127DAF" w:rsidRPr="00FF4990" w:rsidRDefault="00FB3B97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 xml:space="preserve">Dans la requête, il peut y avoir des questions en litige ne relevant pas de la LPDNA </w:t>
            </w:r>
            <w:r w:rsidR="004F3CEC">
              <w:rPr>
                <w:rFonts w:cs="Arial"/>
                <w:szCs w:val="22"/>
                <w:lang w:val="fr-CA"/>
              </w:rPr>
              <w:t xml:space="preserve">à l’égard desquelles le tribunal et les </w:t>
            </w:r>
            <w:r w:rsidR="00ED7724" w:rsidRPr="00FF4990">
              <w:rPr>
                <w:rFonts w:cs="Arial"/>
                <w:szCs w:val="22"/>
                <w:lang w:val="fr-CA"/>
              </w:rPr>
              <w:t>parties</w:t>
            </w:r>
            <w:r w:rsidR="005F0EB7">
              <w:rPr>
                <w:rFonts w:cs="Arial"/>
                <w:szCs w:val="22"/>
                <w:lang w:val="fr-CA"/>
              </w:rPr>
              <w:t xml:space="preserve"> bénéficieraient de la position de l’</w:t>
            </w:r>
            <w:r w:rsidR="00ED7724" w:rsidRPr="00FF4990">
              <w:rPr>
                <w:rFonts w:cs="Arial"/>
                <w:szCs w:val="22"/>
                <w:lang w:val="fr-CA"/>
              </w:rPr>
              <w:t>incapable o</w:t>
            </w:r>
            <w:r w:rsidR="003D7FC8">
              <w:rPr>
                <w:rFonts w:cs="Arial"/>
                <w:szCs w:val="22"/>
                <w:lang w:val="fr-CA"/>
              </w:rPr>
              <w:t>u de la personne censément</w:t>
            </w:r>
            <w:r w:rsidR="005F0EB7">
              <w:rPr>
                <w:rFonts w:cs="Arial"/>
                <w:szCs w:val="22"/>
                <w:lang w:val="fr-CA"/>
              </w:rPr>
              <w:t xml:space="preserve"> incapable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. </w:t>
            </w:r>
            <w:r w:rsidR="00640850">
              <w:rPr>
                <w:rFonts w:cs="Arial"/>
                <w:szCs w:val="22"/>
                <w:lang w:val="fr-CA"/>
              </w:rPr>
              <w:t>Ces question</w:t>
            </w:r>
            <w:r w:rsidR="00125580">
              <w:rPr>
                <w:rFonts w:cs="Arial"/>
                <w:szCs w:val="22"/>
                <w:lang w:val="fr-CA"/>
              </w:rPr>
              <w:t>s</w:t>
            </w:r>
            <w:r w:rsidR="00640850">
              <w:rPr>
                <w:rFonts w:cs="Arial"/>
                <w:szCs w:val="22"/>
                <w:lang w:val="fr-CA"/>
              </w:rPr>
              <w:t xml:space="preserve"> devraient être énoncées dans l’ordonnance de nomination.</w:t>
            </w:r>
          </w:p>
          <w:p w14:paraId="4636255D" w14:textId="305F647B" w:rsidR="00803981" w:rsidRPr="00FF4990" w:rsidRDefault="00DB6A51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Les autres ordonnances</w:t>
            </w:r>
            <w:r w:rsidR="00BA7123">
              <w:rPr>
                <w:rFonts w:cs="Arial"/>
                <w:szCs w:val="22"/>
                <w:lang w:val="fr-CA"/>
              </w:rPr>
              <w:t xml:space="preserve"> de redressement</w:t>
            </w:r>
            <w:r>
              <w:rPr>
                <w:rFonts w:cs="Arial"/>
                <w:szCs w:val="22"/>
                <w:lang w:val="fr-CA"/>
              </w:rPr>
              <w:t xml:space="preserve"> provisoires </w:t>
            </w:r>
            <w:r w:rsidR="00C627D0">
              <w:rPr>
                <w:rFonts w:cs="Arial"/>
                <w:szCs w:val="22"/>
                <w:lang w:val="fr-CA"/>
              </w:rPr>
              <w:t>défavorables à</w:t>
            </w:r>
            <w:r w:rsidR="003D7FC8">
              <w:rPr>
                <w:rFonts w:cs="Arial"/>
                <w:szCs w:val="22"/>
                <w:lang w:val="fr-CA"/>
              </w:rPr>
              <w:t xml:space="preserve"> la personne censément</w:t>
            </w:r>
            <w:r>
              <w:rPr>
                <w:rFonts w:cs="Arial"/>
                <w:szCs w:val="22"/>
                <w:lang w:val="fr-CA"/>
              </w:rPr>
              <w:t xml:space="preserve"> incapable devraient être reportées jusqu’à ce que l’avocat nommé en vertu de l’article </w:t>
            </w:r>
            <w:r w:rsidR="00ED7724" w:rsidRPr="00FF4990">
              <w:rPr>
                <w:rFonts w:cs="Arial"/>
                <w:szCs w:val="22"/>
                <w:lang w:val="fr-CA"/>
              </w:rPr>
              <w:t>3</w:t>
            </w:r>
            <w:r>
              <w:rPr>
                <w:rFonts w:cs="Arial"/>
                <w:szCs w:val="22"/>
                <w:lang w:val="fr-CA"/>
              </w:rPr>
              <w:t xml:space="preserve"> ait eu l’occasion de rencontrer le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client</w:t>
            </w:r>
            <w:r>
              <w:rPr>
                <w:rFonts w:cs="Arial"/>
                <w:szCs w:val="22"/>
                <w:lang w:val="fr-CA"/>
              </w:rPr>
              <w:t xml:space="preserve"> et de répondre à la requête (pa</w:t>
            </w:r>
            <w:r w:rsidR="00ED7724" w:rsidRPr="00FF4990">
              <w:rPr>
                <w:rFonts w:cs="Arial"/>
                <w:szCs w:val="22"/>
                <w:lang w:val="fr-CA"/>
              </w:rPr>
              <w:t>r ex</w:t>
            </w:r>
            <w:r>
              <w:rPr>
                <w:rFonts w:cs="Arial"/>
                <w:szCs w:val="22"/>
                <w:lang w:val="fr-CA"/>
              </w:rPr>
              <w:t>e</w:t>
            </w:r>
            <w:r w:rsidR="003D7FC8">
              <w:rPr>
                <w:rFonts w:cs="Arial"/>
                <w:szCs w:val="22"/>
                <w:lang w:val="fr-CA"/>
              </w:rPr>
              <w:t>mple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 xml:space="preserve">les ordonnances </w:t>
            </w:r>
            <w:r w:rsidR="00F45BCE">
              <w:rPr>
                <w:rFonts w:cs="Arial"/>
                <w:szCs w:val="22"/>
                <w:lang w:val="fr-CA"/>
              </w:rPr>
              <w:t>de</w:t>
            </w:r>
            <w:r>
              <w:rPr>
                <w:rFonts w:cs="Arial"/>
                <w:szCs w:val="22"/>
                <w:lang w:val="fr-CA"/>
              </w:rPr>
              <w:t xml:space="preserve"> divulgation de renseignements financiers ou de renseignements personnels sur la santé ou les ordonnances </w:t>
            </w:r>
            <w:r w:rsidR="003B0433">
              <w:rPr>
                <w:rFonts w:cs="Arial"/>
                <w:szCs w:val="22"/>
                <w:lang w:val="fr-CA"/>
              </w:rPr>
              <w:t>d’</w:t>
            </w:r>
            <w:r>
              <w:rPr>
                <w:rFonts w:cs="Arial"/>
                <w:szCs w:val="22"/>
                <w:lang w:val="fr-CA"/>
              </w:rPr>
              <w:t xml:space="preserve">évaluation de la capacité </w:t>
            </w:r>
            <w:r w:rsidR="0041517F">
              <w:rPr>
                <w:rFonts w:cs="Arial"/>
                <w:szCs w:val="22"/>
                <w:lang w:val="fr-CA"/>
              </w:rPr>
              <w:t>visées à</w:t>
            </w:r>
            <w:r>
              <w:rPr>
                <w:rFonts w:cs="Arial"/>
                <w:szCs w:val="22"/>
                <w:lang w:val="fr-CA"/>
              </w:rPr>
              <w:t xml:space="preserve"> l’article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79</w:t>
            </w:r>
            <w:r>
              <w:rPr>
                <w:rFonts w:cs="Arial"/>
                <w:szCs w:val="22"/>
                <w:lang w:val="fr-CA"/>
              </w:rPr>
              <w:t xml:space="preserve"> de la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lastRenderedPageBreak/>
              <w:t>LPDNA</w:t>
            </w:r>
            <w:r w:rsidR="003B0433">
              <w:rPr>
                <w:rFonts w:cs="Arial"/>
                <w:szCs w:val="22"/>
                <w:lang w:val="fr-CA"/>
              </w:rPr>
              <w:t>)</w:t>
            </w:r>
            <w:r w:rsidR="00ED7724" w:rsidRPr="00FF4990">
              <w:rPr>
                <w:rFonts w:cs="Arial"/>
                <w:szCs w:val="22"/>
                <w:lang w:val="fr-CA"/>
              </w:rPr>
              <w:t>.</w:t>
            </w:r>
          </w:p>
        </w:tc>
      </w:tr>
      <w:tr w:rsidR="00C25B4E" w:rsidRPr="00FF4990" w14:paraId="6E1C1D26" w14:textId="77777777" w:rsidTr="0063492D">
        <w:tc>
          <w:tcPr>
            <w:tcW w:w="3438" w:type="dxa"/>
          </w:tcPr>
          <w:p w14:paraId="21398CEE" w14:textId="5CF7395A" w:rsidR="006764F1" w:rsidRPr="00FF4990" w:rsidRDefault="00606E5D" w:rsidP="005048B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lastRenderedPageBreak/>
              <w:t>Nomination d’un avocat particulier, sous réserve de la position du TCP</w:t>
            </w:r>
          </w:p>
        </w:tc>
        <w:tc>
          <w:tcPr>
            <w:tcW w:w="6300" w:type="dxa"/>
          </w:tcPr>
          <w:p w14:paraId="37E04F4B" w14:textId="494A97ED" w:rsidR="006764F1" w:rsidRPr="00FF4990" w:rsidRDefault="003B6473" w:rsidP="00320469">
            <w:pPr>
              <w:rPr>
                <w:rFonts w:cs="Arial"/>
                <w:bCs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FF4990">
              <w:rPr>
                <w:rFonts w:cs="Arial"/>
                <w:bCs/>
                <w:szCs w:val="22"/>
                <w:lang w:val="fr-CA"/>
              </w:rPr>
              <w:t xml:space="preserve"> </w:t>
            </w:r>
            <w:r w:rsidR="000F751A">
              <w:rPr>
                <w:rFonts w:cs="Arial"/>
                <w:bCs/>
                <w:szCs w:val="22"/>
                <w:lang w:val="fr-CA"/>
              </w:rPr>
              <w:t xml:space="preserve">le TCP songe à retenir les services de 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>[n</w:t>
            </w:r>
            <w:r w:rsidR="000F751A">
              <w:rPr>
                <w:rFonts w:cs="Arial"/>
                <w:bCs/>
                <w:szCs w:val="22"/>
                <w:lang w:val="fr-CA"/>
              </w:rPr>
              <w:t>om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] </w:t>
            </w:r>
            <w:r w:rsidR="000F751A">
              <w:rPr>
                <w:rFonts w:cs="Arial"/>
                <w:bCs/>
                <w:szCs w:val="22"/>
                <w:lang w:val="fr-CA"/>
              </w:rPr>
              <w:t>de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 [</w:t>
            </w:r>
            <w:r w:rsidR="000F751A">
              <w:rPr>
                <w:rFonts w:cs="Arial"/>
                <w:bCs/>
                <w:szCs w:val="22"/>
                <w:lang w:val="fr-CA"/>
              </w:rPr>
              <w:t>cabinet d’avocats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] </w:t>
            </w:r>
            <w:r w:rsidR="000F751A">
              <w:rPr>
                <w:rFonts w:cs="Arial"/>
                <w:bCs/>
                <w:szCs w:val="22"/>
                <w:lang w:val="fr-CA"/>
              </w:rPr>
              <w:t xml:space="preserve">à titre d’avocat nommé en vertu de l’article 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>3</w:t>
            </w:r>
            <w:r w:rsidR="000F751A">
              <w:rPr>
                <w:rFonts w:cs="Arial"/>
                <w:bCs/>
                <w:szCs w:val="22"/>
                <w:lang w:val="fr-CA"/>
              </w:rPr>
              <w:t xml:space="preserve"> à l’égard de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 [</w:t>
            </w:r>
            <w:r w:rsidR="000F751A">
              <w:rPr>
                <w:rFonts w:cs="Arial"/>
                <w:bCs/>
                <w:szCs w:val="22"/>
                <w:lang w:val="fr-CA"/>
              </w:rPr>
              <w:t>la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 person</w:t>
            </w:r>
            <w:r w:rsidR="000F751A">
              <w:rPr>
                <w:rFonts w:cs="Arial"/>
                <w:bCs/>
                <w:szCs w:val="22"/>
                <w:lang w:val="fr-CA"/>
              </w:rPr>
              <w:t>ne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], </w:t>
            </w:r>
            <w:r w:rsidR="00F037E4">
              <w:rPr>
                <w:rFonts w:cs="Arial"/>
                <w:bCs/>
                <w:szCs w:val="22"/>
                <w:lang w:val="fr-CA"/>
              </w:rPr>
              <w:t xml:space="preserve">bien que rien dans le présent paragraphe ne porte atteinte </w:t>
            </w:r>
            <w:r w:rsidR="009C4325">
              <w:rPr>
                <w:rFonts w:cs="Arial"/>
                <w:bCs/>
                <w:szCs w:val="22"/>
                <w:lang w:val="fr-CA"/>
              </w:rPr>
              <w:t>à la discrétion</w:t>
            </w:r>
            <w:r w:rsidR="00A75E9A">
              <w:rPr>
                <w:rFonts w:cs="Arial"/>
                <w:bCs/>
                <w:szCs w:val="22"/>
                <w:lang w:val="fr-CA"/>
              </w:rPr>
              <w:t xml:space="preserve"> ordinaire </w:t>
            </w:r>
            <w:r w:rsidR="009C4325">
              <w:rPr>
                <w:rFonts w:cs="Arial"/>
                <w:bCs/>
                <w:szCs w:val="22"/>
                <w:lang w:val="fr-CA"/>
              </w:rPr>
              <w:t xml:space="preserve">dont </w:t>
            </w:r>
            <w:r w:rsidR="009C4325" w:rsidRPr="00EE152B">
              <w:rPr>
                <w:rFonts w:cs="Arial"/>
                <w:bCs/>
                <w:szCs w:val="22"/>
                <w:lang w:val="fr-CA"/>
              </w:rPr>
              <w:t>jouit le</w:t>
            </w:r>
            <w:r w:rsidR="00A75E9A" w:rsidRPr="00EE152B">
              <w:rPr>
                <w:rFonts w:cs="Arial"/>
                <w:bCs/>
                <w:szCs w:val="22"/>
                <w:lang w:val="fr-CA"/>
              </w:rPr>
              <w:t xml:space="preserve"> TCP</w:t>
            </w:r>
            <w:r w:rsidR="00774BF7" w:rsidRPr="00EE152B">
              <w:rPr>
                <w:lang w:val="fr-CA"/>
              </w:rPr>
              <w:t xml:space="preserve"> </w:t>
            </w:r>
            <w:r w:rsidR="00EE152B" w:rsidRPr="00EE152B">
              <w:rPr>
                <w:lang w:val="fr-CA"/>
              </w:rPr>
              <w:t>lorsqu’il s’agit de</w:t>
            </w:r>
            <w:r w:rsidR="00774BF7" w:rsidRPr="00EE152B">
              <w:rPr>
                <w:lang w:val="fr-CA"/>
              </w:rPr>
              <w:t xml:space="preserve"> </w:t>
            </w:r>
            <w:r w:rsidR="009C4325" w:rsidRPr="00EE152B">
              <w:rPr>
                <w:rFonts w:cs="Arial"/>
                <w:bCs/>
                <w:szCs w:val="22"/>
                <w:lang w:val="fr-CA"/>
              </w:rPr>
              <w:t>pren</w:t>
            </w:r>
            <w:r w:rsidR="00774BF7" w:rsidRPr="00EE152B">
              <w:rPr>
                <w:rFonts w:cs="Arial"/>
                <w:bCs/>
                <w:szCs w:val="22"/>
                <w:lang w:val="fr-CA"/>
              </w:rPr>
              <w:t>dre</w:t>
            </w:r>
            <w:r w:rsidR="009C4325" w:rsidRPr="009C4325">
              <w:rPr>
                <w:rFonts w:cs="Arial"/>
                <w:bCs/>
                <w:szCs w:val="22"/>
                <w:lang w:val="fr-CA"/>
              </w:rPr>
              <w:t xml:space="preserve"> des dispositions pour faire représenter la personne par un avocat</w:t>
            </w:r>
            <w:r w:rsidR="00A75E9A">
              <w:rPr>
                <w:rFonts w:cs="Arial"/>
                <w:bCs/>
                <w:szCs w:val="22"/>
                <w:lang w:val="fr-CA"/>
              </w:rPr>
              <w:t xml:space="preserve"> </w:t>
            </w:r>
            <w:r w:rsidR="00774BF7">
              <w:rPr>
                <w:rFonts w:cs="Arial"/>
                <w:bCs/>
                <w:szCs w:val="22"/>
                <w:lang w:val="fr-CA"/>
              </w:rPr>
              <w:t xml:space="preserve">conformément à l’article 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3 </w:t>
            </w:r>
            <w:r w:rsidR="00774BF7">
              <w:rPr>
                <w:rFonts w:cs="Arial"/>
                <w:bCs/>
                <w:szCs w:val="22"/>
                <w:lang w:val="fr-CA"/>
              </w:rPr>
              <w:t>de la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 </w:t>
            </w:r>
            <w:r w:rsidR="00774BF7" w:rsidRPr="00774BF7">
              <w:rPr>
                <w:rFonts w:cs="Arial"/>
                <w:bCs/>
                <w:i/>
                <w:szCs w:val="22"/>
                <w:lang w:val="fr-CA"/>
              </w:rPr>
              <w:t>Loi de 1992 sur la prise de décisions au nom d’autrui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, </w:t>
            </w:r>
            <w:r w:rsidR="00774BF7">
              <w:rPr>
                <w:rFonts w:cs="Arial"/>
                <w:bCs/>
                <w:szCs w:val="22"/>
                <w:lang w:val="fr-CA"/>
              </w:rPr>
              <w:t xml:space="preserve">ni à la discrétion ordinaire dont jouit 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>[</w:t>
            </w:r>
            <w:r w:rsidR="00774BF7">
              <w:rPr>
                <w:rFonts w:cs="Arial"/>
                <w:bCs/>
                <w:szCs w:val="22"/>
                <w:lang w:val="fr-CA"/>
              </w:rPr>
              <w:t xml:space="preserve">nom de l’avocat] </w:t>
            </w:r>
            <w:r w:rsidR="00EE152B" w:rsidRPr="00EE152B">
              <w:rPr>
                <w:lang w:val="fr-CA"/>
              </w:rPr>
              <w:t>lorsqu’il s’agit de</w:t>
            </w:r>
            <w:r w:rsidR="00774BF7">
              <w:rPr>
                <w:rFonts w:cs="Arial"/>
                <w:bCs/>
                <w:szCs w:val="22"/>
                <w:lang w:val="fr-CA"/>
              </w:rPr>
              <w:t xml:space="preserve"> déterminer les mandats de son client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.      </w:t>
            </w:r>
          </w:p>
        </w:tc>
        <w:tc>
          <w:tcPr>
            <w:tcW w:w="4050" w:type="dxa"/>
          </w:tcPr>
          <w:p w14:paraId="334EB901" w14:textId="77777777" w:rsidR="006764F1" w:rsidRPr="00FF4990" w:rsidRDefault="006764F1" w:rsidP="00607E63">
            <w:pPr>
              <w:rPr>
                <w:rFonts w:cs="Arial"/>
                <w:i/>
                <w:szCs w:val="22"/>
                <w:lang w:val="fr-CA"/>
              </w:rPr>
            </w:pPr>
          </w:p>
        </w:tc>
      </w:tr>
      <w:tr w:rsidR="00C25B4E" w:rsidRPr="00FF4990" w14:paraId="1CF5D162" w14:textId="77777777" w:rsidTr="0063492D">
        <w:tc>
          <w:tcPr>
            <w:tcW w:w="3438" w:type="dxa"/>
          </w:tcPr>
          <w:p w14:paraId="47972713" w14:textId="227A6D14" w:rsidR="00D32685" w:rsidRPr="00FF4990" w:rsidRDefault="00ED7724" w:rsidP="005048B3">
            <w:pPr>
              <w:rPr>
                <w:rFonts w:cs="Arial"/>
                <w:szCs w:val="22"/>
                <w:lang w:val="fr-CA"/>
              </w:rPr>
            </w:pPr>
            <w:r w:rsidRPr="00FF4990">
              <w:rPr>
                <w:rFonts w:cs="Arial"/>
                <w:szCs w:val="22"/>
                <w:lang w:val="fr-CA"/>
              </w:rPr>
              <w:t>Acc</w:t>
            </w:r>
            <w:r w:rsidR="00606E5D">
              <w:rPr>
                <w:rFonts w:cs="Arial"/>
                <w:szCs w:val="22"/>
                <w:lang w:val="fr-CA"/>
              </w:rPr>
              <w:t>è</w:t>
            </w:r>
            <w:r w:rsidRPr="00FF4990">
              <w:rPr>
                <w:rFonts w:cs="Arial"/>
                <w:szCs w:val="22"/>
                <w:lang w:val="fr-CA"/>
              </w:rPr>
              <w:t>s</w:t>
            </w:r>
          </w:p>
        </w:tc>
        <w:tc>
          <w:tcPr>
            <w:tcW w:w="6300" w:type="dxa"/>
          </w:tcPr>
          <w:p w14:paraId="0CC2EFE1" w14:textId="2D21E24E" w:rsidR="00D32685" w:rsidRPr="00FF4990" w:rsidRDefault="003B6473" w:rsidP="00320469">
            <w:pPr>
              <w:rPr>
                <w:rFonts w:cs="Arial"/>
                <w:bCs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FF4990">
              <w:rPr>
                <w:rFonts w:cs="Arial"/>
                <w:bCs/>
                <w:szCs w:val="22"/>
                <w:lang w:val="fr-CA"/>
              </w:rPr>
              <w:t xml:space="preserve"> </w:t>
            </w:r>
            <w:r w:rsidR="001E6942">
              <w:rPr>
                <w:rFonts w:cs="Arial"/>
                <w:bCs/>
                <w:szCs w:val="22"/>
                <w:lang w:val="fr-CA"/>
              </w:rPr>
              <w:t>l’avocat nommé en vertu de l’article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 3 </w:t>
            </w:r>
            <w:r w:rsidR="001E6942">
              <w:rPr>
                <w:rFonts w:cs="Arial"/>
                <w:bCs/>
                <w:szCs w:val="22"/>
                <w:lang w:val="fr-CA"/>
              </w:rPr>
              <w:t>soit en tout temps informé de l’adresse permanente actuelle</w:t>
            </w:r>
            <w:r w:rsidR="00494509">
              <w:rPr>
                <w:rFonts w:cs="Arial"/>
                <w:bCs/>
                <w:szCs w:val="22"/>
                <w:lang w:val="fr-CA"/>
              </w:rPr>
              <w:t xml:space="preserve">, </w:t>
            </w:r>
            <w:r w:rsidR="001E6942">
              <w:rPr>
                <w:rFonts w:cs="Arial"/>
                <w:bCs/>
                <w:szCs w:val="22"/>
                <w:lang w:val="fr-CA"/>
              </w:rPr>
              <w:t>de toute adresse temporaire</w:t>
            </w:r>
            <w:r w:rsidR="00494509">
              <w:rPr>
                <w:rFonts w:cs="Arial"/>
                <w:bCs/>
                <w:szCs w:val="22"/>
                <w:lang w:val="fr-CA"/>
              </w:rPr>
              <w:t xml:space="preserve"> et des coordonnées </w:t>
            </w:r>
            <w:r w:rsidR="008C3863">
              <w:rPr>
                <w:rFonts w:cs="Arial"/>
                <w:bCs/>
                <w:szCs w:val="22"/>
                <w:lang w:val="fr-CA"/>
              </w:rPr>
              <w:t>les plus récentes</w:t>
            </w:r>
            <w:r w:rsidR="00494509">
              <w:rPr>
                <w:rFonts w:cs="Arial"/>
                <w:bCs/>
                <w:szCs w:val="22"/>
                <w:lang w:val="fr-CA"/>
              </w:rPr>
              <w:t xml:space="preserve"> de 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>[</w:t>
            </w:r>
            <w:r w:rsidR="00494509">
              <w:rPr>
                <w:rFonts w:cs="Arial"/>
                <w:bCs/>
                <w:szCs w:val="22"/>
                <w:lang w:val="fr-CA"/>
              </w:rPr>
              <w:t>la personne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] </w:t>
            </w:r>
            <w:r w:rsidR="00494509">
              <w:rPr>
                <w:rFonts w:cs="Arial"/>
                <w:bCs/>
                <w:szCs w:val="22"/>
                <w:lang w:val="fr-CA"/>
              </w:rPr>
              <w:t>et</w:t>
            </w:r>
            <w:r w:rsidR="00052DAB">
              <w:rPr>
                <w:rFonts w:cs="Arial"/>
                <w:bCs/>
                <w:szCs w:val="22"/>
                <w:lang w:val="fr-CA"/>
              </w:rPr>
              <w:t xml:space="preserve"> </w:t>
            </w:r>
            <w:r w:rsidR="00AD3194">
              <w:rPr>
                <w:rFonts w:cs="Arial"/>
                <w:bCs/>
                <w:szCs w:val="22"/>
                <w:lang w:val="fr-CA"/>
              </w:rPr>
              <w:t>se voie accorder u</w:t>
            </w:r>
            <w:r w:rsidR="00052DAB">
              <w:rPr>
                <w:rFonts w:cs="Arial"/>
                <w:bCs/>
                <w:szCs w:val="22"/>
                <w:lang w:val="fr-CA"/>
              </w:rPr>
              <w:t>n accès ininterrompu, libre et privé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 </w:t>
            </w:r>
            <w:r w:rsidR="00494509">
              <w:rPr>
                <w:rFonts w:cs="Arial"/>
                <w:bCs/>
                <w:szCs w:val="22"/>
                <w:lang w:val="fr-CA"/>
              </w:rPr>
              <w:t xml:space="preserve">à 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>[</w:t>
            </w:r>
            <w:r w:rsidR="00494509">
              <w:rPr>
                <w:rFonts w:cs="Arial"/>
                <w:bCs/>
                <w:szCs w:val="22"/>
                <w:lang w:val="fr-CA"/>
              </w:rPr>
              <w:t>la personne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>].</w:t>
            </w:r>
          </w:p>
        </w:tc>
        <w:tc>
          <w:tcPr>
            <w:tcW w:w="4050" w:type="dxa"/>
          </w:tcPr>
          <w:p w14:paraId="2D793466" w14:textId="7360A4B9" w:rsidR="00D32685" w:rsidRPr="00FF4990" w:rsidRDefault="005E1535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Voir, par exemple, « </w:t>
            </w:r>
            <w:r w:rsidR="00ED7724" w:rsidRPr="005E1535">
              <w:rPr>
                <w:rFonts w:cs="Arial"/>
                <w:szCs w:val="22"/>
              </w:rPr>
              <w:t>The Role of Counsel Pursuant to Section  3 of the Substitute Decisions Act</w:t>
            </w:r>
            <w:r>
              <w:rPr>
                <w:rFonts w:cs="Arial"/>
                <w:szCs w:val="22"/>
                <w:lang w:val="fr-CA"/>
              </w:rPr>
              <w:t> », par</w:t>
            </w:r>
            <w:r w:rsidR="003D7FC8">
              <w:rPr>
                <w:rFonts w:cs="Arial"/>
                <w:szCs w:val="22"/>
                <w:lang w:val="fr-CA"/>
              </w:rPr>
              <w:t xml:space="preserve"> D’Arcy 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Hiltz, </w:t>
            </w:r>
            <w:r w:rsidR="006A21FD">
              <w:rPr>
                <w:rFonts w:cs="Arial"/>
                <w:szCs w:val="22"/>
                <w:lang w:val="fr-CA"/>
              </w:rPr>
              <w:t>division des fiducies et successions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de l’Association du Barreau de l’</w:t>
            </w:r>
            <w:r w:rsidR="00ED7724" w:rsidRPr="00FF4990">
              <w:rPr>
                <w:rFonts w:cs="Arial"/>
                <w:szCs w:val="22"/>
                <w:lang w:val="fr-CA"/>
              </w:rPr>
              <w:t>Ontario,</w:t>
            </w:r>
            <w:r>
              <w:rPr>
                <w:rFonts w:cs="Arial"/>
                <w:szCs w:val="22"/>
                <w:lang w:val="fr-CA"/>
              </w:rPr>
              <w:t xml:space="preserve"> 29 novembre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2009.</w:t>
            </w:r>
          </w:p>
          <w:p w14:paraId="1DDC0699" w14:textId="51553B40" w:rsidR="00B176D7" w:rsidRPr="00FF4990" w:rsidRDefault="00A55550" w:rsidP="00A272A6">
            <w:pPr>
              <w:rPr>
                <w:rFonts w:cs="Arial"/>
                <w:i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 xml:space="preserve">Ce libellé aide l’avocat nommé en vertu de l’article </w:t>
            </w:r>
            <w:r w:rsidR="00ED7724" w:rsidRPr="00FF4990">
              <w:rPr>
                <w:rFonts w:cs="Arial"/>
                <w:szCs w:val="22"/>
                <w:lang w:val="fr-CA"/>
              </w:rPr>
              <w:t>3</w:t>
            </w:r>
            <w:r>
              <w:rPr>
                <w:rFonts w:cs="Arial"/>
                <w:szCs w:val="22"/>
                <w:lang w:val="fr-CA"/>
              </w:rPr>
              <w:t xml:space="preserve"> à communiquer confidentiellement avec la personne </w:t>
            </w:r>
            <w:r w:rsidR="003D7FC8">
              <w:rPr>
                <w:rFonts w:cs="Arial"/>
                <w:szCs w:val="22"/>
                <w:lang w:val="fr-CA"/>
              </w:rPr>
              <w:t>censément</w:t>
            </w:r>
            <w:r>
              <w:rPr>
                <w:rFonts w:cs="Arial"/>
                <w:szCs w:val="22"/>
                <w:lang w:val="fr-CA"/>
              </w:rPr>
              <w:t xml:space="preserve"> incapable qui </w:t>
            </w:r>
            <w:r w:rsidR="00F80073">
              <w:rPr>
                <w:rFonts w:cs="Arial"/>
                <w:szCs w:val="22"/>
                <w:lang w:val="fr-CA"/>
              </w:rPr>
              <w:t>vit</w:t>
            </w:r>
            <w:r>
              <w:rPr>
                <w:rFonts w:cs="Arial"/>
                <w:szCs w:val="22"/>
                <w:lang w:val="fr-CA"/>
              </w:rPr>
              <w:t xml:space="preserve"> avec d’autres parties ou des parties adverses, avec des membres de la famille ou dans de</w:t>
            </w:r>
            <w:r w:rsidR="00EF4559">
              <w:rPr>
                <w:rFonts w:cs="Arial"/>
                <w:szCs w:val="22"/>
                <w:lang w:val="fr-CA"/>
              </w:rPr>
              <w:t>s établissements de soins collectifs</w:t>
            </w:r>
            <w:r w:rsidR="00A272A6" w:rsidRPr="00FF4990">
              <w:rPr>
                <w:rFonts w:cs="Arial"/>
                <w:szCs w:val="22"/>
                <w:lang w:val="fr-CA"/>
              </w:rPr>
              <w:t>.</w:t>
            </w:r>
          </w:p>
        </w:tc>
      </w:tr>
      <w:tr w:rsidR="00C25B4E" w:rsidRPr="00FF4990" w14:paraId="2E6A0543" w14:textId="77777777" w:rsidTr="002A5897">
        <w:tc>
          <w:tcPr>
            <w:tcW w:w="13788" w:type="dxa"/>
            <w:gridSpan w:val="3"/>
          </w:tcPr>
          <w:p w14:paraId="1D6E601D" w14:textId="20301B74" w:rsidR="009C7CE2" w:rsidRPr="00FF4990" w:rsidRDefault="00736CC2" w:rsidP="00320469">
            <w:pPr>
              <w:jc w:val="center"/>
              <w:rPr>
                <w:rFonts w:cs="Arial"/>
                <w:b/>
                <w:i/>
                <w:szCs w:val="22"/>
                <w:lang w:val="fr-CA"/>
              </w:rPr>
            </w:pPr>
            <w:r>
              <w:rPr>
                <w:rFonts w:cs="Arial"/>
                <w:b/>
                <w:i/>
                <w:szCs w:val="22"/>
                <w:lang w:val="fr-CA"/>
              </w:rPr>
              <w:t>Honoraire</w:t>
            </w:r>
            <w:r w:rsidR="00ED7724" w:rsidRPr="00FF4990">
              <w:rPr>
                <w:rFonts w:cs="Arial"/>
                <w:b/>
                <w:i/>
                <w:szCs w:val="22"/>
                <w:lang w:val="fr-CA"/>
              </w:rPr>
              <w:t>s</w:t>
            </w:r>
          </w:p>
        </w:tc>
      </w:tr>
      <w:tr w:rsidR="00C25B4E" w:rsidRPr="00FF4990" w14:paraId="38AA3065" w14:textId="77777777" w:rsidTr="0063492D">
        <w:tc>
          <w:tcPr>
            <w:tcW w:w="3438" w:type="dxa"/>
          </w:tcPr>
          <w:p w14:paraId="4A2B7762" w14:textId="12F2AC18" w:rsidR="00E124EB" w:rsidRPr="00FF4990" w:rsidRDefault="00A52EA6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Honoraires de l’avocat nommé en vertu de l’article 3</w:t>
            </w:r>
          </w:p>
          <w:p w14:paraId="008FC3FF" w14:textId="77777777" w:rsidR="00E124EB" w:rsidRPr="00FF4990" w:rsidRDefault="00E124EB" w:rsidP="00607E63">
            <w:pPr>
              <w:rPr>
                <w:rFonts w:cs="Arial"/>
                <w:szCs w:val="22"/>
                <w:lang w:val="fr-CA"/>
              </w:rPr>
            </w:pPr>
          </w:p>
          <w:p w14:paraId="265EB580" w14:textId="77777777" w:rsidR="00E124EB" w:rsidRPr="00FF4990" w:rsidRDefault="00E124EB" w:rsidP="00607E63">
            <w:pPr>
              <w:rPr>
                <w:rFonts w:cs="Arial"/>
                <w:szCs w:val="22"/>
                <w:lang w:val="fr-CA"/>
              </w:rPr>
            </w:pPr>
          </w:p>
          <w:p w14:paraId="1A65BB42" w14:textId="77777777" w:rsidR="00E124EB" w:rsidRPr="00FF4990" w:rsidRDefault="00ED7724" w:rsidP="00607E63">
            <w:pPr>
              <w:rPr>
                <w:rFonts w:cs="Arial"/>
                <w:szCs w:val="22"/>
                <w:lang w:val="fr-CA"/>
              </w:rPr>
            </w:pPr>
            <w:r w:rsidRPr="00FF4990">
              <w:rPr>
                <w:rFonts w:cs="Arial"/>
                <w:szCs w:val="22"/>
                <w:lang w:val="fr-CA"/>
              </w:rPr>
              <w:br/>
            </w:r>
          </w:p>
        </w:tc>
        <w:tc>
          <w:tcPr>
            <w:tcW w:w="6300" w:type="dxa"/>
          </w:tcPr>
          <w:p w14:paraId="4BCD8417" w14:textId="35250CEC" w:rsidR="00D32685" w:rsidRPr="00FF4990" w:rsidRDefault="003B6473" w:rsidP="00D32685">
            <w:pPr>
              <w:rPr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lastRenderedPageBreak/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[</w:t>
            </w:r>
            <w:r w:rsidR="007C1B70">
              <w:rPr>
                <w:rFonts w:cs="Arial"/>
                <w:szCs w:val="22"/>
                <w:lang w:val="fr-CA"/>
              </w:rPr>
              <w:t>LE TITULAIRE DE COMPTE</w:t>
            </w:r>
            <w:r w:rsidR="007C1B70" w:rsidRPr="00FF4990">
              <w:rPr>
                <w:rFonts w:cs="Arial"/>
                <w:szCs w:val="22"/>
                <w:lang w:val="fr-CA"/>
              </w:rPr>
              <w:t>/</w:t>
            </w:r>
            <w:r w:rsidR="007C1B70">
              <w:rPr>
                <w:rFonts w:cs="Arial"/>
                <w:szCs w:val="22"/>
                <w:lang w:val="fr-CA"/>
              </w:rPr>
              <w:t>LE PROCUREUR</w:t>
            </w:r>
            <w:r w:rsidR="007C1B70" w:rsidRPr="00FF4990">
              <w:rPr>
                <w:rFonts w:cs="Arial"/>
                <w:szCs w:val="22"/>
                <w:lang w:val="fr-CA"/>
              </w:rPr>
              <w:t>/ETC</w:t>
            </w:r>
            <w:r w:rsidR="007C1B70">
              <w:rPr>
                <w:rFonts w:cs="Arial"/>
                <w:szCs w:val="22"/>
                <w:lang w:val="fr-CA"/>
              </w:rPr>
              <w:t>.</w:t>
            </w:r>
            <w:r w:rsidR="00ED7724" w:rsidRPr="00FF4990">
              <w:rPr>
                <w:rFonts w:cs="Arial"/>
                <w:szCs w:val="22"/>
                <w:lang w:val="fr-CA"/>
              </w:rPr>
              <w:t>]</w:t>
            </w:r>
            <w:r w:rsidR="00ED7724" w:rsidRPr="00FF4990">
              <w:rPr>
                <w:szCs w:val="22"/>
                <w:lang w:val="fr-CA"/>
              </w:rPr>
              <w:t xml:space="preserve"> </w:t>
            </w:r>
            <w:r w:rsidR="007C1B70">
              <w:rPr>
                <w:szCs w:val="22"/>
                <w:lang w:val="fr-CA"/>
              </w:rPr>
              <w:t>fournisse à l’avocat nommé en vertu de l’article 3 la somme de</w:t>
            </w:r>
            <w:r w:rsidR="00ED7724" w:rsidRPr="00FF4990">
              <w:rPr>
                <w:szCs w:val="22"/>
                <w:lang w:val="fr-CA"/>
              </w:rPr>
              <w:t xml:space="preserve"> [$]</w:t>
            </w:r>
            <w:r w:rsidR="005B6AF2">
              <w:rPr>
                <w:szCs w:val="22"/>
                <w:lang w:val="fr-CA"/>
              </w:rPr>
              <w:t xml:space="preserve">, laquelle est </w:t>
            </w:r>
            <w:r w:rsidR="007C1B70">
              <w:rPr>
                <w:szCs w:val="22"/>
                <w:lang w:val="fr-CA"/>
              </w:rPr>
              <w:lastRenderedPageBreak/>
              <w:t>prélevée sur les biens de</w:t>
            </w:r>
            <w:r w:rsidR="00ED7724" w:rsidRPr="00FF4990">
              <w:rPr>
                <w:szCs w:val="22"/>
                <w:lang w:val="fr-CA"/>
              </w:rPr>
              <w:t xml:space="preserve"> [</w:t>
            </w:r>
            <w:r w:rsidR="007C1B70">
              <w:rPr>
                <w:szCs w:val="22"/>
                <w:lang w:val="fr-CA"/>
              </w:rPr>
              <w:t>la personne</w:t>
            </w:r>
            <w:r w:rsidR="00ED7724" w:rsidRPr="00FF4990">
              <w:rPr>
                <w:szCs w:val="22"/>
                <w:lang w:val="fr-CA"/>
              </w:rPr>
              <w:t>]</w:t>
            </w:r>
            <w:r w:rsidR="005B6AF2">
              <w:rPr>
                <w:szCs w:val="22"/>
                <w:lang w:val="fr-CA"/>
              </w:rPr>
              <w:t xml:space="preserve"> et d</w:t>
            </w:r>
            <w:r w:rsidR="001B6806">
              <w:rPr>
                <w:szCs w:val="22"/>
                <w:lang w:val="fr-CA"/>
              </w:rPr>
              <w:t xml:space="preserve">oit être détenue en fiducie au titre des honoraires juridiques et des débours engagés pour représenter </w:t>
            </w:r>
            <w:r w:rsidR="001B6806" w:rsidRPr="00FF4990">
              <w:rPr>
                <w:szCs w:val="22"/>
                <w:lang w:val="fr-CA"/>
              </w:rPr>
              <w:t>[</w:t>
            </w:r>
            <w:r w:rsidR="001B6806">
              <w:rPr>
                <w:szCs w:val="22"/>
                <w:lang w:val="fr-CA"/>
              </w:rPr>
              <w:t>la</w:t>
            </w:r>
            <w:r w:rsidR="001B6806" w:rsidRPr="00FF4990">
              <w:rPr>
                <w:szCs w:val="22"/>
                <w:lang w:val="fr-CA"/>
              </w:rPr>
              <w:t xml:space="preserve"> person</w:t>
            </w:r>
            <w:r w:rsidR="001B6806">
              <w:rPr>
                <w:szCs w:val="22"/>
                <w:lang w:val="fr-CA"/>
              </w:rPr>
              <w:t>ne</w:t>
            </w:r>
            <w:r w:rsidR="001B6806" w:rsidRPr="00FF4990">
              <w:rPr>
                <w:szCs w:val="22"/>
                <w:lang w:val="fr-CA"/>
              </w:rPr>
              <w:t xml:space="preserve">], </w:t>
            </w:r>
            <w:r w:rsidR="001B6806">
              <w:rPr>
                <w:szCs w:val="22"/>
                <w:lang w:val="fr-CA"/>
              </w:rPr>
              <w:t xml:space="preserve">qui sont </w:t>
            </w:r>
            <w:r w:rsidR="001B6806" w:rsidRPr="00FF4990">
              <w:rPr>
                <w:szCs w:val="22"/>
                <w:lang w:val="fr-CA"/>
              </w:rPr>
              <w:t>payable</w:t>
            </w:r>
            <w:r w:rsidR="001B6806">
              <w:rPr>
                <w:szCs w:val="22"/>
                <w:lang w:val="fr-CA"/>
              </w:rPr>
              <w:t>s</w:t>
            </w:r>
            <w:r w:rsidR="001B6806" w:rsidRPr="00FF4990">
              <w:rPr>
                <w:szCs w:val="22"/>
                <w:lang w:val="fr-CA"/>
              </w:rPr>
              <w:t xml:space="preserve"> </w:t>
            </w:r>
            <w:r w:rsidR="001B6806">
              <w:rPr>
                <w:szCs w:val="22"/>
                <w:lang w:val="fr-CA"/>
              </w:rPr>
              <w:t>de temps à autre</w:t>
            </w:r>
            <w:r w:rsidR="00A01786">
              <w:rPr>
                <w:szCs w:val="22"/>
                <w:lang w:val="fr-CA"/>
              </w:rPr>
              <w:t>, et qu</w:t>
            </w:r>
            <w:r w:rsidR="008A67F5">
              <w:rPr>
                <w:szCs w:val="22"/>
                <w:lang w:val="fr-CA"/>
              </w:rPr>
              <w:t xml:space="preserve">e, sur demande, </w:t>
            </w:r>
            <w:r w:rsidR="002F62D1" w:rsidRPr="00FF4990">
              <w:rPr>
                <w:rFonts w:cs="Arial"/>
                <w:szCs w:val="22"/>
                <w:lang w:val="fr-CA"/>
              </w:rPr>
              <w:t>[</w:t>
            </w:r>
            <w:r w:rsidR="002F62D1">
              <w:rPr>
                <w:rFonts w:cs="Arial"/>
                <w:szCs w:val="22"/>
                <w:lang w:val="fr-CA"/>
              </w:rPr>
              <w:t>LE TITULAIRE DE COMPTE</w:t>
            </w:r>
            <w:r w:rsidR="002F62D1" w:rsidRPr="00FF4990">
              <w:rPr>
                <w:rFonts w:cs="Arial"/>
                <w:szCs w:val="22"/>
                <w:lang w:val="fr-CA"/>
              </w:rPr>
              <w:t>/</w:t>
            </w:r>
            <w:r w:rsidR="002F62D1">
              <w:rPr>
                <w:rFonts w:cs="Arial"/>
                <w:szCs w:val="22"/>
                <w:lang w:val="fr-CA"/>
              </w:rPr>
              <w:t>LE PROCUREUR</w:t>
            </w:r>
            <w:r w:rsidR="002F62D1" w:rsidRPr="00FF4990">
              <w:rPr>
                <w:rFonts w:cs="Arial"/>
                <w:szCs w:val="22"/>
                <w:lang w:val="fr-CA"/>
              </w:rPr>
              <w:t>/ETC</w:t>
            </w:r>
            <w:r w:rsidR="002F62D1">
              <w:rPr>
                <w:rFonts w:cs="Arial"/>
                <w:szCs w:val="22"/>
                <w:lang w:val="fr-CA"/>
              </w:rPr>
              <w:t>.</w:t>
            </w:r>
            <w:r w:rsidR="002F62D1" w:rsidRPr="00FF4990">
              <w:rPr>
                <w:rFonts w:cs="Arial"/>
                <w:szCs w:val="22"/>
                <w:lang w:val="fr-CA"/>
              </w:rPr>
              <w:t>]</w:t>
            </w:r>
            <w:r w:rsidR="008A67F5">
              <w:rPr>
                <w:szCs w:val="22"/>
                <w:lang w:val="fr-CA"/>
              </w:rPr>
              <w:t xml:space="preserve"> fournisse rapidement à l’avocat nommé en vertu de l’article 3 d’autres sommes </w:t>
            </w:r>
            <w:r w:rsidR="002F62D1">
              <w:rPr>
                <w:szCs w:val="22"/>
                <w:lang w:val="fr-CA"/>
              </w:rPr>
              <w:t xml:space="preserve">qui doivent être </w:t>
            </w:r>
            <w:r w:rsidR="008A67F5">
              <w:rPr>
                <w:szCs w:val="22"/>
                <w:lang w:val="fr-CA"/>
              </w:rPr>
              <w:t>déposées en fiducie</w:t>
            </w:r>
            <w:r w:rsidR="00ED7724" w:rsidRPr="00FF4990">
              <w:rPr>
                <w:rFonts w:cs="Arial"/>
                <w:szCs w:val="22"/>
                <w:lang w:val="fr-CA"/>
              </w:rPr>
              <w:t>.</w:t>
            </w:r>
          </w:p>
          <w:p w14:paraId="265155E3" w14:textId="77777777" w:rsidR="00FA636E" w:rsidRPr="00FF4990" w:rsidRDefault="00FA636E" w:rsidP="00FA636E">
            <w:pPr>
              <w:rPr>
                <w:rFonts w:cs="Arial"/>
                <w:szCs w:val="22"/>
                <w:lang w:val="fr-CA"/>
              </w:rPr>
            </w:pPr>
          </w:p>
        </w:tc>
        <w:tc>
          <w:tcPr>
            <w:tcW w:w="4050" w:type="dxa"/>
          </w:tcPr>
          <w:p w14:paraId="1958BA70" w14:textId="65463170" w:rsidR="00D32685" w:rsidRPr="00FF4990" w:rsidRDefault="004C255C" w:rsidP="00D32685">
            <w:pPr>
              <w:rPr>
                <w:rFonts w:cs="Arial"/>
                <w:iCs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lastRenderedPageBreak/>
              <w:t xml:space="preserve">Compétence : art. 3 de la </w:t>
            </w:r>
            <w:r>
              <w:rPr>
                <w:rFonts w:cs="Arial"/>
                <w:i/>
                <w:szCs w:val="22"/>
                <w:lang w:val="fr-CA"/>
              </w:rPr>
              <w:t>LPDNA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; </w:t>
            </w:r>
            <w:r>
              <w:rPr>
                <w:rFonts w:cs="Arial"/>
                <w:szCs w:val="22"/>
                <w:lang w:val="fr-CA"/>
              </w:rPr>
              <w:t>art. 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39 </w:t>
            </w:r>
            <w:r>
              <w:rPr>
                <w:rFonts w:cs="Arial"/>
                <w:szCs w:val="22"/>
                <w:lang w:val="fr-CA"/>
              </w:rPr>
              <w:t xml:space="preserve">de la </w:t>
            </w:r>
            <w:r w:rsidRPr="004C255C">
              <w:rPr>
                <w:rFonts w:cs="Arial"/>
                <w:i/>
                <w:iCs/>
                <w:szCs w:val="22"/>
                <w:lang w:val="fr-CA"/>
              </w:rPr>
              <w:t>LPDNA</w:t>
            </w:r>
            <w:r>
              <w:rPr>
                <w:rFonts w:cs="Arial"/>
                <w:szCs w:val="22"/>
                <w:lang w:val="fr-CA"/>
              </w:rPr>
              <w:t xml:space="preserve"> </w:t>
            </w:r>
            <w:r w:rsidR="00ED7724" w:rsidRPr="00FF4990">
              <w:rPr>
                <w:rFonts w:cs="Arial"/>
                <w:szCs w:val="22"/>
                <w:lang w:val="fr-CA"/>
              </w:rPr>
              <w:t>(</w:t>
            </w:r>
            <w:r w:rsidR="00300D4E">
              <w:rPr>
                <w:rFonts w:cs="Arial"/>
                <w:szCs w:val="22"/>
                <w:lang w:val="fr-CA"/>
              </w:rPr>
              <w:t>s’il y a une</w:t>
            </w:r>
            <w:r w:rsidR="00300D4E">
              <w:t xml:space="preserve"> </w:t>
            </w:r>
            <w:r w:rsidR="00300D4E" w:rsidRPr="00300D4E">
              <w:rPr>
                <w:rFonts w:cs="Arial"/>
                <w:szCs w:val="22"/>
                <w:lang w:val="fr-CA"/>
              </w:rPr>
              <w:t>procuration perpétuelle</w:t>
            </w:r>
            <w:r w:rsidR="00300D4E">
              <w:rPr>
                <w:rFonts w:cs="Arial"/>
                <w:szCs w:val="22"/>
                <w:lang w:val="fr-CA"/>
              </w:rPr>
              <w:t xml:space="preserve"> relative aux </w:t>
            </w:r>
            <w:r w:rsidR="00300D4E">
              <w:rPr>
                <w:rFonts w:cs="Arial"/>
                <w:szCs w:val="22"/>
                <w:lang w:val="fr-CA"/>
              </w:rPr>
              <w:lastRenderedPageBreak/>
              <w:t>biens ou une</w:t>
            </w:r>
            <w:r w:rsidR="00300D4E">
              <w:t xml:space="preserve"> </w:t>
            </w:r>
            <w:r w:rsidR="00300D4E" w:rsidRPr="00300D4E">
              <w:rPr>
                <w:rFonts w:cs="Arial"/>
                <w:szCs w:val="22"/>
                <w:lang w:val="fr-CA"/>
              </w:rPr>
              <w:t>tute</w:t>
            </w:r>
            <w:r w:rsidR="00300D4E">
              <w:rPr>
                <w:rFonts w:cs="Arial"/>
                <w:szCs w:val="22"/>
                <w:lang w:val="fr-CA"/>
              </w:rPr>
              <w:t>lle ex</w:t>
            </w:r>
            <w:r w:rsidR="00ED7724" w:rsidRPr="00FF4990">
              <w:rPr>
                <w:rFonts w:cs="Arial"/>
                <w:szCs w:val="22"/>
                <w:lang w:val="fr-CA"/>
              </w:rPr>
              <w:t>ist</w:t>
            </w:r>
            <w:r w:rsidR="00300D4E">
              <w:rPr>
                <w:rFonts w:cs="Arial"/>
                <w:szCs w:val="22"/>
                <w:lang w:val="fr-CA"/>
              </w:rPr>
              <w:t>ante</w:t>
            </w:r>
            <w:r w:rsidR="00ED7724" w:rsidRPr="00FF4990">
              <w:rPr>
                <w:rFonts w:cs="Arial"/>
                <w:szCs w:val="22"/>
                <w:lang w:val="fr-CA"/>
              </w:rPr>
              <w:t>)</w:t>
            </w:r>
            <w:r w:rsidR="00ED7724" w:rsidRPr="00FF4990">
              <w:rPr>
                <w:rFonts w:cs="Arial"/>
                <w:iCs/>
                <w:szCs w:val="22"/>
                <w:lang w:val="fr-CA"/>
              </w:rPr>
              <w:t xml:space="preserve">; </w:t>
            </w:r>
            <w:r w:rsidR="00BC3F0B">
              <w:rPr>
                <w:rFonts w:cs="Arial"/>
                <w:iCs/>
                <w:szCs w:val="22"/>
                <w:lang w:val="fr-CA"/>
              </w:rPr>
              <w:t>et compétence inhérente du tribunal</w:t>
            </w:r>
            <w:r w:rsidR="00ED7724" w:rsidRPr="00FF4990">
              <w:rPr>
                <w:rFonts w:cs="Arial"/>
                <w:iCs/>
                <w:szCs w:val="22"/>
                <w:lang w:val="fr-CA"/>
              </w:rPr>
              <w:t xml:space="preserve"> (</w:t>
            </w:r>
            <w:r w:rsidR="00BC3F0B">
              <w:rPr>
                <w:rFonts w:cs="Arial"/>
                <w:iCs/>
                <w:szCs w:val="22"/>
                <w:lang w:val="fr-CA"/>
              </w:rPr>
              <w:t>voir</w:t>
            </w:r>
            <w:r w:rsidR="00ED7724" w:rsidRPr="00FF4990">
              <w:rPr>
                <w:rFonts w:cs="Arial"/>
                <w:iCs/>
                <w:szCs w:val="22"/>
                <w:lang w:val="fr-CA"/>
              </w:rPr>
              <w:t xml:space="preserve"> </w:t>
            </w:r>
            <w:r w:rsidR="00ED7724" w:rsidRPr="00FF4990">
              <w:rPr>
                <w:rFonts w:cs="Arial"/>
                <w:i/>
                <w:szCs w:val="22"/>
                <w:lang w:val="fr-CA"/>
              </w:rPr>
              <w:t xml:space="preserve">Ontario </w:t>
            </w:r>
            <w:r w:rsidR="00605A12">
              <w:rPr>
                <w:rFonts w:cs="Arial"/>
                <w:i/>
                <w:szCs w:val="22"/>
                <w:lang w:val="fr-CA"/>
              </w:rPr>
              <w:t>c</w:t>
            </w:r>
            <w:r w:rsidR="00ED7724" w:rsidRPr="00FF4990">
              <w:rPr>
                <w:rFonts w:cs="Arial"/>
                <w:i/>
                <w:szCs w:val="22"/>
                <w:lang w:val="fr-CA"/>
              </w:rPr>
              <w:t>. Criminal Lawyers’ Association of Ontario</w:t>
            </w:r>
            <w:r w:rsidR="00ED7724" w:rsidRPr="00FF4990">
              <w:rPr>
                <w:rFonts w:cs="Arial"/>
                <w:iCs/>
                <w:szCs w:val="22"/>
                <w:lang w:val="fr-CA"/>
              </w:rPr>
              <w:t>, 2013 C</w:t>
            </w:r>
            <w:r w:rsidR="00605A12">
              <w:rPr>
                <w:rFonts w:cs="Arial"/>
                <w:iCs/>
                <w:szCs w:val="22"/>
                <w:lang w:val="fr-CA"/>
              </w:rPr>
              <w:t>S</w:t>
            </w:r>
            <w:r w:rsidR="00ED7724" w:rsidRPr="00FF4990">
              <w:rPr>
                <w:rFonts w:cs="Arial"/>
                <w:iCs/>
                <w:szCs w:val="22"/>
                <w:lang w:val="fr-CA"/>
              </w:rPr>
              <w:t>C 43 (CanLII), [2013] 3 R</w:t>
            </w:r>
            <w:r w:rsidR="00605A12">
              <w:rPr>
                <w:rFonts w:cs="Arial"/>
                <w:iCs/>
                <w:szCs w:val="22"/>
                <w:lang w:val="fr-CA"/>
              </w:rPr>
              <w:t>CS</w:t>
            </w:r>
            <w:r w:rsidR="00ED7724" w:rsidRPr="00FF4990">
              <w:rPr>
                <w:rFonts w:cs="Arial"/>
                <w:iCs/>
                <w:szCs w:val="22"/>
                <w:lang w:val="fr-CA"/>
              </w:rPr>
              <w:t xml:space="preserve"> 3</w:t>
            </w:r>
            <w:r w:rsidR="00605A12">
              <w:rPr>
                <w:rFonts w:cs="Arial"/>
                <w:iCs/>
                <w:szCs w:val="22"/>
                <w:lang w:val="fr-CA"/>
              </w:rPr>
              <w:t xml:space="preserve">, aux </w:t>
            </w:r>
            <w:r w:rsidR="00ED7724" w:rsidRPr="00FF4990">
              <w:rPr>
                <w:rFonts w:cs="Arial"/>
                <w:iCs/>
                <w:szCs w:val="22"/>
                <w:lang w:val="fr-CA"/>
              </w:rPr>
              <w:t>paragraph</w:t>
            </w:r>
            <w:r w:rsidR="00605A12">
              <w:rPr>
                <w:rFonts w:cs="Arial"/>
                <w:iCs/>
                <w:szCs w:val="22"/>
                <w:lang w:val="fr-CA"/>
              </w:rPr>
              <w:t>e</w:t>
            </w:r>
            <w:r w:rsidR="00ED7724" w:rsidRPr="00FF4990">
              <w:rPr>
                <w:rFonts w:cs="Arial"/>
                <w:iCs/>
                <w:szCs w:val="22"/>
                <w:lang w:val="fr-CA"/>
              </w:rPr>
              <w:t xml:space="preserve">s 17 </w:t>
            </w:r>
            <w:r w:rsidR="00605A12">
              <w:rPr>
                <w:rFonts w:cs="Arial"/>
                <w:iCs/>
                <w:szCs w:val="22"/>
                <w:lang w:val="fr-CA"/>
              </w:rPr>
              <w:t>à</w:t>
            </w:r>
            <w:r w:rsidR="00ED7724" w:rsidRPr="00FF4990">
              <w:rPr>
                <w:rFonts w:cs="Arial"/>
                <w:iCs/>
                <w:szCs w:val="22"/>
                <w:lang w:val="fr-CA"/>
              </w:rPr>
              <w:t xml:space="preserve"> 26)</w:t>
            </w:r>
            <w:r w:rsidR="00605A12">
              <w:rPr>
                <w:rFonts w:cs="Arial"/>
                <w:iCs/>
                <w:szCs w:val="22"/>
                <w:lang w:val="fr-CA"/>
              </w:rPr>
              <w:t xml:space="preserve"> s’il n’y a pas de</w:t>
            </w:r>
            <w:r w:rsidR="00605A12" w:rsidRPr="00300D4E">
              <w:rPr>
                <w:rFonts w:cs="Arial"/>
                <w:szCs w:val="22"/>
                <w:lang w:val="fr-CA"/>
              </w:rPr>
              <w:t xml:space="preserve"> procuration perpétuelle</w:t>
            </w:r>
            <w:r w:rsidR="00605A12">
              <w:rPr>
                <w:rFonts w:cs="Arial"/>
                <w:szCs w:val="22"/>
                <w:lang w:val="fr-CA"/>
              </w:rPr>
              <w:t xml:space="preserve"> relative aux biens ou de</w:t>
            </w:r>
            <w:r w:rsidR="00605A12">
              <w:t xml:space="preserve"> </w:t>
            </w:r>
            <w:r w:rsidR="00605A12" w:rsidRPr="00300D4E">
              <w:rPr>
                <w:rFonts w:cs="Arial"/>
                <w:szCs w:val="22"/>
                <w:lang w:val="fr-CA"/>
              </w:rPr>
              <w:t>tute</w:t>
            </w:r>
            <w:r w:rsidR="00605A12">
              <w:rPr>
                <w:rFonts w:cs="Arial"/>
                <w:szCs w:val="22"/>
                <w:lang w:val="fr-CA"/>
              </w:rPr>
              <w:t>lle ex</w:t>
            </w:r>
            <w:r w:rsidR="00605A12" w:rsidRPr="00FF4990">
              <w:rPr>
                <w:rFonts w:cs="Arial"/>
                <w:szCs w:val="22"/>
                <w:lang w:val="fr-CA"/>
              </w:rPr>
              <w:t>ist</w:t>
            </w:r>
            <w:r w:rsidR="00605A12">
              <w:rPr>
                <w:rFonts w:cs="Arial"/>
                <w:szCs w:val="22"/>
                <w:lang w:val="fr-CA"/>
              </w:rPr>
              <w:t>ante</w:t>
            </w:r>
            <w:r w:rsidR="00ED7724" w:rsidRPr="00FF4990">
              <w:rPr>
                <w:rFonts w:cs="Arial"/>
                <w:szCs w:val="22"/>
                <w:lang w:val="fr-CA"/>
              </w:rPr>
              <w:t>.</w:t>
            </w:r>
          </w:p>
          <w:p w14:paraId="7BF50D69" w14:textId="77777777" w:rsidR="00127DAF" w:rsidRPr="00FF4990" w:rsidRDefault="00127DAF" w:rsidP="00130E38">
            <w:pPr>
              <w:rPr>
                <w:rFonts w:cs="Arial"/>
                <w:szCs w:val="22"/>
                <w:lang w:val="fr-CA"/>
              </w:rPr>
            </w:pPr>
          </w:p>
          <w:p w14:paraId="0310743A" w14:textId="403AB84F" w:rsidR="00127DAF" w:rsidRPr="00FF4990" w:rsidRDefault="009F11BF" w:rsidP="00130E38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Le paragraphe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3</w:t>
            </w:r>
            <w:r w:rsidR="003D7FC8">
              <w:rPr>
                <w:rFonts w:cs="Arial"/>
                <w:szCs w:val="22"/>
                <w:lang w:val="fr-CA"/>
              </w:rPr>
              <w:t xml:space="preserve"> 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(2) </w:t>
            </w:r>
            <w:r>
              <w:rPr>
                <w:rFonts w:cs="Arial"/>
                <w:szCs w:val="22"/>
                <w:lang w:val="fr-CA"/>
              </w:rPr>
              <w:t>de la LPDNA prévoit ce qui suit : « </w:t>
            </w:r>
            <w:r w:rsidR="00507573" w:rsidRPr="00507573">
              <w:rPr>
                <w:rFonts w:cs="Arial"/>
                <w:szCs w:val="22"/>
                <w:lang w:val="fr-CA"/>
              </w:rPr>
              <w:t xml:space="preserve">Si une personne est représentée par un avocat conformément à l’alinéa (1) a) et qu’aucun certificat n’est délivré en vertu de la </w:t>
            </w:r>
            <w:r w:rsidR="00507573" w:rsidRPr="00507573">
              <w:rPr>
                <w:rFonts w:cs="Arial"/>
                <w:i/>
                <w:iCs/>
                <w:szCs w:val="22"/>
                <w:lang w:val="fr-CA"/>
              </w:rPr>
              <w:t>Loi de 1998 sur les services d’aide juridique</w:t>
            </w:r>
            <w:r w:rsidR="00507573" w:rsidRPr="00507573">
              <w:rPr>
                <w:rFonts w:cs="Arial"/>
                <w:szCs w:val="22"/>
                <w:lang w:val="fr-CA"/>
              </w:rPr>
              <w:t xml:space="preserve"> relativement à l’instance, les honoraires d’avocat sont à la charge de la personne</w:t>
            </w:r>
            <w:r w:rsidR="00507573">
              <w:rPr>
                <w:rFonts w:cs="Arial"/>
                <w:szCs w:val="22"/>
                <w:lang w:val="fr-CA"/>
              </w:rPr>
              <w:t> ».</w:t>
            </w:r>
            <w:r w:rsidR="00F824B9">
              <w:rPr>
                <w:rFonts w:cs="Arial"/>
                <w:szCs w:val="22"/>
                <w:lang w:val="fr-CA"/>
              </w:rPr>
              <w:t xml:space="preserve"> Il se peut que la per</w:t>
            </w:r>
            <w:r w:rsidR="003D7FC8">
              <w:rPr>
                <w:rFonts w:cs="Arial"/>
                <w:szCs w:val="22"/>
                <w:lang w:val="fr-CA"/>
              </w:rPr>
              <w:t>sonne censément</w:t>
            </w:r>
            <w:r w:rsidR="00F824B9">
              <w:rPr>
                <w:rFonts w:cs="Arial"/>
                <w:szCs w:val="22"/>
                <w:lang w:val="fr-CA"/>
              </w:rPr>
              <w:t xml:space="preserve"> incapable ne soit pas admissible à un certificat d’aide juridique et qu’un avocat nommé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F824B9">
              <w:rPr>
                <w:rFonts w:cs="Arial"/>
                <w:szCs w:val="22"/>
                <w:lang w:val="fr-CA"/>
              </w:rPr>
              <w:t xml:space="preserve">n’accepte pas </w:t>
            </w:r>
            <w:r w:rsidR="00DD3E93">
              <w:rPr>
                <w:rFonts w:cs="Arial"/>
                <w:szCs w:val="22"/>
                <w:lang w:val="fr-CA"/>
              </w:rPr>
              <w:t>le mandat</w:t>
            </w:r>
            <w:r w:rsidR="002A5897">
              <w:rPr>
                <w:rFonts w:cs="Arial"/>
                <w:szCs w:val="22"/>
                <w:lang w:val="fr-CA"/>
              </w:rPr>
              <w:t xml:space="preserve"> rémunéré par Aide juridique Ontario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(</w:t>
            </w:r>
            <w:r w:rsidR="002A5897">
              <w:rPr>
                <w:rFonts w:cs="Arial"/>
                <w:szCs w:val="22"/>
                <w:lang w:val="fr-CA"/>
              </w:rPr>
              <w:t xml:space="preserve">qui prévoit actuellement </w:t>
            </w:r>
            <w:r w:rsidR="00ED7724" w:rsidRPr="00FF4990">
              <w:rPr>
                <w:rFonts w:cs="Arial"/>
                <w:szCs w:val="22"/>
                <w:lang w:val="fr-CA"/>
              </w:rPr>
              <w:t>16 h</w:t>
            </w:r>
            <w:r w:rsidR="002A5897">
              <w:rPr>
                <w:rFonts w:cs="Arial"/>
                <w:szCs w:val="22"/>
                <w:lang w:val="fr-CA"/>
              </w:rPr>
              <w:t>eures de temps de préparation</w:t>
            </w:r>
            <w:r w:rsidR="00585EA3">
              <w:rPr>
                <w:rFonts w:cs="Arial"/>
                <w:szCs w:val="22"/>
                <w:lang w:val="fr-CA"/>
              </w:rPr>
              <w:t>,</w:t>
            </w:r>
            <w:r w:rsidR="002A5897">
              <w:rPr>
                <w:rFonts w:cs="Arial"/>
                <w:szCs w:val="22"/>
                <w:lang w:val="fr-CA"/>
              </w:rPr>
              <w:t xml:space="preserve"> plus </w:t>
            </w:r>
            <w:r w:rsidR="00585EA3">
              <w:rPr>
                <w:rFonts w:cs="Arial"/>
                <w:szCs w:val="22"/>
                <w:lang w:val="fr-CA"/>
              </w:rPr>
              <w:t>le</w:t>
            </w:r>
            <w:r w:rsidR="002A5897">
              <w:rPr>
                <w:rFonts w:cs="Arial"/>
                <w:szCs w:val="22"/>
                <w:lang w:val="fr-CA"/>
              </w:rPr>
              <w:t xml:space="preserve"> temps </w:t>
            </w:r>
            <w:r w:rsidR="00585EA3">
              <w:rPr>
                <w:rFonts w:cs="Arial"/>
                <w:szCs w:val="22"/>
                <w:lang w:val="fr-CA"/>
              </w:rPr>
              <w:t>pass</w:t>
            </w:r>
            <w:r w:rsidR="002A5897">
              <w:rPr>
                <w:rFonts w:cs="Arial"/>
                <w:szCs w:val="22"/>
                <w:lang w:val="fr-CA"/>
              </w:rPr>
              <w:t xml:space="preserve">é à l’audience, sous réserve de la discrétion </w:t>
            </w:r>
            <w:r w:rsidR="002D413F">
              <w:rPr>
                <w:rFonts w:cs="Arial"/>
                <w:szCs w:val="22"/>
                <w:lang w:val="fr-CA"/>
              </w:rPr>
              <w:t>d’Aide juridique Ontario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). </w:t>
            </w:r>
            <w:r w:rsidR="006F0083">
              <w:rPr>
                <w:rFonts w:cs="Arial"/>
                <w:szCs w:val="22"/>
                <w:lang w:val="fr-CA"/>
              </w:rPr>
              <w:t>Si le</w:t>
            </w:r>
            <w:r w:rsidR="003D7FC8">
              <w:rPr>
                <w:rFonts w:cs="Arial"/>
                <w:szCs w:val="22"/>
                <w:lang w:val="fr-CA"/>
              </w:rPr>
              <w:t>s fonds de la personne censément</w:t>
            </w:r>
            <w:r w:rsidR="006F0083">
              <w:rPr>
                <w:rFonts w:cs="Arial"/>
                <w:szCs w:val="22"/>
                <w:lang w:val="fr-CA"/>
              </w:rPr>
              <w:t xml:space="preserve"> incapable sont gérés ou détenus par un procureur ou un fiduciaire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6F0083">
              <w:rPr>
                <w:rFonts w:cs="Arial"/>
                <w:szCs w:val="22"/>
                <w:lang w:val="fr-CA"/>
              </w:rPr>
              <w:t xml:space="preserve">ou gelés par une </w:t>
            </w:r>
            <w:r w:rsidR="00ED7724" w:rsidRPr="00FF4990">
              <w:rPr>
                <w:rFonts w:cs="Arial"/>
                <w:szCs w:val="22"/>
                <w:lang w:val="fr-CA"/>
              </w:rPr>
              <w:t>institution</w:t>
            </w:r>
            <w:r w:rsidR="006F0083">
              <w:rPr>
                <w:rFonts w:cs="Arial"/>
                <w:szCs w:val="22"/>
                <w:lang w:val="fr-CA"/>
              </w:rPr>
              <w:t xml:space="preserve"> financière</w:t>
            </w:r>
            <w:r w:rsidR="00ED7724" w:rsidRPr="00FF4990">
              <w:rPr>
                <w:rFonts w:cs="Arial"/>
                <w:szCs w:val="22"/>
                <w:lang w:val="fr-CA"/>
              </w:rPr>
              <w:t>,</w:t>
            </w:r>
            <w:r w:rsidR="006F0083">
              <w:rPr>
                <w:rFonts w:cs="Arial"/>
                <w:szCs w:val="22"/>
                <w:lang w:val="fr-CA"/>
              </w:rPr>
              <w:t xml:space="preserve"> le tribunal peut ordonner que les ho</w:t>
            </w:r>
            <w:r w:rsidR="006F0083" w:rsidRPr="006F0083">
              <w:rPr>
                <w:rFonts w:cs="Arial"/>
                <w:szCs w:val="22"/>
                <w:lang w:val="fr-CA"/>
              </w:rPr>
              <w:t>noraires de l’avocat nommé en vertu de l’article 3</w:t>
            </w:r>
            <w:r w:rsidR="006F0083">
              <w:rPr>
                <w:rFonts w:cs="Arial"/>
                <w:szCs w:val="22"/>
                <w:lang w:val="fr-CA"/>
              </w:rPr>
              <w:t xml:space="preserve"> </w:t>
            </w:r>
            <w:r w:rsidR="006F0083">
              <w:rPr>
                <w:rFonts w:cs="Arial"/>
                <w:szCs w:val="22"/>
                <w:lang w:val="fr-CA"/>
              </w:rPr>
              <w:lastRenderedPageBreak/>
              <w:t>soient prélevés sur ces fonds, sous réserve d’autres directives du tribunal.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49697E">
              <w:rPr>
                <w:rFonts w:cs="Arial"/>
                <w:szCs w:val="22"/>
                <w:lang w:val="fr-CA"/>
              </w:rPr>
              <w:t xml:space="preserve">La façon dont les comptes ultérieurs de l’avocat nommé doivent être examinés et payés </w:t>
            </w:r>
            <w:r w:rsidR="00ED7724" w:rsidRPr="00FF4990">
              <w:rPr>
                <w:rFonts w:cs="Arial"/>
                <w:szCs w:val="22"/>
                <w:lang w:val="fr-CA"/>
              </w:rPr>
              <w:t>(</w:t>
            </w:r>
            <w:r w:rsidR="0049697E">
              <w:rPr>
                <w:rFonts w:cs="Arial"/>
                <w:szCs w:val="22"/>
                <w:lang w:val="fr-CA"/>
              </w:rPr>
              <w:t>tout en maintenant le secret professionnel</w:t>
            </w:r>
            <w:r w:rsidR="00ED7724" w:rsidRPr="00FF4990">
              <w:rPr>
                <w:rFonts w:cs="Arial"/>
                <w:szCs w:val="22"/>
                <w:lang w:val="fr-CA"/>
              </w:rPr>
              <w:t>)</w:t>
            </w:r>
            <w:r w:rsidR="00D60619">
              <w:rPr>
                <w:rFonts w:cs="Arial"/>
                <w:szCs w:val="22"/>
                <w:lang w:val="fr-CA"/>
              </w:rPr>
              <w:t xml:space="preserve"> pourrait aussi être abordée au début du mandat</w:t>
            </w:r>
            <w:r w:rsidR="00ED7724" w:rsidRPr="00FF4990">
              <w:rPr>
                <w:rFonts w:cs="Arial"/>
                <w:szCs w:val="22"/>
                <w:lang w:val="fr-CA"/>
              </w:rPr>
              <w:t>.</w:t>
            </w:r>
          </w:p>
          <w:p w14:paraId="29478AF2" w14:textId="77777777" w:rsidR="00B6287B" w:rsidRPr="00FF4990" w:rsidRDefault="00B6287B" w:rsidP="00130E38">
            <w:pPr>
              <w:rPr>
                <w:rFonts w:cs="Arial"/>
                <w:szCs w:val="22"/>
                <w:lang w:val="fr-CA"/>
              </w:rPr>
            </w:pPr>
          </w:p>
        </w:tc>
      </w:tr>
      <w:tr w:rsidR="00C25B4E" w:rsidRPr="00FF4990" w14:paraId="173DD309" w14:textId="77777777" w:rsidTr="0063492D">
        <w:tc>
          <w:tcPr>
            <w:tcW w:w="3438" w:type="dxa"/>
          </w:tcPr>
          <w:p w14:paraId="740F724C" w14:textId="27A32758" w:rsidR="00E124EB" w:rsidRPr="00FF4990" w:rsidRDefault="00657593" w:rsidP="00607E63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lastRenderedPageBreak/>
              <w:t>D</w:t>
            </w:r>
            <w:r w:rsidR="00F41196">
              <w:rPr>
                <w:rFonts w:cs="Arial"/>
                <w:szCs w:val="22"/>
                <w:lang w:val="fr-CA"/>
              </w:rPr>
              <w:t>isposition</w:t>
            </w:r>
            <w:r>
              <w:rPr>
                <w:rFonts w:cs="Arial"/>
                <w:szCs w:val="22"/>
                <w:lang w:val="fr-CA"/>
              </w:rPr>
              <w:t xml:space="preserve"> de </w:t>
            </w:r>
            <w:r w:rsidR="008E123B">
              <w:rPr>
                <w:rFonts w:cs="Arial"/>
                <w:szCs w:val="22"/>
                <w:lang w:val="fr-CA"/>
              </w:rPr>
              <w:t xml:space="preserve">remplacement </w:t>
            </w:r>
            <w:r w:rsidR="00F41196">
              <w:rPr>
                <w:rFonts w:cs="Arial"/>
                <w:szCs w:val="22"/>
                <w:lang w:val="fr-CA"/>
              </w:rPr>
              <w:t>concernant les honoraires d’avocat</w:t>
            </w:r>
          </w:p>
        </w:tc>
        <w:tc>
          <w:tcPr>
            <w:tcW w:w="6300" w:type="dxa"/>
          </w:tcPr>
          <w:p w14:paraId="0FA0C520" w14:textId="0D2BF955" w:rsidR="00E124EB" w:rsidRPr="00FF4990" w:rsidRDefault="003B6473" w:rsidP="00130E38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F41196">
              <w:rPr>
                <w:rFonts w:cs="Arial"/>
                <w:szCs w:val="22"/>
                <w:lang w:val="fr-CA"/>
              </w:rPr>
              <w:t xml:space="preserve">les honoraires d’avocat et débours raisonnables </w:t>
            </w:r>
            <w:r w:rsidR="00ED7724" w:rsidRPr="00FF4990">
              <w:rPr>
                <w:rFonts w:cs="Arial"/>
                <w:szCs w:val="22"/>
                <w:lang w:val="fr-CA"/>
              </w:rPr>
              <w:t>[</w:t>
            </w:r>
            <w:r w:rsidR="00F41196">
              <w:rPr>
                <w:rFonts w:cs="Arial"/>
                <w:szCs w:val="22"/>
                <w:lang w:val="fr-CA"/>
              </w:rPr>
              <w:t xml:space="preserve">de la personne] </w:t>
            </w:r>
            <w:r w:rsidR="00B426EB">
              <w:rPr>
                <w:rFonts w:cs="Arial"/>
                <w:szCs w:val="22"/>
                <w:lang w:val="fr-CA"/>
              </w:rPr>
              <w:t xml:space="preserve">qui sont </w:t>
            </w:r>
            <w:r w:rsidR="00F41196">
              <w:rPr>
                <w:rFonts w:cs="Arial"/>
                <w:szCs w:val="22"/>
                <w:lang w:val="fr-CA"/>
              </w:rPr>
              <w:t xml:space="preserve">engagés par l’avocat nommé en vertu de l’article </w:t>
            </w:r>
            <w:r w:rsidR="00857FAE">
              <w:rPr>
                <w:rFonts w:cs="Arial"/>
                <w:szCs w:val="22"/>
                <w:lang w:val="fr-CA"/>
              </w:rPr>
              <w:t xml:space="preserve">3 </w:t>
            </w:r>
            <w:r w:rsidR="00F41196">
              <w:rPr>
                <w:rFonts w:cs="Arial"/>
                <w:szCs w:val="22"/>
                <w:lang w:val="fr-CA"/>
              </w:rPr>
              <w:t>soient</w:t>
            </w:r>
            <w:r w:rsidR="00BD2C9A">
              <w:rPr>
                <w:rFonts w:cs="Arial"/>
                <w:szCs w:val="22"/>
                <w:lang w:val="fr-CA"/>
              </w:rPr>
              <w:t xml:space="preserve"> payés sur</w:t>
            </w:r>
            <w:r w:rsidR="00F41196">
              <w:rPr>
                <w:rFonts w:cs="Arial"/>
                <w:szCs w:val="22"/>
                <w:lang w:val="fr-CA"/>
              </w:rPr>
              <w:t xml:space="preserve"> ses biens, sauf si un certificat d’aide juridique est délivré relativement </w:t>
            </w:r>
            <w:r w:rsidR="00ED7724" w:rsidRPr="00FF4990">
              <w:rPr>
                <w:rFonts w:cs="Arial"/>
                <w:szCs w:val="22"/>
                <w:lang w:val="fr-CA"/>
              </w:rPr>
              <w:t>[</w:t>
            </w:r>
            <w:r w:rsidR="00F41196">
              <w:rPr>
                <w:rFonts w:cs="Arial"/>
                <w:szCs w:val="22"/>
                <w:lang w:val="fr-CA"/>
              </w:rPr>
              <w:t>à la requête</w:t>
            </w:r>
            <w:r w:rsidR="00ED7724" w:rsidRPr="00FF4990">
              <w:rPr>
                <w:rFonts w:cs="Arial"/>
                <w:szCs w:val="22"/>
                <w:lang w:val="fr-CA"/>
              </w:rPr>
              <w:t>/</w:t>
            </w:r>
            <w:r w:rsidR="00F41196">
              <w:rPr>
                <w:rFonts w:cs="Arial"/>
                <w:szCs w:val="22"/>
                <w:lang w:val="fr-CA"/>
              </w:rPr>
              <w:t>à l’instance</w:t>
            </w:r>
            <w:r w:rsidR="008F418C" w:rsidRPr="00FF4990">
              <w:rPr>
                <w:rFonts w:cs="Arial"/>
                <w:szCs w:val="22"/>
                <w:lang w:val="fr-CA"/>
              </w:rPr>
              <w:t>/</w:t>
            </w:r>
            <w:r w:rsidR="00F41196">
              <w:rPr>
                <w:rFonts w:cs="Arial"/>
                <w:szCs w:val="22"/>
                <w:lang w:val="fr-CA"/>
              </w:rPr>
              <w:t>au dossier du tribunal</w:t>
            </w:r>
            <w:r w:rsidR="00C623EA">
              <w:rPr>
                <w:rFonts w:cs="Arial"/>
                <w:szCs w:val="22"/>
                <w:lang w:val="fr-CA"/>
              </w:rPr>
              <w:t xml:space="preserve"> no</w:t>
            </w:r>
            <w:r w:rsidR="008F418C" w:rsidRPr="00FF4990">
              <w:rPr>
                <w:rFonts w:cs="Arial"/>
                <w:szCs w:val="22"/>
                <w:lang w:val="fr-CA"/>
              </w:rPr>
              <w:t>].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</w:p>
        </w:tc>
        <w:tc>
          <w:tcPr>
            <w:tcW w:w="4050" w:type="dxa"/>
          </w:tcPr>
          <w:p w14:paraId="25B70550" w14:textId="47862FAF" w:rsidR="00D428EF" w:rsidRPr="00FF4990" w:rsidRDefault="003C3348" w:rsidP="00D428EF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Compétence : par. </w:t>
            </w:r>
            <w:r w:rsidRPr="00FF4990">
              <w:rPr>
                <w:rFonts w:cs="Arial"/>
                <w:szCs w:val="22"/>
                <w:lang w:val="fr-CA"/>
              </w:rPr>
              <w:t>3</w:t>
            </w:r>
            <w:r w:rsidR="00BD2C9A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(2)</w:t>
            </w:r>
            <w:r w:rsidRPr="00FF4990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 xml:space="preserve">de la </w:t>
            </w:r>
            <w:r w:rsidRPr="003C3348">
              <w:rPr>
                <w:rFonts w:cs="Arial"/>
                <w:i/>
                <w:szCs w:val="22"/>
                <w:lang w:val="fr-CA"/>
              </w:rPr>
              <w:t>Loi de 1992 sur la prise de décisions au nom d’autrui</w:t>
            </w:r>
            <w:r w:rsidR="00ED7724" w:rsidRPr="00FF4990">
              <w:rPr>
                <w:rFonts w:cs="Arial"/>
                <w:i/>
                <w:szCs w:val="22"/>
                <w:lang w:val="fr-CA"/>
              </w:rPr>
              <w:t>.</w:t>
            </w:r>
          </w:p>
          <w:p w14:paraId="795399BD" w14:textId="77777777" w:rsidR="00E124EB" w:rsidRPr="00FF4990" w:rsidRDefault="00E124EB" w:rsidP="00AB208C">
            <w:pPr>
              <w:rPr>
                <w:rFonts w:cs="Arial"/>
                <w:szCs w:val="22"/>
                <w:lang w:val="fr-CA"/>
              </w:rPr>
            </w:pPr>
          </w:p>
        </w:tc>
      </w:tr>
      <w:tr w:rsidR="00C25B4E" w:rsidRPr="00FF4990" w14:paraId="6EF6949C" w14:textId="77777777" w:rsidTr="0063492D">
        <w:tc>
          <w:tcPr>
            <w:tcW w:w="3438" w:type="dxa"/>
          </w:tcPr>
          <w:p w14:paraId="39D5BEFC" w14:textId="140442F9" w:rsidR="00D32685" w:rsidRPr="00FF4990" w:rsidRDefault="00692A7D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Autre disposition de remplacement concernant les honoraires d’avocat</w:t>
            </w:r>
            <w:r w:rsidRPr="00FF4990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lorsque les fonds sont contestés</w:t>
            </w:r>
          </w:p>
        </w:tc>
        <w:tc>
          <w:tcPr>
            <w:tcW w:w="6300" w:type="dxa"/>
          </w:tcPr>
          <w:p w14:paraId="580CA4A9" w14:textId="0B466770" w:rsidR="00D32685" w:rsidRPr="00FF4990" w:rsidRDefault="003B6473" w:rsidP="00D32685">
            <w:pPr>
              <w:rPr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9E66F6">
              <w:rPr>
                <w:rFonts w:cs="Arial"/>
                <w:szCs w:val="22"/>
                <w:lang w:val="fr-CA"/>
              </w:rPr>
              <w:t xml:space="preserve">l’avocat nommé en vertu de l’article 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3 </w:t>
            </w:r>
            <w:r w:rsidR="009E66F6">
              <w:rPr>
                <w:rFonts w:cs="Arial"/>
                <w:szCs w:val="22"/>
                <w:lang w:val="fr-CA"/>
              </w:rPr>
              <w:t xml:space="preserve">reçoive la somme de </w:t>
            </w:r>
            <w:r w:rsidR="00ED7724" w:rsidRPr="00FF4990">
              <w:rPr>
                <w:szCs w:val="22"/>
                <w:lang w:val="fr-CA"/>
              </w:rPr>
              <w:t xml:space="preserve">[$] </w:t>
            </w:r>
            <w:r w:rsidR="00A83802">
              <w:rPr>
                <w:szCs w:val="22"/>
                <w:lang w:val="fr-CA"/>
              </w:rPr>
              <w:t>du</w:t>
            </w:r>
            <w:r w:rsidR="00ED7724" w:rsidRPr="00FF4990">
              <w:rPr>
                <w:szCs w:val="22"/>
                <w:lang w:val="fr-CA"/>
              </w:rPr>
              <w:t xml:space="preserve"> [</w:t>
            </w:r>
            <w:r w:rsidR="00C0703C">
              <w:rPr>
                <w:szCs w:val="22"/>
                <w:lang w:val="fr-CA"/>
              </w:rPr>
              <w:t>compte particulier au nom du/des titulaire(s) de compte</w:t>
            </w:r>
            <w:r w:rsidR="00ED7724" w:rsidRPr="00FF4990">
              <w:rPr>
                <w:szCs w:val="22"/>
                <w:lang w:val="fr-CA"/>
              </w:rPr>
              <w:t>]</w:t>
            </w:r>
            <w:r w:rsidR="00FE1D48">
              <w:rPr>
                <w:szCs w:val="22"/>
                <w:lang w:val="fr-CA"/>
              </w:rPr>
              <w:t>, laquelle somme doit être déposée en fiducie</w:t>
            </w:r>
            <w:r w:rsidR="00FA7440">
              <w:rPr>
                <w:szCs w:val="22"/>
                <w:lang w:val="fr-CA"/>
              </w:rPr>
              <w:t xml:space="preserve"> au crédit de</w:t>
            </w:r>
            <w:r w:rsidR="00ED7724" w:rsidRPr="00FF4990">
              <w:rPr>
                <w:szCs w:val="22"/>
                <w:lang w:val="fr-CA"/>
              </w:rPr>
              <w:t xml:space="preserve"> [n</w:t>
            </w:r>
            <w:r w:rsidR="00FA7440">
              <w:rPr>
                <w:szCs w:val="22"/>
                <w:lang w:val="fr-CA"/>
              </w:rPr>
              <w:t>om de l’avocat</w:t>
            </w:r>
            <w:r w:rsidR="00ED7724" w:rsidRPr="00FF4990">
              <w:rPr>
                <w:szCs w:val="22"/>
                <w:lang w:val="fr-CA"/>
              </w:rPr>
              <w:t>/</w:t>
            </w:r>
            <w:r w:rsidR="005740CE">
              <w:rPr>
                <w:szCs w:val="22"/>
                <w:lang w:val="fr-CA"/>
              </w:rPr>
              <w:t xml:space="preserve">du </w:t>
            </w:r>
            <w:r w:rsidR="00FA7440">
              <w:rPr>
                <w:szCs w:val="22"/>
                <w:lang w:val="fr-CA"/>
              </w:rPr>
              <w:t xml:space="preserve">cabinet </w:t>
            </w:r>
            <w:r w:rsidR="00C0703C">
              <w:rPr>
                <w:szCs w:val="22"/>
                <w:lang w:val="fr-CA"/>
              </w:rPr>
              <w:t>aux fins du</w:t>
            </w:r>
            <w:r w:rsidR="00FA7440">
              <w:rPr>
                <w:szCs w:val="22"/>
                <w:lang w:val="fr-CA"/>
              </w:rPr>
              <w:t xml:space="preserve"> paiement en fiducie</w:t>
            </w:r>
            <w:r w:rsidR="00ED7724" w:rsidRPr="00FF4990">
              <w:rPr>
                <w:szCs w:val="22"/>
                <w:lang w:val="fr-CA"/>
              </w:rPr>
              <w:t>]</w:t>
            </w:r>
            <w:r w:rsidR="00FA7440">
              <w:rPr>
                <w:szCs w:val="22"/>
                <w:lang w:val="fr-CA"/>
              </w:rPr>
              <w:t xml:space="preserve"> et être détenue au titre des honoraires juridiques et des débours engagés pour représenter </w:t>
            </w:r>
            <w:r w:rsidR="00ED7724" w:rsidRPr="00FF4990">
              <w:rPr>
                <w:szCs w:val="22"/>
                <w:lang w:val="fr-CA"/>
              </w:rPr>
              <w:t>[</w:t>
            </w:r>
            <w:r w:rsidR="00FA7440">
              <w:rPr>
                <w:szCs w:val="22"/>
                <w:lang w:val="fr-CA"/>
              </w:rPr>
              <w:t>la</w:t>
            </w:r>
            <w:r w:rsidR="00ED7724" w:rsidRPr="00FF4990">
              <w:rPr>
                <w:szCs w:val="22"/>
                <w:lang w:val="fr-CA"/>
              </w:rPr>
              <w:t xml:space="preserve"> person</w:t>
            </w:r>
            <w:r w:rsidR="00FA7440">
              <w:rPr>
                <w:szCs w:val="22"/>
                <w:lang w:val="fr-CA"/>
              </w:rPr>
              <w:t>ne</w:t>
            </w:r>
            <w:r w:rsidR="00ED7724" w:rsidRPr="00FF4990">
              <w:rPr>
                <w:szCs w:val="22"/>
                <w:lang w:val="fr-CA"/>
              </w:rPr>
              <w:t xml:space="preserve">], </w:t>
            </w:r>
            <w:r w:rsidR="005D2723">
              <w:rPr>
                <w:szCs w:val="22"/>
                <w:lang w:val="fr-CA"/>
              </w:rPr>
              <w:t xml:space="preserve">qui sont </w:t>
            </w:r>
            <w:r w:rsidR="00ED7724" w:rsidRPr="00FF4990">
              <w:rPr>
                <w:szCs w:val="22"/>
                <w:lang w:val="fr-CA"/>
              </w:rPr>
              <w:t>payable</w:t>
            </w:r>
            <w:r w:rsidR="005D2723">
              <w:rPr>
                <w:szCs w:val="22"/>
                <w:lang w:val="fr-CA"/>
              </w:rPr>
              <w:t>s</w:t>
            </w:r>
            <w:r w:rsidR="00ED7724" w:rsidRPr="00FF4990">
              <w:rPr>
                <w:szCs w:val="22"/>
                <w:lang w:val="fr-CA"/>
              </w:rPr>
              <w:t xml:space="preserve"> </w:t>
            </w:r>
            <w:r w:rsidR="006C44A9">
              <w:rPr>
                <w:szCs w:val="22"/>
                <w:lang w:val="fr-CA"/>
              </w:rPr>
              <w:t>de temps à autre</w:t>
            </w:r>
            <w:r w:rsidR="00ED7724" w:rsidRPr="00FF4990">
              <w:rPr>
                <w:szCs w:val="22"/>
                <w:lang w:val="fr-CA"/>
              </w:rPr>
              <w:t>.</w:t>
            </w:r>
          </w:p>
          <w:p w14:paraId="7815BC6F" w14:textId="7CB4AFEE" w:rsidR="00D32685" w:rsidRPr="00FF4990" w:rsidRDefault="003B6473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B54121">
              <w:rPr>
                <w:rFonts w:cs="Arial"/>
                <w:szCs w:val="22"/>
                <w:lang w:val="fr-CA"/>
              </w:rPr>
              <w:t xml:space="preserve">le </w:t>
            </w:r>
            <w:r w:rsidR="00ED7724" w:rsidRPr="00FF4990">
              <w:rPr>
                <w:rFonts w:cs="Arial"/>
                <w:szCs w:val="22"/>
                <w:lang w:val="fr-CA"/>
              </w:rPr>
              <w:t>paragraph</w:t>
            </w:r>
            <w:r w:rsidR="00B54121">
              <w:rPr>
                <w:rFonts w:cs="Arial"/>
                <w:szCs w:val="22"/>
                <w:lang w:val="fr-CA"/>
              </w:rPr>
              <w:t xml:space="preserve">e précédent </w:t>
            </w:r>
            <w:r w:rsidR="000B34B3">
              <w:rPr>
                <w:rFonts w:cs="Arial"/>
                <w:szCs w:val="22"/>
                <w:lang w:val="fr-CA"/>
              </w:rPr>
              <w:t xml:space="preserve">ne porte pas </w:t>
            </w:r>
            <w:r w:rsidR="00C81104">
              <w:rPr>
                <w:rFonts w:cs="Arial"/>
                <w:szCs w:val="22"/>
                <w:lang w:val="fr-CA"/>
              </w:rPr>
              <w:t>préjudice</w:t>
            </w:r>
            <w:r w:rsidR="000B34B3">
              <w:rPr>
                <w:rFonts w:cs="Arial"/>
                <w:szCs w:val="22"/>
                <w:lang w:val="fr-CA"/>
              </w:rPr>
              <w:t xml:space="preserve"> à une partie qui soutient que les fonds payés à l’avocat nommé en vertu de l’article </w:t>
            </w:r>
            <w:r w:rsidR="00ED7724" w:rsidRPr="00FF4990">
              <w:rPr>
                <w:rFonts w:cs="Arial"/>
                <w:szCs w:val="22"/>
                <w:lang w:val="fr-CA"/>
              </w:rPr>
              <w:t>3</w:t>
            </w:r>
            <w:r w:rsidR="000B34B3">
              <w:rPr>
                <w:rFonts w:cs="Arial"/>
                <w:szCs w:val="22"/>
                <w:lang w:val="fr-CA"/>
              </w:rPr>
              <w:t xml:space="preserve"> appartiennent à une autre partie et qui demande le remboursement de ces fonds </w:t>
            </w:r>
            <w:r w:rsidR="00393077">
              <w:rPr>
                <w:rFonts w:cs="Arial"/>
                <w:szCs w:val="22"/>
                <w:lang w:val="fr-CA"/>
              </w:rPr>
              <w:t>à</w:t>
            </w:r>
            <w:r w:rsidR="000B34B3">
              <w:rPr>
                <w:rFonts w:cs="Arial"/>
                <w:szCs w:val="22"/>
                <w:lang w:val="fr-CA"/>
              </w:rPr>
              <w:t xml:space="preserve"> toute partie après le règlement définitif de la question de la propriété des fonds</w:t>
            </w:r>
            <w:r w:rsidR="00ED7724" w:rsidRPr="00FF4990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74EAF4BE" w14:textId="5520A5BC" w:rsidR="00D32685" w:rsidRPr="00FF4990" w:rsidRDefault="00F04BF3" w:rsidP="00D32685">
            <w:pPr>
              <w:rPr>
                <w:rFonts w:cs="Arial"/>
                <w:iCs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 xml:space="preserve">Compétence : art. 3 de la </w:t>
            </w:r>
            <w:r>
              <w:rPr>
                <w:rFonts w:cs="Arial"/>
                <w:i/>
                <w:szCs w:val="22"/>
                <w:lang w:val="fr-CA"/>
              </w:rPr>
              <w:t>LPDNA</w:t>
            </w:r>
            <w:r w:rsidRPr="00FF4990">
              <w:rPr>
                <w:rFonts w:cs="Arial"/>
                <w:szCs w:val="22"/>
                <w:lang w:val="fr-CA"/>
              </w:rPr>
              <w:t xml:space="preserve">; </w:t>
            </w:r>
            <w:r>
              <w:rPr>
                <w:rFonts w:cs="Arial"/>
                <w:szCs w:val="22"/>
                <w:lang w:val="fr-CA"/>
              </w:rPr>
              <w:t>art. </w:t>
            </w:r>
            <w:r w:rsidRPr="00FF4990">
              <w:rPr>
                <w:rFonts w:cs="Arial"/>
                <w:szCs w:val="22"/>
                <w:lang w:val="fr-CA"/>
              </w:rPr>
              <w:t xml:space="preserve">39 </w:t>
            </w:r>
            <w:r>
              <w:rPr>
                <w:rFonts w:cs="Arial"/>
                <w:szCs w:val="22"/>
                <w:lang w:val="fr-CA"/>
              </w:rPr>
              <w:t xml:space="preserve">de la </w:t>
            </w:r>
            <w:r w:rsidRPr="004C255C">
              <w:rPr>
                <w:rFonts w:cs="Arial"/>
                <w:i/>
                <w:iCs/>
                <w:szCs w:val="22"/>
                <w:lang w:val="fr-CA"/>
              </w:rPr>
              <w:t>LPDNA</w:t>
            </w:r>
            <w:r>
              <w:rPr>
                <w:rFonts w:cs="Arial"/>
                <w:szCs w:val="22"/>
                <w:lang w:val="fr-CA"/>
              </w:rPr>
              <w:t xml:space="preserve"> </w:t>
            </w:r>
            <w:r w:rsidRPr="00FF4990">
              <w:rPr>
                <w:rFonts w:cs="Arial"/>
                <w:szCs w:val="22"/>
                <w:lang w:val="fr-CA"/>
              </w:rPr>
              <w:t>(</w:t>
            </w:r>
            <w:r>
              <w:rPr>
                <w:rFonts w:cs="Arial"/>
                <w:szCs w:val="22"/>
                <w:lang w:val="fr-CA"/>
              </w:rPr>
              <w:t>s’il y a une</w:t>
            </w:r>
            <w:r>
              <w:t xml:space="preserve"> </w:t>
            </w:r>
            <w:r w:rsidRPr="00300D4E">
              <w:rPr>
                <w:rFonts w:cs="Arial"/>
                <w:szCs w:val="22"/>
                <w:lang w:val="fr-CA"/>
              </w:rPr>
              <w:t>procuration perpétuelle</w:t>
            </w:r>
            <w:r>
              <w:rPr>
                <w:rFonts w:cs="Arial"/>
                <w:szCs w:val="22"/>
                <w:lang w:val="fr-CA"/>
              </w:rPr>
              <w:t xml:space="preserve"> relative aux biens ou une</w:t>
            </w:r>
            <w:r>
              <w:t xml:space="preserve"> </w:t>
            </w:r>
            <w:r w:rsidRPr="00300D4E">
              <w:rPr>
                <w:rFonts w:cs="Arial"/>
                <w:szCs w:val="22"/>
                <w:lang w:val="fr-CA"/>
              </w:rPr>
              <w:t>tute</w:t>
            </w:r>
            <w:r>
              <w:rPr>
                <w:rFonts w:cs="Arial"/>
                <w:szCs w:val="22"/>
                <w:lang w:val="fr-CA"/>
              </w:rPr>
              <w:t>lle ex</w:t>
            </w:r>
            <w:r w:rsidRPr="00FF4990">
              <w:rPr>
                <w:rFonts w:cs="Arial"/>
                <w:szCs w:val="22"/>
                <w:lang w:val="fr-CA"/>
              </w:rPr>
              <w:t>ist</w:t>
            </w:r>
            <w:r>
              <w:rPr>
                <w:rFonts w:cs="Arial"/>
                <w:szCs w:val="22"/>
                <w:lang w:val="fr-CA"/>
              </w:rPr>
              <w:t>ante</w:t>
            </w:r>
            <w:r w:rsidRPr="00FF4990">
              <w:rPr>
                <w:rFonts w:cs="Arial"/>
                <w:szCs w:val="22"/>
                <w:lang w:val="fr-CA"/>
              </w:rPr>
              <w:t>)</w:t>
            </w:r>
            <w:r w:rsidRPr="00FF4990">
              <w:rPr>
                <w:rFonts w:cs="Arial"/>
                <w:iCs/>
                <w:szCs w:val="22"/>
                <w:lang w:val="fr-CA"/>
              </w:rPr>
              <w:t xml:space="preserve">; </w:t>
            </w:r>
            <w:r>
              <w:rPr>
                <w:rFonts w:cs="Arial"/>
                <w:iCs/>
                <w:szCs w:val="22"/>
                <w:lang w:val="fr-CA"/>
              </w:rPr>
              <w:t xml:space="preserve">et </w:t>
            </w:r>
            <w:r w:rsidRPr="00FF4990">
              <w:rPr>
                <w:rFonts w:cs="Arial"/>
                <w:i/>
                <w:szCs w:val="22"/>
                <w:lang w:val="fr-CA"/>
              </w:rPr>
              <w:t xml:space="preserve">Ontario </w:t>
            </w:r>
            <w:r>
              <w:rPr>
                <w:rFonts w:cs="Arial"/>
                <w:i/>
                <w:szCs w:val="22"/>
                <w:lang w:val="fr-CA"/>
              </w:rPr>
              <w:t>c</w:t>
            </w:r>
            <w:r w:rsidRPr="00FF4990">
              <w:rPr>
                <w:rFonts w:cs="Arial"/>
                <w:i/>
                <w:szCs w:val="22"/>
                <w:lang w:val="fr-CA"/>
              </w:rPr>
              <w:t>. Criminal Lawyers’ Association of Ontario</w:t>
            </w:r>
            <w:r w:rsidRPr="00FF4990">
              <w:rPr>
                <w:rFonts w:cs="Arial"/>
                <w:iCs/>
                <w:szCs w:val="22"/>
                <w:lang w:val="fr-CA"/>
              </w:rPr>
              <w:t>, 2013 C</w:t>
            </w:r>
            <w:r>
              <w:rPr>
                <w:rFonts w:cs="Arial"/>
                <w:iCs/>
                <w:szCs w:val="22"/>
                <w:lang w:val="fr-CA"/>
              </w:rPr>
              <w:t>S</w:t>
            </w:r>
            <w:r w:rsidRPr="00FF4990">
              <w:rPr>
                <w:rFonts w:cs="Arial"/>
                <w:iCs/>
                <w:szCs w:val="22"/>
                <w:lang w:val="fr-CA"/>
              </w:rPr>
              <w:t>C 43 (CanLII), [2013] 3 R</w:t>
            </w:r>
            <w:r>
              <w:rPr>
                <w:rFonts w:cs="Arial"/>
                <w:iCs/>
                <w:szCs w:val="22"/>
                <w:lang w:val="fr-CA"/>
              </w:rPr>
              <w:t>CS</w:t>
            </w:r>
            <w:r w:rsidRPr="00FF4990">
              <w:rPr>
                <w:rFonts w:cs="Arial"/>
                <w:iCs/>
                <w:szCs w:val="22"/>
                <w:lang w:val="fr-CA"/>
              </w:rPr>
              <w:t xml:space="preserve"> 3</w:t>
            </w:r>
            <w:r>
              <w:rPr>
                <w:rFonts w:cs="Arial"/>
                <w:iCs/>
                <w:szCs w:val="22"/>
                <w:lang w:val="fr-CA"/>
              </w:rPr>
              <w:t xml:space="preserve">, aux </w:t>
            </w:r>
            <w:r w:rsidRPr="00FF4990">
              <w:rPr>
                <w:rFonts w:cs="Arial"/>
                <w:iCs/>
                <w:szCs w:val="22"/>
                <w:lang w:val="fr-CA"/>
              </w:rPr>
              <w:t>paragraph</w:t>
            </w:r>
            <w:r>
              <w:rPr>
                <w:rFonts w:cs="Arial"/>
                <w:iCs/>
                <w:szCs w:val="22"/>
                <w:lang w:val="fr-CA"/>
              </w:rPr>
              <w:t>e</w:t>
            </w:r>
            <w:r w:rsidRPr="00FF4990">
              <w:rPr>
                <w:rFonts w:cs="Arial"/>
                <w:iCs/>
                <w:szCs w:val="22"/>
                <w:lang w:val="fr-CA"/>
              </w:rPr>
              <w:t xml:space="preserve">s 17 </w:t>
            </w:r>
            <w:r>
              <w:rPr>
                <w:rFonts w:cs="Arial"/>
                <w:iCs/>
                <w:szCs w:val="22"/>
                <w:lang w:val="fr-CA"/>
              </w:rPr>
              <w:t>à</w:t>
            </w:r>
            <w:r w:rsidRPr="00FF4990">
              <w:rPr>
                <w:rFonts w:cs="Arial"/>
                <w:iCs/>
                <w:szCs w:val="22"/>
                <w:lang w:val="fr-CA"/>
              </w:rPr>
              <w:t xml:space="preserve"> 26</w:t>
            </w:r>
            <w:r>
              <w:rPr>
                <w:rFonts w:cs="Arial"/>
                <w:iCs/>
                <w:szCs w:val="22"/>
                <w:lang w:val="fr-CA"/>
              </w:rPr>
              <w:t xml:space="preserve"> (s’il n’y a pas de</w:t>
            </w:r>
            <w:r w:rsidRPr="00300D4E">
              <w:rPr>
                <w:rFonts w:cs="Arial"/>
                <w:szCs w:val="22"/>
                <w:lang w:val="fr-CA"/>
              </w:rPr>
              <w:t xml:space="preserve"> procuration perpétuelle</w:t>
            </w:r>
            <w:r>
              <w:rPr>
                <w:rFonts w:cs="Arial"/>
                <w:szCs w:val="22"/>
                <w:lang w:val="fr-CA"/>
              </w:rPr>
              <w:t xml:space="preserve"> relative aux biens ou de</w:t>
            </w:r>
            <w:r>
              <w:t xml:space="preserve"> </w:t>
            </w:r>
            <w:r w:rsidRPr="00300D4E">
              <w:rPr>
                <w:rFonts w:cs="Arial"/>
                <w:szCs w:val="22"/>
                <w:lang w:val="fr-CA"/>
              </w:rPr>
              <w:t>tute</w:t>
            </w:r>
            <w:r>
              <w:rPr>
                <w:rFonts w:cs="Arial"/>
                <w:szCs w:val="22"/>
                <w:lang w:val="fr-CA"/>
              </w:rPr>
              <w:t>lle ex</w:t>
            </w:r>
            <w:r w:rsidRPr="00FF4990">
              <w:rPr>
                <w:rFonts w:cs="Arial"/>
                <w:szCs w:val="22"/>
                <w:lang w:val="fr-CA"/>
              </w:rPr>
              <w:t>ist</w:t>
            </w:r>
            <w:r>
              <w:rPr>
                <w:rFonts w:cs="Arial"/>
                <w:szCs w:val="22"/>
                <w:lang w:val="fr-CA"/>
              </w:rPr>
              <w:t>ante)</w:t>
            </w:r>
            <w:r w:rsidRPr="00FF4990">
              <w:rPr>
                <w:rFonts w:cs="Arial"/>
                <w:szCs w:val="22"/>
                <w:lang w:val="fr-CA"/>
              </w:rPr>
              <w:t>.</w:t>
            </w:r>
          </w:p>
          <w:p w14:paraId="74BC1821" w14:textId="77777777" w:rsidR="00D32685" w:rsidRPr="00FF4990" w:rsidRDefault="00D32685" w:rsidP="00D32685">
            <w:pPr>
              <w:rPr>
                <w:rFonts w:cs="Arial"/>
                <w:szCs w:val="22"/>
                <w:lang w:val="fr-CA"/>
              </w:rPr>
            </w:pPr>
          </w:p>
        </w:tc>
      </w:tr>
      <w:tr w:rsidR="00C25B4E" w:rsidRPr="00FF4990" w14:paraId="71E922A0" w14:textId="77777777" w:rsidTr="0063492D">
        <w:tc>
          <w:tcPr>
            <w:tcW w:w="3438" w:type="dxa"/>
          </w:tcPr>
          <w:p w14:paraId="04B010CC" w14:textId="0EB3CE20" w:rsidR="00D32685" w:rsidRPr="00FF4990" w:rsidRDefault="00ED7724" w:rsidP="00D32685">
            <w:pPr>
              <w:rPr>
                <w:rFonts w:cs="Arial"/>
                <w:szCs w:val="22"/>
                <w:lang w:val="fr-CA"/>
              </w:rPr>
            </w:pPr>
            <w:r w:rsidRPr="00FF4990">
              <w:rPr>
                <w:rFonts w:cs="Arial"/>
                <w:szCs w:val="22"/>
                <w:lang w:val="fr-CA"/>
              </w:rPr>
              <w:t>Directi</w:t>
            </w:r>
            <w:r w:rsidR="00C3447B">
              <w:rPr>
                <w:rFonts w:cs="Arial"/>
                <w:szCs w:val="22"/>
                <w:lang w:val="fr-CA"/>
              </w:rPr>
              <w:t xml:space="preserve">ves sur l’approbation des honoraires juridiques de l’avocat </w:t>
            </w:r>
            <w:r w:rsidR="00C3447B">
              <w:rPr>
                <w:rFonts w:cs="Arial"/>
                <w:szCs w:val="22"/>
                <w:lang w:val="fr-CA"/>
              </w:rPr>
              <w:lastRenderedPageBreak/>
              <w:t xml:space="preserve">nommé en vertu de l’article </w:t>
            </w:r>
            <w:r w:rsidR="00C3447B" w:rsidRPr="00FF4990">
              <w:rPr>
                <w:rFonts w:cs="Arial"/>
                <w:szCs w:val="22"/>
                <w:lang w:val="fr-CA"/>
              </w:rPr>
              <w:t>3</w:t>
            </w:r>
            <w:r w:rsidRPr="00FF4990">
              <w:rPr>
                <w:rFonts w:cs="Arial"/>
                <w:szCs w:val="22"/>
                <w:lang w:val="fr-CA"/>
              </w:rPr>
              <w:t xml:space="preserve"> </w:t>
            </w:r>
          </w:p>
        </w:tc>
        <w:tc>
          <w:tcPr>
            <w:tcW w:w="6300" w:type="dxa"/>
          </w:tcPr>
          <w:p w14:paraId="718119C7" w14:textId="37B75612" w:rsidR="00D32685" w:rsidRPr="00FF4990" w:rsidRDefault="003B6473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lastRenderedPageBreak/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[</w:t>
            </w:r>
            <w:r w:rsidR="00635F64">
              <w:rPr>
                <w:rFonts w:cs="Arial"/>
                <w:szCs w:val="22"/>
                <w:lang w:val="fr-CA"/>
              </w:rPr>
              <w:t>LE TITULAIRE DE COMPTE</w:t>
            </w:r>
            <w:r w:rsidR="00ED7724" w:rsidRPr="00FF4990">
              <w:rPr>
                <w:rFonts w:cs="Arial"/>
                <w:szCs w:val="22"/>
                <w:lang w:val="fr-CA"/>
              </w:rPr>
              <w:t>/</w:t>
            </w:r>
            <w:r w:rsidR="00635F64">
              <w:rPr>
                <w:rFonts w:cs="Arial"/>
                <w:szCs w:val="22"/>
                <w:lang w:val="fr-CA"/>
              </w:rPr>
              <w:t>LE PROCUREUR</w:t>
            </w:r>
            <w:r w:rsidR="00ED7724" w:rsidRPr="00FF4990">
              <w:rPr>
                <w:rFonts w:cs="Arial"/>
                <w:szCs w:val="22"/>
                <w:lang w:val="fr-CA"/>
              </w:rPr>
              <w:t>/ETC</w:t>
            </w:r>
            <w:r w:rsidR="00635F64">
              <w:rPr>
                <w:rFonts w:cs="Arial"/>
                <w:szCs w:val="22"/>
                <w:lang w:val="fr-CA"/>
              </w:rPr>
              <w:t>.</w:t>
            </w:r>
            <w:r w:rsidR="00ED7724" w:rsidRPr="00FF4990">
              <w:rPr>
                <w:rFonts w:cs="Arial"/>
                <w:szCs w:val="22"/>
                <w:lang w:val="fr-CA"/>
              </w:rPr>
              <w:t>]</w:t>
            </w:r>
            <w:r w:rsidR="00635F64">
              <w:rPr>
                <w:rFonts w:cs="Arial"/>
                <w:szCs w:val="22"/>
                <w:lang w:val="fr-CA"/>
              </w:rPr>
              <w:t xml:space="preserve"> paie les honoraires et débours relatifs aux services juridiques rapidement </w:t>
            </w:r>
            <w:r w:rsidR="00BA37D6">
              <w:rPr>
                <w:rFonts w:cs="Arial"/>
                <w:szCs w:val="22"/>
                <w:lang w:val="fr-CA"/>
              </w:rPr>
              <w:t xml:space="preserve">sur </w:t>
            </w:r>
            <w:r w:rsidR="00BA37D6">
              <w:rPr>
                <w:rFonts w:cs="Arial"/>
                <w:szCs w:val="22"/>
                <w:lang w:val="fr-CA"/>
              </w:rPr>
              <w:lastRenderedPageBreak/>
              <w:t>réception d’un compte, sans autre directive du tribunal. Le juge chargé d’instruire la présente requête peut examiner et approuver les comptes à la demande de l’avocat nommé en vertu de l’article 3 ou</w:t>
            </w:r>
            <w:r w:rsidR="00ED7724" w:rsidRPr="00FF4990">
              <w:rPr>
                <w:rFonts w:cs="Arial"/>
                <w:szCs w:val="22"/>
                <w:lang w:val="fr-CA"/>
              </w:rPr>
              <w:t>,</w:t>
            </w:r>
            <w:r w:rsidR="00BA37D6">
              <w:rPr>
                <w:rFonts w:cs="Arial"/>
                <w:szCs w:val="22"/>
                <w:lang w:val="fr-CA"/>
              </w:rPr>
              <w:t xml:space="preserve"> après la</w:t>
            </w:r>
            <w:r w:rsidR="007C5D3B">
              <w:rPr>
                <w:rFonts w:cs="Arial"/>
                <w:szCs w:val="22"/>
                <w:lang w:val="fr-CA"/>
              </w:rPr>
              <w:t xml:space="preserve"> décision rendue sur la requête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, </w:t>
            </w:r>
            <w:r w:rsidR="00D82F8E">
              <w:rPr>
                <w:rFonts w:cs="Arial"/>
                <w:szCs w:val="22"/>
                <w:lang w:val="fr-CA"/>
              </w:rPr>
              <w:t>à la demande de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[</w:t>
            </w:r>
            <w:r w:rsidR="00D82F8E">
              <w:rPr>
                <w:rFonts w:cs="Arial"/>
                <w:szCs w:val="22"/>
                <w:lang w:val="fr-CA"/>
              </w:rPr>
              <w:t>la personne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] </w:t>
            </w:r>
            <w:r w:rsidR="00D82F8E">
              <w:rPr>
                <w:rFonts w:cs="Arial"/>
                <w:szCs w:val="22"/>
                <w:lang w:val="fr-CA"/>
              </w:rPr>
              <w:t xml:space="preserve">ou d’un procureur relatif aux biens ou tuteur aux biens de </w:t>
            </w:r>
            <w:r w:rsidR="00ED7724" w:rsidRPr="00FF4990">
              <w:rPr>
                <w:rFonts w:cs="Arial"/>
                <w:szCs w:val="22"/>
                <w:lang w:val="fr-CA"/>
              </w:rPr>
              <w:t>[</w:t>
            </w:r>
            <w:r w:rsidR="00D82F8E">
              <w:rPr>
                <w:rFonts w:cs="Arial"/>
                <w:szCs w:val="22"/>
                <w:lang w:val="fr-CA"/>
              </w:rPr>
              <w:t>la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person</w:t>
            </w:r>
            <w:r w:rsidR="00D82F8E">
              <w:rPr>
                <w:rFonts w:cs="Arial"/>
                <w:szCs w:val="22"/>
                <w:lang w:val="fr-CA"/>
              </w:rPr>
              <w:t>ne</w:t>
            </w:r>
            <w:r w:rsidR="00ED7724" w:rsidRPr="00FF4990">
              <w:rPr>
                <w:rFonts w:cs="Arial"/>
                <w:szCs w:val="22"/>
                <w:lang w:val="fr-CA"/>
              </w:rPr>
              <w:t>].</w:t>
            </w:r>
          </w:p>
        </w:tc>
        <w:tc>
          <w:tcPr>
            <w:tcW w:w="4050" w:type="dxa"/>
          </w:tcPr>
          <w:p w14:paraId="00C6E5ED" w14:textId="6B08EDAC" w:rsidR="00D32685" w:rsidRPr="00FF4990" w:rsidRDefault="00191B2F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lastRenderedPageBreak/>
              <w:t>Compétence : par. </w:t>
            </w:r>
            <w:r w:rsidRPr="00FF4990">
              <w:rPr>
                <w:rFonts w:cs="Arial"/>
                <w:szCs w:val="22"/>
                <w:lang w:val="fr-CA"/>
              </w:rPr>
              <w:t>3</w:t>
            </w:r>
            <w:r w:rsidR="00BD2C9A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(2)</w:t>
            </w:r>
            <w:r w:rsidRPr="00FF4990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 xml:space="preserve">de la </w:t>
            </w:r>
            <w:r w:rsidRPr="004C255C">
              <w:rPr>
                <w:rFonts w:cs="Arial"/>
                <w:i/>
                <w:iCs/>
                <w:szCs w:val="22"/>
                <w:lang w:val="fr-CA"/>
              </w:rPr>
              <w:t>LPDNA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; </w:t>
            </w:r>
            <w:r>
              <w:rPr>
                <w:rFonts w:cs="Arial"/>
                <w:szCs w:val="22"/>
                <w:lang w:val="fr-CA"/>
              </w:rPr>
              <w:t xml:space="preserve">art. 27 de la </w:t>
            </w:r>
            <w:r w:rsidRPr="00191B2F">
              <w:rPr>
                <w:rFonts w:cs="Arial"/>
                <w:i/>
                <w:iCs/>
                <w:szCs w:val="22"/>
                <w:lang w:val="fr-CA"/>
              </w:rPr>
              <w:t>Loi sur les procureurs</w:t>
            </w:r>
          </w:p>
          <w:p w14:paraId="696F67AC" w14:textId="4D4D6FDF" w:rsidR="00C034FA" w:rsidRPr="00FF4990" w:rsidRDefault="00E849F6" w:rsidP="00C034FA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lastRenderedPageBreak/>
              <w:t>L’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obligation </w:t>
            </w:r>
            <w:r>
              <w:rPr>
                <w:rFonts w:cs="Arial"/>
                <w:szCs w:val="22"/>
                <w:lang w:val="fr-CA"/>
              </w:rPr>
              <w:t xml:space="preserve">fiduciaire </w:t>
            </w:r>
            <w:r w:rsidR="00F84B75">
              <w:rPr>
                <w:rFonts w:cs="Arial"/>
                <w:szCs w:val="22"/>
                <w:lang w:val="fr-CA"/>
              </w:rPr>
              <w:t>qui incombe au procureur ou au tuteur aux biens</w:t>
            </w:r>
            <w:r w:rsidR="00F84B75"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4A7492">
              <w:rPr>
                <w:rFonts w:cs="Arial"/>
                <w:szCs w:val="22"/>
                <w:lang w:val="fr-CA"/>
              </w:rPr>
              <w:t>d’agir au mieux des i</w:t>
            </w:r>
            <w:r w:rsidR="00BD2C9A">
              <w:rPr>
                <w:rFonts w:cs="Arial"/>
                <w:szCs w:val="22"/>
                <w:lang w:val="fr-CA"/>
              </w:rPr>
              <w:t>ntérêts de la personne censément</w:t>
            </w:r>
            <w:r w:rsidR="00671070">
              <w:rPr>
                <w:rFonts w:cs="Arial"/>
                <w:szCs w:val="22"/>
                <w:lang w:val="fr-CA"/>
              </w:rPr>
              <w:t xml:space="preserve"> incapable</w:t>
            </w:r>
            <w:r w:rsidR="004A7492">
              <w:rPr>
                <w:rFonts w:cs="Arial"/>
                <w:szCs w:val="22"/>
                <w:lang w:val="fr-CA"/>
              </w:rPr>
              <w:t xml:space="preserve"> </w:t>
            </w:r>
            <w:r w:rsidR="00F84B75">
              <w:rPr>
                <w:rFonts w:cs="Arial"/>
                <w:szCs w:val="22"/>
                <w:lang w:val="fr-CA"/>
              </w:rPr>
              <w:t xml:space="preserve">avait été interprétée comme comprenant </w:t>
            </w:r>
            <w:r w:rsidR="00A50F41">
              <w:rPr>
                <w:rFonts w:cs="Arial"/>
                <w:szCs w:val="22"/>
                <w:lang w:val="fr-CA"/>
              </w:rPr>
              <w:t>l’</w:t>
            </w:r>
            <w:r w:rsidR="00F84B75">
              <w:rPr>
                <w:rFonts w:cs="Arial"/>
                <w:szCs w:val="22"/>
                <w:lang w:val="fr-CA"/>
              </w:rPr>
              <w:t>o</w:t>
            </w:r>
            <w:r w:rsidR="00ED7724" w:rsidRPr="00FF4990">
              <w:rPr>
                <w:rFonts w:cs="Arial"/>
                <w:szCs w:val="22"/>
                <w:lang w:val="fr-CA"/>
              </w:rPr>
              <w:t>bligation</w:t>
            </w:r>
            <w:r w:rsidR="00F84B75">
              <w:rPr>
                <w:rFonts w:cs="Arial"/>
                <w:szCs w:val="22"/>
                <w:lang w:val="fr-CA"/>
              </w:rPr>
              <w:t xml:space="preserve"> d’acquitter ses comptes </w:t>
            </w:r>
            <w:r w:rsidR="002D5C1E">
              <w:rPr>
                <w:rFonts w:cs="Arial"/>
                <w:szCs w:val="22"/>
                <w:lang w:val="fr-CA"/>
              </w:rPr>
              <w:t xml:space="preserve">juridiques liés à la nomination de l’avocat nommé en vertu de l’article </w:t>
            </w:r>
            <w:r w:rsidR="00ED7724" w:rsidRPr="00FF4990">
              <w:rPr>
                <w:rFonts w:cs="Arial"/>
                <w:szCs w:val="22"/>
                <w:lang w:val="fr-CA"/>
              </w:rPr>
              <w:t>3</w:t>
            </w:r>
            <w:r w:rsidR="00CC71B7">
              <w:rPr>
                <w:rFonts w:cs="Arial"/>
                <w:szCs w:val="22"/>
                <w:lang w:val="fr-CA"/>
              </w:rPr>
              <w:t> :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CC71B7">
              <w:rPr>
                <w:rFonts w:cs="Arial"/>
                <w:szCs w:val="22"/>
                <w:lang w:val="fr-CA"/>
              </w:rPr>
              <w:t xml:space="preserve">voir la décision rendue par le juge </w:t>
            </w:r>
            <w:r w:rsidR="00ED7724" w:rsidRPr="00FF4990">
              <w:rPr>
                <w:rFonts w:cs="Arial"/>
                <w:szCs w:val="22"/>
                <w:lang w:val="fr-CA"/>
              </w:rPr>
              <w:t>McEwen</w:t>
            </w:r>
            <w:r w:rsidR="00CC71B7">
              <w:rPr>
                <w:rFonts w:cs="Arial"/>
                <w:szCs w:val="22"/>
                <w:lang w:val="fr-CA"/>
              </w:rPr>
              <w:t xml:space="preserve"> dans l’arrêt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ED7724" w:rsidRPr="00FF4990">
              <w:rPr>
                <w:rFonts w:cs="Arial"/>
                <w:i/>
                <w:szCs w:val="22"/>
                <w:lang w:val="fr-CA"/>
              </w:rPr>
              <w:t>Abbruzzese v</w:t>
            </w:r>
            <w:r w:rsidR="00BD2C9A">
              <w:rPr>
                <w:rFonts w:cs="Arial"/>
                <w:i/>
                <w:szCs w:val="22"/>
                <w:lang w:val="fr-CA"/>
              </w:rPr>
              <w:t>.</w:t>
            </w:r>
            <w:r w:rsidR="00ED7724" w:rsidRPr="00FF4990">
              <w:rPr>
                <w:rFonts w:cs="Arial"/>
                <w:i/>
                <w:szCs w:val="22"/>
                <w:lang w:val="fr-CA"/>
              </w:rPr>
              <w:t xml:space="preserve"> Tucci</w:t>
            </w:r>
            <w:r w:rsidR="00ED7724" w:rsidRPr="00FF4990">
              <w:rPr>
                <w:rFonts w:cs="Arial"/>
                <w:szCs w:val="22"/>
                <w:lang w:val="fr-CA"/>
              </w:rPr>
              <w:t>, 2018 CarswellOnt 12167, a</w:t>
            </w:r>
            <w:r w:rsidR="00CC71B7">
              <w:rPr>
                <w:rFonts w:cs="Arial"/>
                <w:szCs w:val="22"/>
                <w:lang w:val="fr-CA"/>
              </w:rPr>
              <w:t>u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par</w:t>
            </w:r>
            <w:r w:rsidR="00CC71B7">
              <w:rPr>
                <w:rFonts w:cs="Arial"/>
                <w:szCs w:val="22"/>
                <w:lang w:val="fr-CA"/>
              </w:rPr>
              <w:t>.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5.</w:t>
            </w:r>
          </w:p>
        </w:tc>
      </w:tr>
      <w:tr w:rsidR="00C25B4E" w:rsidRPr="00FF4990" w14:paraId="21935906" w14:textId="77777777" w:rsidTr="0063492D">
        <w:tc>
          <w:tcPr>
            <w:tcW w:w="3438" w:type="dxa"/>
          </w:tcPr>
          <w:p w14:paraId="17E24412" w14:textId="33758B98" w:rsidR="00D32685" w:rsidRPr="00FF4990" w:rsidRDefault="00801FD6" w:rsidP="00D32685">
            <w:pPr>
              <w:rPr>
                <w:rFonts w:cs="Arial"/>
                <w:color w:val="FF0000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lastRenderedPageBreak/>
              <w:t xml:space="preserve">Approbation par le tribunal des honoraires juridiques de l’avocat nommé en vertu de l’article </w:t>
            </w:r>
            <w:r w:rsidR="00ED7724" w:rsidRPr="00FF4990">
              <w:rPr>
                <w:rFonts w:cs="Arial"/>
                <w:szCs w:val="22"/>
                <w:lang w:val="fr-CA"/>
              </w:rPr>
              <w:t>3</w:t>
            </w:r>
          </w:p>
        </w:tc>
        <w:tc>
          <w:tcPr>
            <w:tcW w:w="6300" w:type="dxa"/>
          </w:tcPr>
          <w:p w14:paraId="5E5A2866" w14:textId="78AC812A" w:rsidR="00D32685" w:rsidRPr="00FF4990" w:rsidRDefault="003B6473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384231">
              <w:rPr>
                <w:rFonts w:cs="Arial"/>
                <w:szCs w:val="22"/>
                <w:lang w:val="fr-CA"/>
              </w:rPr>
              <w:t xml:space="preserve">les comptes de l’avocat nommé en vertu de l’article 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3 </w:t>
            </w:r>
            <w:r w:rsidR="00940863">
              <w:rPr>
                <w:rFonts w:cs="Arial"/>
                <w:szCs w:val="22"/>
                <w:lang w:val="fr-CA"/>
              </w:rPr>
              <w:t>conformément à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[</w:t>
            </w:r>
            <w:r w:rsidR="00940863">
              <w:rPr>
                <w:rFonts w:cs="Arial"/>
                <w:szCs w:val="22"/>
                <w:lang w:val="fr-CA"/>
              </w:rPr>
              <w:t>DÉTAILS DE L’ORDONNANCE DE NOMINATION</w:t>
            </w:r>
            <w:r w:rsidR="00ED7724" w:rsidRPr="00FF4990">
              <w:rPr>
                <w:rFonts w:cs="Arial"/>
                <w:szCs w:val="22"/>
                <w:lang w:val="fr-CA"/>
              </w:rPr>
              <w:t>] da</w:t>
            </w:r>
            <w:r w:rsidR="00940863">
              <w:rPr>
                <w:rFonts w:cs="Arial"/>
                <w:szCs w:val="22"/>
                <w:lang w:val="fr-CA"/>
              </w:rPr>
              <w:t>tée du/des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[date(s)] </w:t>
            </w:r>
            <w:r w:rsidR="00940863">
              <w:rPr>
                <w:rFonts w:cs="Arial"/>
                <w:szCs w:val="22"/>
                <w:lang w:val="fr-CA"/>
              </w:rPr>
              <w:t xml:space="preserve">soient approuvés et fixés à 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[$$$] </w:t>
            </w:r>
            <w:r w:rsidR="00940863">
              <w:rPr>
                <w:rFonts w:cs="Arial"/>
                <w:szCs w:val="22"/>
                <w:lang w:val="fr-CA"/>
              </w:rPr>
              <w:t>et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[</w:t>
            </w:r>
            <w:r w:rsidR="00940863">
              <w:rPr>
                <w:rFonts w:cs="Arial"/>
                <w:szCs w:val="22"/>
                <w:lang w:val="fr-CA"/>
              </w:rPr>
              <w:t xml:space="preserve">soient payés </w:t>
            </w:r>
            <w:r w:rsidR="00ED7724" w:rsidRPr="00FF4990">
              <w:rPr>
                <w:rFonts w:cs="Arial"/>
                <w:szCs w:val="22"/>
                <w:lang w:val="fr-CA"/>
              </w:rPr>
              <w:t>O</w:t>
            </w:r>
            <w:r w:rsidR="00940863">
              <w:rPr>
                <w:rFonts w:cs="Arial"/>
                <w:szCs w:val="22"/>
                <w:lang w:val="fr-CA"/>
              </w:rPr>
              <w:t>U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F721DF">
              <w:rPr>
                <w:rFonts w:cs="Arial"/>
                <w:szCs w:val="22"/>
                <w:lang w:val="fr-CA"/>
              </w:rPr>
              <w:t>que le solde impayé de ces comptes, d’un montant de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$$$</w:t>
            </w:r>
            <w:r w:rsidR="00F721DF">
              <w:rPr>
                <w:rFonts w:cs="Arial"/>
                <w:szCs w:val="22"/>
                <w:lang w:val="fr-CA"/>
              </w:rPr>
              <w:t>, soit payé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] </w:t>
            </w:r>
            <w:r w:rsidR="00BD2C9A">
              <w:rPr>
                <w:rFonts w:cs="Arial"/>
                <w:szCs w:val="22"/>
                <w:lang w:val="fr-CA"/>
              </w:rPr>
              <w:t>sur</w:t>
            </w:r>
            <w:r w:rsidR="00B06382">
              <w:rPr>
                <w:rFonts w:cs="Arial"/>
                <w:szCs w:val="22"/>
                <w:lang w:val="fr-CA"/>
              </w:rPr>
              <w:t xml:space="preserve"> les biens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940863">
              <w:rPr>
                <w:rFonts w:cs="Arial"/>
                <w:szCs w:val="22"/>
                <w:lang w:val="fr-CA"/>
              </w:rPr>
              <w:t>de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[</w:t>
            </w:r>
            <w:r w:rsidR="00940863">
              <w:rPr>
                <w:rFonts w:cs="Arial"/>
                <w:szCs w:val="22"/>
                <w:lang w:val="fr-CA"/>
              </w:rPr>
              <w:t>LA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PERSON</w:t>
            </w:r>
            <w:r w:rsidR="00940863">
              <w:rPr>
                <w:rFonts w:cs="Arial"/>
                <w:szCs w:val="22"/>
                <w:lang w:val="fr-CA"/>
              </w:rPr>
              <w:t>NE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] </w:t>
            </w:r>
            <w:r w:rsidR="00940863">
              <w:rPr>
                <w:rFonts w:cs="Arial"/>
                <w:szCs w:val="22"/>
                <w:lang w:val="fr-CA"/>
              </w:rPr>
              <w:t>par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[</w:t>
            </w:r>
            <w:r w:rsidR="00940863">
              <w:rPr>
                <w:rFonts w:cs="Arial"/>
                <w:szCs w:val="22"/>
                <w:lang w:val="fr-CA"/>
              </w:rPr>
              <w:t xml:space="preserve">le CLIENT </w:t>
            </w:r>
            <w:r w:rsidR="00ED7724" w:rsidRPr="00FF4990">
              <w:rPr>
                <w:rFonts w:cs="Arial"/>
                <w:szCs w:val="22"/>
                <w:lang w:val="fr-CA"/>
              </w:rPr>
              <w:t>CAPABLE o</w:t>
            </w:r>
            <w:r w:rsidR="00940863">
              <w:rPr>
                <w:rFonts w:cs="Arial"/>
                <w:szCs w:val="22"/>
                <w:lang w:val="fr-CA"/>
              </w:rPr>
              <w:t>u le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940863">
              <w:rPr>
                <w:rFonts w:cs="Arial"/>
                <w:szCs w:val="22"/>
                <w:lang w:val="fr-CA"/>
              </w:rPr>
              <w:t>PROCUREUR ou TUTEUR</w:t>
            </w:r>
            <w:r w:rsidR="00ED7724" w:rsidRPr="00FF4990">
              <w:rPr>
                <w:rFonts w:cs="Arial"/>
                <w:szCs w:val="22"/>
                <w:lang w:val="fr-CA"/>
              </w:rPr>
              <w:t>]</w:t>
            </w:r>
            <w:r w:rsidR="00B06382">
              <w:rPr>
                <w:rFonts w:cs="Arial"/>
                <w:szCs w:val="22"/>
                <w:lang w:val="fr-CA"/>
              </w:rPr>
              <w:t>,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940863">
              <w:rPr>
                <w:rFonts w:cs="Arial"/>
                <w:szCs w:val="22"/>
                <w:lang w:val="fr-CA"/>
              </w:rPr>
              <w:t xml:space="preserve">sans </w:t>
            </w:r>
            <w:r w:rsidR="00B06382">
              <w:rPr>
                <w:rFonts w:cs="Arial"/>
                <w:szCs w:val="22"/>
                <w:lang w:val="fr-CA"/>
              </w:rPr>
              <w:t>qu’il ne soit porté</w:t>
            </w:r>
            <w:r w:rsidR="00940863">
              <w:rPr>
                <w:rFonts w:cs="Arial"/>
                <w:szCs w:val="22"/>
                <w:lang w:val="fr-CA"/>
              </w:rPr>
              <w:t xml:space="preserve"> atteinte au droit du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[</w:t>
            </w:r>
            <w:r w:rsidR="00940863">
              <w:rPr>
                <w:rFonts w:cs="Arial"/>
                <w:szCs w:val="22"/>
                <w:lang w:val="fr-CA"/>
              </w:rPr>
              <w:t>PROCUREUR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o</w:t>
            </w:r>
            <w:r w:rsidR="00940863">
              <w:rPr>
                <w:rFonts w:cs="Arial"/>
                <w:szCs w:val="22"/>
                <w:lang w:val="fr-CA"/>
              </w:rPr>
              <w:t>u TUTEUR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] </w:t>
            </w:r>
            <w:r w:rsidR="00940863">
              <w:rPr>
                <w:rFonts w:cs="Arial"/>
                <w:szCs w:val="22"/>
                <w:lang w:val="fr-CA"/>
              </w:rPr>
              <w:t xml:space="preserve">de demander le remboursement de ces frais à une autre partie conformément à l’article 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131 </w:t>
            </w:r>
            <w:r w:rsidR="00940863">
              <w:rPr>
                <w:rFonts w:cs="Arial"/>
                <w:szCs w:val="22"/>
                <w:lang w:val="fr-CA"/>
              </w:rPr>
              <w:t xml:space="preserve">de la </w:t>
            </w:r>
            <w:r w:rsidR="00940863" w:rsidRPr="00940863">
              <w:rPr>
                <w:rFonts w:cs="Arial"/>
                <w:i/>
                <w:iCs/>
                <w:szCs w:val="22"/>
                <w:lang w:val="fr-CA"/>
              </w:rPr>
              <w:t>Loi sur les tribunaux judiciaires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. </w:t>
            </w:r>
          </w:p>
        </w:tc>
        <w:tc>
          <w:tcPr>
            <w:tcW w:w="4050" w:type="dxa"/>
          </w:tcPr>
          <w:p w14:paraId="43CCC44B" w14:textId="2EC99D3F" w:rsidR="00D32685" w:rsidRPr="00FF4990" w:rsidRDefault="00B10FAA" w:rsidP="00D32685">
            <w:pPr>
              <w:rPr>
                <w:rFonts w:cs="Arial"/>
                <w:color w:val="FF0000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Compétence : par. </w:t>
            </w:r>
            <w:r w:rsidRPr="00FF4990">
              <w:rPr>
                <w:rFonts w:cs="Arial"/>
                <w:szCs w:val="22"/>
                <w:lang w:val="fr-CA"/>
              </w:rPr>
              <w:t>3</w:t>
            </w:r>
            <w:r w:rsidR="00BD2C9A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(2)</w:t>
            </w:r>
            <w:r w:rsidRPr="00FF4990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 xml:space="preserve">de la </w:t>
            </w:r>
            <w:r w:rsidRPr="004C255C">
              <w:rPr>
                <w:rFonts w:cs="Arial"/>
                <w:i/>
                <w:iCs/>
                <w:szCs w:val="22"/>
                <w:lang w:val="fr-CA"/>
              </w:rPr>
              <w:t>LPDNA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</w:p>
        </w:tc>
      </w:tr>
      <w:tr w:rsidR="00C25B4E" w:rsidRPr="00FF4990" w14:paraId="1B66F04B" w14:textId="77777777" w:rsidTr="0063492D">
        <w:tc>
          <w:tcPr>
            <w:tcW w:w="3438" w:type="dxa"/>
          </w:tcPr>
          <w:p w14:paraId="2CCB049C" w14:textId="1C63E36F" w:rsidR="00D32685" w:rsidRPr="00FF4990" w:rsidRDefault="00331AB0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Dépens réservés</w:t>
            </w:r>
          </w:p>
        </w:tc>
        <w:tc>
          <w:tcPr>
            <w:tcW w:w="6300" w:type="dxa"/>
          </w:tcPr>
          <w:p w14:paraId="037CAED1" w14:textId="13A5D4DA" w:rsidR="00D32685" w:rsidRPr="00FF4990" w:rsidRDefault="003B6473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="0025736B">
              <w:rPr>
                <w:rFonts w:cs="Arial"/>
                <w:szCs w:val="22"/>
                <w:lang w:val="fr-CA"/>
              </w:rPr>
              <w:t xml:space="preserve"> les dépens des 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parties </w:t>
            </w:r>
            <w:r w:rsidR="0025736B">
              <w:rPr>
                <w:rFonts w:cs="Arial"/>
                <w:szCs w:val="22"/>
                <w:lang w:val="fr-CA"/>
              </w:rPr>
              <w:t xml:space="preserve">relatifs à la présente comparution, y compris ceux de l’avocat nommé en vertu de l’article </w:t>
            </w:r>
            <w:r w:rsidR="00ED7724" w:rsidRPr="00FF4990">
              <w:rPr>
                <w:rFonts w:cs="Arial"/>
                <w:szCs w:val="22"/>
                <w:lang w:val="fr-CA"/>
              </w:rPr>
              <w:t>3</w:t>
            </w:r>
            <w:r w:rsidR="0025736B">
              <w:rPr>
                <w:rFonts w:cs="Arial"/>
                <w:szCs w:val="22"/>
                <w:lang w:val="fr-CA"/>
              </w:rPr>
              <w:t>, soient réservés au juge chargé d’instruire la présente requête</w:t>
            </w:r>
            <w:r w:rsidR="00ED7724" w:rsidRPr="00FF4990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614B28BE" w14:textId="77777777" w:rsidR="00D32685" w:rsidRPr="00FF4990" w:rsidRDefault="00D32685" w:rsidP="00D32685">
            <w:pPr>
              <w:rPr>
                <w:rFonts w:cs="Arial"/>
                <w:szCs w:val="22"/>
                <w:lang w:val="fr-CA"/>
              </w:rPr>
            </w:pPr>
          </w:p>
        </w:tc>
      </w:tr>
      <w:tr w:rsidR="00C25B4E" w:rsidRPr="00FF4990" w14:paraId="05C39ED9" w14:textId="77777777" w:rsidTr="0063492D">
        <w:tc>
          <w:tcPr>
            <w:tcW w:w="3438" w:type="dxa"/>
          </w:tcPr>
          <w:p w14:paraId="571D3CF8" w14:textId="2763C3D7" w:rsidR="00D32685" w:rsidRPr="00FF4990" w:rsidRDefault="00401297" w:rsidP="00D32685">
            <w:pPr>
              <w:rPr>
                <w:rFonts w:cs="Arial"/>
                <w:b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Honoraires du TCP</w:t>
            </w:r>
          </w:p>
        </w:tc>
        <w:tc>
          <w:tcPr>
            <w:tcW w:w="6300" w:type="dxa"/>
          </w:tcPr>
          <w:p w14:paraId="2994C3E9" w14:textId="26707317" w:rsidR="00D32685" w:rsidRPr="00FF4990" w:rsidRDefault="003B6473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="00A3007C">
              <w:rPr>
                <w:rFonts w:cs="Arial"/>
                <w:szCs w:val="22"/>
                <w:lang w:val="fr-CA"/>
              </w:rPr>
              <w:t xml:space="preserve"> les honoraires du tuteur et curateur public relatifs à l’examen de la présente requête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, </w:t>
            </w:r>
            <w:r w:rsidR="000F7382">
              <w:rPr>
                <w:rFonts w:cs="Arial"/>
                <w:bCs/>
                <w:szCs w:val="22"/>
                <w:lang w:val="fr-CA"/>
              </w:rPr>
              <w:t>dont le montant approuvé par le procureur général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 </w:t>
            </w:r>
            <w:r w:rsidR="002C34DB">
              <w:rPr>
                <w:rFonts w:cs="Arial"/>
                <w:bCs/>
                <w:szCs w:val="22"/>
                <w:lang w:val="fr-CA"/>
              </w:rPr>
              <w:t>est de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 [$] plus </w:t>
            </w:r>
            <w:r w:rsidR="00FF4106">
              <w:rPr>
                <w:rFonts w:cs="Arial"/>
                <w:bCs/>
                <w:szCs w:val="22"/>
                <w:lang w:val="fr-CA"/>
              </w:rPr>
              <w:t>TVH de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 [$]</w:t>
            </w:r>
            <w:r w:rsidR="00FD5657">
              <w:rPr>
                <w:rFonts w:cs="Arial"/>
                <w:bCs/>
                <w:szCs w:val="22"/>
                <w:lang w:val="fr-CA"/>
              </w:rPr>
              <w:t xml:space="preserve">, soient payés sans délai au tuteur et curateur </w:t>
            </w:r>
            <w:r w:rsidR="00BD2C9A">
              <w:rPr>
                <w:rFonts w:cs="Arial"/>
                <w:bCs/>
                <w:szCs w:val="22"/>
                <w:lang w:val="fr-CA"/>
              </w:rPr>
              <w:lastRenderedPageBreak/>
              <w:t>public sur</w:t>
            </w:r>
            <w:r w:rsidR="00FD5657">
              <w:rPr>
                <w:rFonts w:cs="Arial"/>
                <w:bCs/>
                <w:szCs w:val="22"/>
                <w:lang w:val="fr-CA"/>
              </w:rPr>
              <w:t xml:space="preserve"> les biens de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 [</w:t>
            </w:r>
            <w:r w:rsidR="00FD5657">
              <w:rPr>
                <w:rFonts w:cs="Arial"/>
                <w:bCs/>
                <w:szCs w:val="22"/>
                <w:lang w:val="fr-CA"/>
              </w:rPr>
              <w:t>la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 person</w:t>
            </w:r>
            <w:r w:rsidR="00FD5657">
              <w:rPr>
                <w:rFonts w:cs="Arial"/>
                <w:bCs/>
                <w:szCs w:val="22"/>
                <w:lang w:val="fr-CA"/>
              </w:rPr>
              <w:t>ne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]. </w:t>
            </w:r>
          </w:p>
        </w:tc>
        <w:tc>
          <w:tcPr>
            <w:tcW w:w="4050" w:type="dxa"/>
          </w:tcPr>
          <w:p w14:paraId="4B2C83A8" w14:textId="77777777" w:rsidR="00D32685" w:rsidRPr="00FF4990" w:rsidRDefault="00D32685" w:rsidP="00D32685">
            <w:pPr>
              <w:rPr>
                <w:rFonts w:cs="Arial"/>
                <w:szCs w:val="22"/>
                <w:lang w:val="fr-CA"/>
              </w:rPr>
            </w:pPr>
          </w:p>
        </w:tc>
      </w:tr>
      <w:tr w:rsidR="00C25B4E" w:rsidRPr="00FF4990" w14:paraId="05ED848C" w14:textId="77777777" w:rsidTr="002A5897">
        <w:tc>
          <w:tcPr>
            <w:tcW w:w="13788" w:type="dxa"/>
            <w:gridSpan w:val="3"/>
          </w:tcPr>
          <w:p w14:paraId="3CB1A401" w14:textId="48C545AF" w:rsidR="00D32685" w:rsidRPr="00FF4990" w:rsidRDefault="00ED7724" w:rsidP="00D32685">
            <w:pPr>
              <w:jc w:val="center"/>
              <w:rPr>
                <w:rFonts w:cs="Arial"/>
                <w:b/>
                <w:i/>
                <w:szCs w:val="22"/>
                <w:lang w:val="fr-CA"/>
              </w:rPr>
            </w:pPr>
            <w:r w:rsidRPr="00FF4990">
              <w:rPr>
                <w:rFonts w:cs="Arial"/>
                <w:b/>
                <w:i/>
                <w:szCs w:val="22"/>
                <w:lang w:val="fr-CA"/>
              </w:rPr>
              <w:t>Production</w:t>
            </w:r>
            <w:r w:rsidR="00FF4D94">
              <w:rPr>
                <w:rFonts w:cs="Arial"/>
                <w:b/>
                <w:i/>
                <w:szCs w:val="22"/>
                <w:lang w:val="fr-CA"/>
              </w:rPr>
              <w:t xml:space="preserve"> et divulgation</w:t>
            </w:r>
          </w:p>
        </w:tc>
      </w:tr>
      <w:tr w:rsidR="00C25B4E" w:rsidRPr="00FF4990" w14:paraId="251B651C" w14:textId="77777777" w:rsidTr="00130E38">
        <w:trPr>
          <w:trHeight w:val="955"/>
        </w:trPr>
        <w:tc>
          <w:tcPr>
            <w:tcW w:w="3438" w:type="dxa"/>
          </w:tcPr>
          <w:p w14:paraId="04029B98" w14:textId="57EDB7DA" w:rsidR="00D32685" w:rsidRPr="00FF4990" w:rsidRDefault="00ED7724" w:rsidP="00D32685">
            <w:pPr>
              <w:rPr>
                <w:rFonts w:cs="Arial"/>
                <w:szCs w:val="22"/>
                <w:lang w:val="fr-CA"/>
              </w:rPr>
            </w:pPr>
            <w:r w:rsidRPr="00FF4990">
              <w:rPr>
                <w:rFonts w:cs="Arial"/>
                <w:szCs w:val="22"/>
                <w:lang w:val="fr-CA"/>
              </w:rPr>
              <w:t>Di</w:t>
            </w:r>
            <w:r w:rsidR="00F06165">
              <w:rPr>
                <w:rFonts w:cs="Arial"/>
                <w:szCs w:val="22"/>
                <w:lang w:val="fr-CA"/>
              </w:rPr>
              <w:t>vulgation des documents déposés et de la correspondance connexe</w:t>
            </w:r>
          </w:p>
        </w:tc>
        <w:tc>
          <w:tcPr>
            <w:tcW w:w="6300" w:type="dxa"/>
          </w:tcPr>
          <w:p w14:paraId="7317DA8D" w14:textId="1873F574" w:rsidR="00D32685" w:rsidRPr="00FF4990" w:rsidRDefault="003B6473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</w:t>
            </w:r>
            <w:r w:rsidR="00FA1FCE">
              <w:rPr>
                <w:rFonts w:cs="Arial"/>
                <w:szCs w:val="22"/>
                <w:lang w:val="fr-CA"/>
              </w:rPr>
              <w:t>’</w:t>
            </w:r>
            <w:r w:rsidR="00CA06BC">
              <w:rPr>
                <w:rFonts w:cs="Arial"/>
                <w:szCs w:val="22"/>
                <w:lang w:val="fr-CA"/>
              </w:rPr>
              <w:t xml:space="preserve">à la </w:t>
            </w:r>
            <w:r w:rsidR="00BD40E9">
              <w:rPr>
                <w:rFonts w:cs="Arial"/>
                <w:szCs w:val="22"/>
                <w:lang w:val="fr-CA"/>
              </w:rPr>
              <w:t>demande</w:t>
            </w:r>
            <w:r w:rsidR="00CA06BC">
              <w:rPr>
                <w:rFonts w:cs="Arial"/>
                <w:szCs w:val="22"/>
                <w:lang w:val="fr-CA"/>
              </w:rPr>
              <w:t xml:space="preserve"> de </w:t>
            </w:r>
            <w:r w:rsidR="00FA1FCE" w:rsidRPr="00FF4990">
              <w:rPr>
                <w:rFonts w:cs="Arial"/>
                <w:szCs w:val="22"/>
                <w:lang w:val="fr-CA"/>
              </w:rPr>
              <w:t>[</w:t>
            </w:r>
            <w:r w:rsidR="00FA1FCE">
              <w:rPr>
                <w:rFonts w:cs="Arial"/>
                <w:szCs w:val="22"/>
                <w:lang w:val="fr-CA"/>
              </w:rPr>
              <w:t>l’avocat</w:t>
            </w:r>
            <w:r w:rsidR="00FA1FCE" w:rsidRPr="00FF4990">
              <w:rPr>
                <w:rFonts w:cs="Arial"/>
                <w:szCs w:val="22"/>
                <w:lang w:val="fr-CA"/>
              </w:rPr>
              <w:t>/</w:t>
            </w:r>
            <w:r w:rsidR="00FA1FCE">
              <w:rPr>
                <w:rFonts w:cs="Arial"/>
                <w:szCs w:val="22"/>
                <w:lang w:val="fr-CA"/>
              </w:rPr>
              <w:t>l’avocat nommé en vertu de l’art</w:t>
            </w:r>
            <w:r w:rsidR="00FA1FCE" w:rsidRPr="00FF4990">
              <w:rPr>
                <w:rFonts w:cs="Arial"/>
                <w:szCs w:val="22"/>
                <w:lang w:val="fr-CA"/>
              </w:rPr>
              <w:t>. 3]</w:t>
            </w:r>
            <w:r w:rsidR="00BD40E9">
              <w:rPr>
                <w:rFonts w:cs="Arial"/>
                <w:szCs w:val="22"/>
                <w:lang w:val="fr-CA"/>
              </w:rPr>
              <w:t>,</w:t>
            </w:r>
            <w:r w:rsidR="00FA1FCE">
              <w:rPr>
                <w:rFonts w:cs="Arial"/>
                <w:szCs w:val="22"/>
                <w:lang w:val="fr-CA"/>
              </w:rPr>
              <w:t xml:space="preserve"> les </w:t>
            </w:r>
            <w:r w:rsidR="00FA1FCE" w:rsidRPr="00FF4990">
              <w:rPr>
                <w:rFonts w:cs="Arial"/>
                <w:szCs w:val="22"/>
                <w:lang w:val="fr-CA"/>
              </w:rPr>
              <w:t xml:space="preserve">parties </w:t>
            </w:r>
            <w:r w:rsidR="00FA1FCE">
              <w:rPr>
                <w:rFonts w:cs="Arial"/>
                <w:szCs w:val="22"/>
                <w:lang w:val="fr-CA"/>
              </w:rPr>
              <w:t>lui fournissent sans délai</w:t>
            </w:r>
            <w:r w:rsidR="00BD40E9">
              <w:rPr>
                <w:rFonts w:cs="Arial"/>
                <w:szCs w:val="22"/>
                <w:lang w:val="fr-CA"/>
              </w:rPr>
              <w:t xml:space="preserve"> des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copies</w:t>
            </w:r>
            <w:r w:rsidR="00BD40E9">
              <w:rPr>
                <w:rFonts w:cs="Arial"/>
                <w:szCs w:val="22"/>
                <w:lang w:val="fr-CA"/>
              </w:rPr>
              <w:t xml:space="preserve"> de tous les documents déposés et de toute correspondance </w:t>
            </w:r>
            <w:r w:rsidR="00E0393E">
              <w:rPr>
                <w:rFonts w:cs="Arial"/>
                <w:szCs w:val="22"/>
                <w:lang w:val="fr-CA"/>
              </w:rPr>
              <w:t>qu’elles se sont échangée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E0393E">
              <w:rPr>
                <w:rFonts w:cs="Arial"/>
                <w:szCs w:val="22"/>
                <w:lang w:val="fr-CA"/>
              </w:rPr>
              <w:t xml:space="preserve">et </w:t>
            </w:r>
            <w:r w:rsidR="00770BE0">
              <w:rPr>
                <w:rFonts w:cs="Arial"/>
                <w:szCs w:val="22"/>
                <w:lang w:val="fr-CA"/>
              </w:rPr>
              <w:t xml:space="preserve">qui se rapportent aux questions soulevées dans </w:t>
            </w:r>
            <w:r w:rsidR="00ED7724" w:rsidRPr="00FF4990">
              <w:rPr>
                <w:rFonts w:cs="Arial"/>
                <w:szCs w:val="22"/>
                <w:lang w:val="fr-CA"/>
              </w:rPr>
              <w:t>[</w:t>
            </w:r>
            <w:r w:rsidR="00770BE0">
              <w:rPr>
                <w:rFonts w:cs="Arial"/>
                <w:szCs w:val="22"/>
                <w:lang w:val="fr-CA"/>
              </w:rPr>
              <w:t>la requête</w:t>
            </w:r>
            <w:r w:rsidR="00770BE0" w:rsidRPr="00FF4990">
              <w:rPr>
                <w:rFonts w:cs="Arial"/>
                <w:szCs w:val="22"/>
                <w:lang w:val="fr-CA"/>
              </w:rPr>
              <w:t>/</w:t>
            </w:r>
            <w:r w:rsidR="00770BE0">
              <w:rPr>
                <w:rFonts w:cs="Arial"/>
                <w:szCs w:val="22"/>
                <w:lang w:val="fr-CA"/>
              </w:rPr>
              <w:t>l’instance</w:t>
            </w:r>
            <w:r w:rsidR="00770BE0" w:rsidRPr="00FF4990">
              <w:rPr>
                <w:rFonts w:cs="Arial"/>
                <w:szCs w:val="22"/>
                <w:lang w:val="fr-CA"/>
              </w:rPr>
              <w:t>/</w:t>
            </w:r>
            <w:r w:rsidR="00770BE0">
              <w:rPr>
                <w:rFonts w:cs="Arial"/>
                <w:szCs w:val="22"/>
                <w:lang w:val="fr-CA"/>
              </w:rPr>
              <w:t>le dossier de la Cour no</w:t>
            </w:r>
            <w:r w:rsidR="00ED7724" w:rsidRPr="00FF4990">
              <w:rPr>
                <w:rFonts w:cs="Arial"/>
                <w:szCs w:val="22"/>
                <w:lang w:val="fr-CA"/>
              </w:rPr>
              <w:t>].</w:t>
            </w:r>
          </w:p>
        </w:tc>
        <w:tc>
          <w:tcPr>
            <w:tcW w:w="4050" w:type="dxa"/>
          </w:tcPr>
          <w:p w14:paraId="7528463C" w14:textId="42666C5A" w:rsidR="00D32685" w:rsidRPr="00FF4990" w:rsidRDefault="005A61E1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Même s’il faut signifier les documents de la</w:t>
            </w:r>
            <w:r w:rsidR="00BD2C9A">
              <w:rPr>
                <w:rFonts w:cs="Arial"/>
                <w:szCs w:val="22"/>
                <w:lang w:val="fr-CA"/>
              </w:rPr>
              <w:t xml:space="preserve"> requête à la personne censément</w:t>
            </w:r>
            <w:r>
              <w:rPr>
                <w:rFonts w:cs="Arial"/>
                <w:szCs w:val="22"/>
                <w:lang w:val="fr-CA"/>
              </w:rPr>
              <w:t xml:space="preserve"> incapable</w:t>
            </w:r>
            <w:r w:rsidR="00ED7724" w:rsidRPr="00FF4990">
              <w:rPr>
                <w:rFonts w:cs="Arial"/>
                <w:szCs w:val="22"/>
                <w:lang w:val="fr-CA"/>
              </w:rPr>
              <w:t>, i</w:t>
            </w:r>
            <w:r w:rsidR="003C5203">
              <w:rPr>
                <w:rFonts w:cs="Arial"/>
                <w:szCs w:val="22"/>
                <w:lang w:val="fr-CA"/>
              </w:rPr>
              <w:t xml:space="preserve">l est utile pour l’avocat nommé de recevoir et d’examiner les documents et tous les documents supplémentaires déposés ou produits </w:t>
            </w:r>
            <w:r w:rsidR="00E4075A">
              <w:rPr>
                <w:rFonts w:cs="Arial"/>
                <w:szCs w:val="22"/>
                <w:lang w:val="fr-CA"/>
              </w:rPr>
              <w:t xml:space="preserve">avant de tenter de rencontrer la personne </w:t>
            </w:r>
            <w:r w:rsidR="00BD2C9A">
              <w:rPr>
                <w:rFonts w:cs="Arial"/>
                <w:szCs w:val="22"/>
                <w:lang w:val="fr-CA"/>
              </w:rPr>
              <w:t>censément</w:t>
            </w:r>
            <w:r w:rsidR="00E4075A">
              <w:rPr>
                <w:rFonts w:cs="Arial"/>
                <w:szCs w:val="22"/>
                <w:lang w:val="fr-CA"/>
              </w:rPr>
              <w:t xml:space="preserve"> incapable</w:t>
            </w:r>
            <w:r w:rsidR="00ED7724" w:rsidRPr="00FF4990">
              <w:rPr>
                <w:rFonts w:cs="Arial"/>
                <w:szCs w:val="22"/>
                <w:lang w:val="fr-CA"/>
              </w:rPr>
              <w:t>.</w:t>
            </w:r>
          </w:p>
        </w:tc>
      </w:tr>
      <w:tr w:rsidR="00C25B4E" w:rsidRPr="00FF4990" w14:paraId="44EFBCFB" w14:textId="77777777" w:rsidTr="0063492D">
        <w:tc>
          <w:tcPr>
            <w:tcW w:w="3438" w:type="dxa"/>
          </w:tcPr>
          <w:p w14:paraId="270299A6" w14:textId="68BCBA6F" w:rsidR="00D32685" w:rsidRPr="00FF4990" w:rsidRDefault="00F06165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Documents médicaux</w:t>
            </w:r>
          </w:p>
        </w:tc>
        <w:tc>
          <w:tcPr>
            <w:tcW w:w="6300" w:type="dxa"/>
          </w:tcPr>
          <w:p w14:paraId="29CD2ACE" w14:textId="7C4F6BCB" w:rsidR="00D32685" w:rsidRPr="00FF4990" w:rsidRDefault="003B6473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ED7724" w:rsidRPr="00FF4990">
              <w:rPr>
                <w:rFonts w:cs="Arial"/>
                <w:szCs w:val="22"/>
                <w:lang w:val="fr-CA"/>
              </w:rPr>
              <w:t>[</w:t>
            </w:r>
            <w:r w:rsidR="00070FB0">
              <w:rPr>
                <w:rFonts w:cs="Arial"/>
                <w:szCs w:val="22"/>
                <w:lang w:val="fr-CA"/>
              </w:rPr>
              <w:t>l’avocat</w:t>
            </w:r>
            <w:r w:rsidR="00070FB0" w:rsidRPr="00FF4990">
              <w:rPr>
                <w:rFonts w:cs="Arial"/>
                <w:szCs w:val="22"/>
                <w:lang w:val="fr-CA"/>
              </w:rPr>
              <w:t>/</w:t>
            </w:r>
            <w:r w:rsidR="00070FB0">
              <w:rPr>
                <w:rFonts w:cs="Arial"/>
                <w:szCs w:val="22"/>
                <w:lang w:val="fr-CA"/>
              </w:rPr>
              <w:t>l’avocat nommé en vertu de l’art</w:t>
            </w:r>
            <w:r w:rsidR="00070FB0" w:rsidRPr="00FF4990">
              <w:rPr>
                <w:rFonts w:cs="Arial"/>
                <w:szCs w:val="22"/>
                <w:lang w:val="fr-CA"/>
              </w:rPr>
              <w:t>. 3</w:t>
            </w:r>
            <w:r w:rsidR="00ED7724" w:rsidRPr="00FF4990">
              <w:rPr>
                <w:rFonts w:cs="Arial"/>
                <w:szCs w:val="22"/>
                <w:lang w:val="fr-CA"/>
              </w:rPr>
              <w:t>]</w:t>
            </w:r>
            <w:r w:rsidR="00070FB0">
              <w:rPr>
                <w:rFonts w:cs="Arial"/>
                <w:szCs w:val="22"/>
                <w:lang w:val="fr-CA"/>
              </w:rPr>
              <w:t xml:space="preserve"> et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[</w:t>
            </w:r>
            <w:r w:rsidR="00070FB0">
              <w:rPr>
                <w:rFonts w:cs="Arial"/>
                <w:szCs w:val="22"/>
                <w:lang w:val="fr-CA"/>
              </w:rPr>
              <w:t>l’évaluateur dans le cadre d’une évaluation de la capacité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] </w:t>
            </w:r>
            <w:r w:rsidR="00070FB0">
              <w:rPr>
                <w:rFonts w:cs="Arial"/>
                <w:szCs w:val="22"/>
                <w:lang w:val="fr-CA"/>
              </w:rPr>
              <w:t xml:space="preserve">reçoivent, à la demande de l’avocat nommé en vertu de l’article 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3, </w:t>
            </w:r>
            <w:r w:rsidR="00070FB0">
              <w:rPr>
                <w:rFonts w:cs="Arial"/>
                <w:szCs w:val="22"/>
                <w:lang w:val="fr-CA"/>
              </w:rPr>
              <w:t>tous les renseignements personnels sur la santé</w:t>
            </w:r>
            <w:r w:rsidR="00886E14">
              <w:rPr>
                <w:rFonts w:cs="Arial"/>
                <w:szCs w:val="22"/>
                <w:lang w:val="fr-CA"/>
              </w:rPr>
              <w:t xml:space="preserve"> et les rapports médicaux </w:t>
            </w:r>
            <w:r w:rsidR="00ED7724" w:rsidRPr="00FF4990">
              <w:rPr>
                <w:rFonts w:cs="Arial"/>
                <w:szCs w:val="22"/>
                <w:lang w:val="fr-CA"/>
              </w:rPr>
              <w:t>obt</w:t>
            </w:r>
            <w:r w:rsidR="00886E14">
              <w:rPr>
                <w:rFonts w:cs="Arial"/>
                <w:szCs w:val="22"/>
                <w:lang w:val="fr-CA"/>
              </w:rPr>
              <w:t>enus, ainsi que tous les autres documents pertinents se rapportant à la capacité de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[</w:t>
            </w:r>
            <w:r w:rsidR="00886E14">
              <w:rPr>
                <w:rFonts w:cs="Arial"/>
                <w:szCs w:val="22"/>
                <w:lang w:val="fr-CA"/>
              </w:rPr>
              <w:t>la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person</w:t>
            </w:r>
            <w:r w:rsidR="00886E14">
              <w:rPr>
                <w:rFonts w:cs="Arial"/>
                <w:szCs w:val="22"/>
                <w:lang w:val="fr-CA"/>
              </w:rPr>
              <w:t>ne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]. </w:t>
            </w:r>
            <w:r w:rsidR="00401B03">
              <w:rPr>
                <w:rFonts w:cs="Arial"/>
                <w:szCs w:val="22"/>
                <w:lang w:val="fr-CA"/>
              </w:rPr>
              <w:t>Les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documents</w:t>
            </w:r>
            <w:r w:rsidR="00401B03">
              <w:rPr>
                <w:rFonts w:cs="Arial"/>
                <w:szCs w:val="22"/>
                <w:lang w:val="fr-CA"/>
              </w:rPr>
              <w:t xml:space="preserve"> et renseignements fournis aux termes du présent </w:t>
            </w:r>
            <w:r w:rsidR="00ED7724" w:rsidRPr="00FF4990">
              <w:rPr>
                <w:rFonts w:cs="Arial"/>
                <w:szCs w:val="22"/>
                <w:lang w:val="fr-CA"/>
              </w:rPr>
              <w:t>paragraph</w:t>
            </w:r>
            <w:r w:rsidR="00401B03">
              <w:rPr>
                <w:rFonts w:cs="Arial"/>
                <w:szCs w:val="22"/>
                <w:lang w:val="fr-CA"/>
              </w:rPr>
              <w:t xml:space="preserve">e sont réputés être </w:t>
            </w:r>
            <w:r w:rsidR="00C91E98">
              <w:rPr>
                <w:rFonts w:cs="Arial"/>
                <w:szCs w:val="22"/>
                <w:lang w:val="fr-CA"/>
              </w:rPr>
              <w:t xml:space="preserve">privilégiés et </w:t>
            </w:r>
            <w:r w:rsidR="003E0A41">
              <w:rPr>
                <w:rFonts w:cs="Arial"/>
                <w:szCs w:val="22"/>
                <w:lang w:val="fr-CA"/>
              </w:rPr>
              <w:t>aucune autre partie ne peut exiger qu’ils soient présentés en preuve sans l’autorisation du tribunal</w:t>
            </w:r>
            <w:r w:rsidR="00ED7724" w:rsidRPr="00FF4990">
              <w:rPr>
                <w:rFonts w:cs="Arial"/>
                <w:szCs w:val="22"/>
                <w:lang w:val="fr-CA"/>
              </w:rPr>
              <w:t>. [N</w:t>
            </w:r>
            <w:r w:rsidR="003E0A41">
              <w:rPr>
                <w:rFonts w:cs="Arial"/>
                <w:szCs w:val="22"/>
                <w:lang w:val="fr-CA"/>
              </w:rPr>
              <w:t>ote au rédacteur :</w:t>
            </w:r>
            <w:r w:rsidR="00FA27B9">
              <w:rPr>
                <w:rFonts w:cs="Arial"/>
                <w:szCs w:val="22"/>
                <w:lang w:val="fr-CA"/>
              </w:rPr>
              <w:t xml:space="preserve"> peut comprendre </w:t>
            </w:r>
            <w:r w:rsidR="00361CCD">
              <w:rPr>
                <w:rFonts w:cs="Arial"/>
                <w:szCs w:val="22"/>
                <w:lang w:val="fr-CA"/>
              </w:rPr>
              <w:t>l</w:t>
            </w:r>
            <w:r w:rsidR="00FA27B9">
              <w:rPr>
                <w:rFonts w:cs="Arial"/>
                <w:szCs w:val="22"/>
                <w:lang w:val="fr-CA"/>
              </w:rPr>
              <w:t xml:space="preserve">es actes de procédure, </w:t>
            </w:r>
            <w:r w:rsidR="00ED7724" w:rsidRPr="00FF4990">
              <w:rPr>
                <w:rFonts w:cs="Arial"/>
                <w:szCs w:val="22"/>
                <w:lang w:val="fr-CA"/>
              </w:rPr>
              <w:t>affidavits</w:t>
            </w:r>
            <w:r w:rsidR="00FA27B9">
              <w:rPr>
                <w:rFonts w:cs="Arial"/>
                <w:szCs w:val="22"/>
                <w:lang w:val="fr-CA"/>
              </w:rPr>
              <w:t>, documents ou documents de défense</w:t>
            </w:r>
            <w:r w:rsidR="00ED7724" w:rsidRPr="00FF4990">
              <w:rPr>
                <w:rFonts w:cs="Arial"/>
                <w:szCs w:val="22"/>
                <w:lang w:val="fr-CA"/>
              </w:rPr>
              <w:t>]</w:t>
            </w:r>
          </w:p>
          <w:p w14:paraId="3EEFEED6" w14:textId="77777777" w:rsidR="00D32685" w:rsidRPr="00FF4990" w:rsidRDefault="00D32685" w:rsidP="00D32685">
            <w:pPr>
              <w:rPr>
                <w:rFonts w:cs="Arial"/>
                <w:szCs w:val="22"/>
                <w:lang w:val="fr-CA"/>
              </w:rPr>
            </w:pPr>
          </w:p>
        </w:tc>
        <w:tc>
          <w:tcPr>
            <w:tcW w:w="4050" w:type="dxa"/>
          </w:tcPr>
          <w:p w14:paraId="26D3EE27" w14:textId="5E3E02AF" w:rsidR="00D32685" w:rsidRPr="00FF4990" w:rsidRDefault="00A179FB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Il existe une jurisprudence, dans le</w:t>
            </w:r>
            <w:r w:rsidRPr="004C2DF8">
              <w:rPr>
                <w:rFonts w:cs="Arial"/>
                <w:szCs w:val="22"/>
                <w:lang w:val="fr-CA"/>
              </w:rPr>
              <w:t xml:space="preserve"> context</w:t>
            </w:r>
            <w:r>
              <w:rPr>
                <w:rFonts w:cs="Arial"/>
                <w:szCs w:val="22"/>
                <w:lang w:val="fr-CA"/>
              </w:rPr>
              <w:t>e de la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Pr="00463C96">
              <w:rPr>
                <w:rFonts w:cs="Arial"/>
                <w:i/>
                <w:szCs w:val="22"/>
                <w:lang w:val="fr-CA"/>
              </w:rPr>
              <w:t>Loi de 1992 sur la prise de décisions au nom d’autrui</w:t>
            </w:r>
            <w:r w:rsidRPr="004C2DF8">
              <w:rPr>
                <w:rFonts w:cs="Arial"/>
                <w:szCs w:val="22"/>
                <w:lang w:val="fr-CA"/>
              </w:rPr>
              <w:t xml:space="preserve">, </w:t>
            </w:r>
            <w:r>
              <w:rPr>
                <w:rFonts w:cs="Arial"/>
                <w:szCs w:val="22"/>
                <w:lang w:val="fr-CA"/>
              </w:rPr>
              <w:t xml:space="preserve">selon laquelle le tribunal pourrait ne pas avoir la compétence nécessaire pour ordonner la production de </w:t>
            </w:r>
            <w:r w:rsidR="00AF07E3">
              <w:rPr>
                <w:rFonts w:cs="Arial"/>
                <w:szCs w:val="22"/>
                <w:lang w:val="fr-CA"/>
              </w:rPr>
              <w:t>documents médicaux</w:t>
            </w:r>
            <w:r w:rsidR="00760652">
              <w:rPr>
                <w:rFonts w:cs="Arial"/>
                <w:szCs w:val="22"/>
                <w:lang w:val="fr-CA"/>
              </w:rPr>
              <w:t>,</w:t>
            </w:r>
            <w:r>
              <w:rPr>
                <w:rFonts w:cs="Arial"/>
                <w:szCs w:val="22"/>
                <w:lang w:val="fr-CA"/>
              </w:rPr>
              <w:t xml:space="preserve"> contrairement aux souhaits du patient</w:t>
            </w:r>
            <w:r w:rsidRPr="004C2DF8">
              <w:rPr>
                <w:rFonts w:cs="Arial"/>
                <w:szCs w:val="22"/>
                <w:lang w:val="fr-CA"/>
              </w:rPr>
              <w:t xml:space="preserve">. </w:t>
            </w:r>
            <w:r>
              <w:rPr>
                <w:rFonts w:cs="Arial"/>
                <w:szCs w:val="22"/>
                <w:lang w:val="fr-CA"/>
              </w:rPr>
              <w:t xml:space="preserve">Voir la décision rendue par le juge </w:t>
            </w:r>
            <w:r w:rsidRPr="004C2DF8">
              <w:rPr>
                <w:rFonts w:cs="Arial"/>
                <w:szCs w:val="22"/>
                <w:lang w:val="fr-CA"/>
              </w:rPr>
              <w:t>Penny</w:t>
            </w:r>
            <w:r>
              <w:rPr>
                <w:rFonts w:cs="Arial"/>
                <w:szCs w:val="22"/>
                <w:lang w:val="fr-CA"/>
              </w:rPr>
              <w:t xml:space="preserve"> dans l’arrêt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Pr="004C2DF8">
              <w:rPr>
                <w:rFonts w:cs="Arial"/>
                <w:i/>
                <w:szCs w:val="22"/>
                <w:lang w:val="fr-CA"/>
              </w:rPr>
              <w:t>Beretta v</w:t>
            </w:r>
            <w:r w:rsidR="00760652">
              <w:rPr>
                <w:rFonts w:cs="Arial"/>
                <w:i/>
                <w:szCs w:val="22"/>
                <w:lang w:val="fr-CA"/>
              </w:rPr>
              <w:t>.</w:t>
            </w:r>
            <w:r w:rsidRPr="004C2DF8">
              <w:rPr>
                <w:rFonts w:cs="Arial"/>
                <w:i/>
                <w:szCs w:val="22"/>
                <w:lang w:val="fr-CA"/>
              </w:rPr>
              <w:t xml:space="preserve"> Beretta</w:t>
            </w:r>
            <w:r w:rsidRPr="004C2DF8">
              <w:rPr>
                <w:rFonts w:cs="Arial"/>
                <w:szCs w:val="22"/>
                <w:lang w:val="fr-CA"/>
              </w:rPr>
              <w:t>, 2014 ONSC 7178, a</w:t>
            </w:r>
            <w:r>
              <w:rPr>
                <w:rFonts w:cs="Arial"/>
                <w:szCs w:val="22"/>
                <w:lang w:val="fr-CA"/>
              </w:rPr>
              <w:t>u</w:t>
            </w:r>
            <w:r w:rsidRPr="004C2DF8">
              <w:rPr>
                <w:rFonts w:cs="Arial"/>
                <w:szCs w:val="22"/>
                <w:lang w:val="fr-CA"/>
              </w:rPr>
              <w:t xml:space="preserve"> par.</w:t>
            </w:r>
            <w:r>
              <w:rPr>
                <w:rFonts w:cs="Arial"/>
                <w:szCs w:val="22"/>
                <w:lang w:val="fr-CA"/>
              </w:rPr>
              <w:t> </w:t>
            </w:r>
            <w:r w:rsidRPr="004C2DF8">
              <w:rPr>
                <w:rFonts w:cs="Arial"/>
                <w:szCs w:val="22"/>
                <w:lang w:val="fr-CA"/>
              </w:rPr>
              <w:t xml:space="preserve">73. </w:t>
            </w:r>
            <w:r>
              <w:rPr>
                <w:rFonts w:cs="Arial"/>
                <w:szCs w:val="22"/>
                <w:lang w:val="fr-CA"/>
              </w:rPr>
              <w:t>Cependant</w:t>
            </w:r>
            <w:r w:rsidRPr="004C2DF8">
              <w:rPr>
                <w:rFonts w:cs="Arial"/>
                <w:szCs w:val="22"/>
                <w:lang w:val="fr-CA"/>
              </w:rPr>
              <w:t xml:space="preserve">, </w:t>
            </w:r>
            <w:r>
              <w:rPr>
                <w:rFonts w:cs="Arial"/>
                <w:szCs w:val="22"/>
                <w:lang w:val="fr-CA"/>
              </w:rPr>
              <w:t>dans l’arrêt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 w:rsidRPr="004C2DF8">
              <w:rPr>
                <w:rFonts w:cs="Arial"/>
                <w:i/>
                <w:szCs w:val="22"/>
                <w:lang w:val="fr-CA"/>
              </w:rPr>
              <w:t>Borges v</w:t>
            </w:r>
            <w:r w:rsidR="00760652">
              <w:rPr>
                <w:rFonts w:cs="Arial"/>
                <w:i/>
                <w:szCs w:val="22"/>
                <w:lang w:val="fr-CA"/>
              </w:rPr>
              <w:t>.</w:t>
            </w:r>
            <w:r w:rsidRPr="004C2DF8">
              <w:rPr>
                <w:rFonts w:cs="Arial"/>
                <w:i/>
                <w:szCs w:val="22"/>
                <w:lang w:val="fr-CA"/>
              </w:rPr>
              <w:t xml:space="preserve"> Borges</w:t>
            </w:r>
            <w:r w:rsidRPr="004C2DF8">
              <w:rPr>
                <w:rFonts w:cs="Arial"/>
                <w:szCs w:val="22"/>
                <w:lang w:val="fr-CA"/>
              </w:rPr>
              <w:t>, 2018 ONSC 3451, a</w:t>
            </w:r>
            <w:r>
              <w:rPr>
                <w:rFonts w:cs="Arial"/>
                <w:szCs w:val="22"/>
                <w:lang w:val="fr-CA"/>
              </w:rPr>
              <w:t>u</w:t>
            </w:r>
            <w:r w:rsidRPr="004C2DF8">
              <w:rPr>
                <w:rFonts w:cs="Arial"/>
                <w:szCs w:val="22"/>
                <w:lang w:val="fr-CA"/>
              </w:rPr>
              <w:t xml:space="preserve"> par. 25</w:t>
            </w:r>
            <w:r>
              <w:rPr>
                <w:rFonts w:cs="Arial"/>
                <w:szCs w:val="22"/>
                <w:lang w:val="fr-CA"/>
              </w:rPr>
              <w:t xml:space="preserve">, le tribunal a ordonné la production des </w:t>
            </w:r>
            <w:r w:rsidR="00AF07E3">
              <w:rPr>
                <w:rFonts w:cs="Arial"/>
                <w:szCs w:val="22"/>
                <w:lang w:val="fr-CA"/>
              </w:rPr>
              <w:t>documents médicaux</w:t>
            </w:r>
            <w:r>
              <w:rPr>
                <w:rFonts w:cs="Arial"/>
                <w:szCs w:val="22"/>
                <w:lang w:val="fr-CA"/>
              </w:rPr>
              <w:t xml:space="preserve"> lorsque la capacité de la personne </w:t>
            </w:r>
            <w:r w:rsidR="00BD2C9A">
              <w:rPr>
                <w:rFonts w:cs="Arial"/>
                <w:szCs w:val="22"/>
                <w:lang w:val="fr-CA"/>
              </w:rPr>
              <w:t>censément</w:t>
            </w:r>
            <w:r>
              <w:rPr>
                <w:rFonts w:cs="Arial"/>
                <w:szCs w:val="22"/>
                <w:lang w:val="fr-CA"/>
              </w:rPr>
              <w:t xml:space="preserve"> incapable est en cause dans une instance relevant de la LPDNA</w:t>
            </w:r>
            <w:r w:rsidRPr="004C2DF8">
              <w:rPr>
                <w:rFonts w:cs="Arial"/>
                <w:szCs w:val="22"/>
                <w:lang w:val="fr-CA"/>
              </w:rPr>
              <w:t>.</w:t>
            </w:r>
          </w:p>
          <w:p w14:paraId="15AA64F5" w14:textId="09166F83" w:rsidR="007F383D" w:rsidRPr="00FF4990" w:rsidRDefault="00063361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 xml:space="preserve">Les évaluateurs qui évaluent la capacité d’une personne en vertu de la </w:t>
            </w:r>
            <w:r>
              <w:rPr>
                <w:rFonts w:cs="Arial"/>
                <w:i/>
                <w:iCs/>
                <w:szCs w:val="22"/>
                <w:lang w:val="fr-CA"/>
              </w:rPr>
              <w:t>LPDNA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C27F71">
              <w:rPr>
                <w:rFonts w:cs="Arial"/>
                <w:szCs w:val="22"/>
                <w:lang w:val="fr-CA"/>
              </w:rPr>
              <w:t xml:space="preserve">peuvent avoir accès à des </w:t>
            </w:r>
            <w:r w:rsidR="007A00B4" w:rsidRPr="007A00B4">
              <w:rPr>
                <w:rFonts w:cs="Arial"/>
                <w:szCs w:val="22"/>
                <w:lang w:val="fr-CA"/>
              </w:rPr>
              <w:t xml:space="preserve">renseignements personnels sur la </w:t>
            </w:r>
            <w:r w:rsidR="007A00B4" w:rsidRPr="007A00B4">
              <w:rPr>
                <w:rFonts w:cs="Arial"/>
                <w:szCs w:val="22"/>
                <w:lang w:val="fr-CA"/>
              </w:rPr>
              <w:lastRenderedPageBreak/>
              <w:t xml:space="preserve">santé </w:t>
            </w:r>
            <w:r>
              <w:rPr>
                <w:rFonts w:cs="Arial"/>
                <w:szCs w:val="22"/>
                <w:lang w:val="fr-CA"/>
              </w:rPr>
              <w:t>aux termes de l’al. </w:t>
            </w:r>
            <w:r w:rsidR="00ED7724" w:rsidRPr="00FF4990">
              <w:rPr>
                <w:rFonts w:cs="Arial"/>
                <w:szCs w:val="22"/>
                <w:lang w:val="fr-CA"/>
              </w:rPr>
              <w:t>43</w:t>
            </w:r>
            <w:r w:rsidR="00760652">
              <w:rPr>
                <w:rFonts w:cs="Arial"/>
                <w:szCs w:val="22"/>
                <w:lang w:val="fr-CA"/>
              </w:rPr>
              <w:t xml:space="preserve"> </w:t>
            </w:r>
            <w:r w:rsidR="00ED7724" w:rsidRPr="00FF4990">
              <w:rPr>
                <w:rFonts w:cs="Arial"/>
                <w:szCs w:val="22"/>
                <w:lang w:val="fr-CA"/>
              </w:rPr>
              <w:t>(1)</w:t>
            </w:r>
            <w:r w:rsidR="00760652">
              <w:rPr>
                <w:rFonts w:cs="Arial"/>
                <w:szCs w:val="22"/>
                <w:lang w:val="fr-CA"/>
              </w:rPr>
              <w:t xml:space="preserve"> 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a) </w:t>
            </w:r>
            <w:r>
              <w:rPr>
                <w:rFonts w:cs="Arial"/>
                <w:szCs w:val="22"/>
                <w:lang w:val="fr-CA"/>
              </w:rPr>
              <w:t>de la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  <w:r w:rsidRPr="00063361">
              <w:rPr>
                <w:rFonts w:cs="Arial"/>
                <w:i/>
                <w:iCs/>
                <w:szCs w:val="22"/>
                <w:lang w:val="fr-CA"/>
              </w:rPr>
              <w:t>Loi de 2004 sur la protection des renseignements personnels sur la santé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, </w:t>
            </w:r>
            <w:r>
              <w:rPr>
                <w:rFonts w:cs="Arial"/>
                <w:szCs w:val="22"/>
                <w:lang w:val="fr-CA"/>
              </w:rPr>
              <w:t>L</w:t>
            </w:r>
            <w:r w:rsidR="00ED7724" w:rsidRPr="00FF4990">
              <w:rPr>
                <w:rFonts w:cs="Arial"/>
                <w:szCs w:val="22"/>
                <w:lang w:val="fr-CA"/>
              </w:rPr>
              <w:t>.O. 2004, c</w:t>
            </w:r>
            <w:r>
              <w:rPr>
                <w:rFonts w:cs="Arial"/>
                <w:szCs w:val="22"/>
                <w:lang w:val="fr-CA"/>
              </w:rPr>
              <w:t>hap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. 3, </w:t>
            </w:r>
            <w:r>
              <w:rPr>
                <w:rFonts w:cs="Arial"/>
                <w:szCs w:val="22"/>
                <w:lang w:val="fr-CA"/>
              </w:rPr>
              <w:t>ann</w:t>
            </w:r>
            <w:r w:rsidR="00ED7724" w:rsidRPr="00FF4990">
              <w:rPr>
                <w:rFonts w:cs="Arial"/>
                <w:szCs w:val="22"/>
                <w:lang w:val="fr-CA"/>
              </w:rPr>
              <w:t>. A.</w:t>
            </w:r>
          </w:p>
        </w:tc>
      </w:tr>
      <w:tr w:rsidR="00C25B4E" w:rsidRPr="00FF4990" w14:paraId="6E017ABC" w14:textId="77777777" w:rsidTr="0063492D">
        <w:tc>
          <w:tcPr>
            <w:tcW w:w="3438" w:type="dxa"/>
          </w:tcPr>
          <w:p w14:paraId="3C31C8F1" w14:textId="71797053" w:rsidR="00D32685" w:rsidRPr="00FF4990" w:rsidRDefault="00F06165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lastRenderedPageBreak/>
              <w:t>Documents financiers</w:t>
            </w:r>
          </w:p>
        </w:tc>
        <w:tc>
          <w:tcPr>
            <w:tcW w:w="6300" w:type="dxa"/>
          </w:tcPr>
          <w:p w14:paraId="5CF6A4A2" w14:textId="2BF9BCC9" w:rsidR="00D32685" w:rsidRPr="00FF4990" w:rsidRDefault="003B6473" w:rsidP="00A272A6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BA4E16" w:rsidRPr="00FF4990">
              <w:rPr>
                <w:rFonts w:cs="Arial"/>
                <w:szCs w:val="22"/>
                <w:lang w:val="fr-CA"/>
              </w:rPr>
              <w:t>[</w:t>
            </w:r>
            <w:r w:rsidR="00BA4E16">
              <w:rPr>
                <w:rFonts w:cs="Arial"/>
                <w:szCs w:val="22"/>
                <w:lang w:val="fr-CA"/>
              </w:rPr>
              <w:t>l’avocat</w:t>
            </w:r>
            <w:r w:rsidR="00BA4E16" w:rsidRPr="00FF4990">
              <w:rPr>
                <w:rFonts w:cs="Arial"/>
                <w:szCs w:val="22"/>
                <w:lang w:val="fr-CA"/>
              </w:rPr>
              <w:t>/</w:t>
            </w:r>
            <w:r w:rsidR="00BA4E16">
              <w:rPr>
                <w:rFonts w:cs="Arial"/>
                <w:szCs w:val="22"/>
                <w:lang w:val="fr-CA"/>
              </w:rPr>
              <w:t>l’avocat nommé en vertu de l’art</w:t>
            </w:r>
            <w:r w:rsidR="00BA4E16" w:rsidRPr="00FF4990">
              <w:rPr>
                <w:rFonts w:cs="Arial"/>
                <w:szCs w:val="22"/>
                <w:lang w:val="fr-CA"/>
              </w:rPr>
              <w:t>. 3]</w:t>
            </w:r>
            <w:r w:rsidR="00BA4E16">
              <w:rPr>
                <w:rFonts w:cs="Arial"/>
                <w:szCs w:val="22"/>
                <w:lang w:val="fr-CA"/>
              </w:rPr>
              <w:t xml:space="preserve"> reçoive, à la demande de l’avocat nommé en vertu de l’article </w:t>
            </w:r>
            <w:r w:rsidR="00BA4E16" w:rsidRPr="00FF4990">
              <w:rPr>
                <w:rFonts w:cs="Arial"/>
                <w:szCs w:val="22"/>
                <w:lang w:val="fr-CA"/>
              </w:rPr>
              <w:t>3,</w:t>
            </w:r>
            <w:r w:rsidR="00BA4E16">
              <w:rPr>
                <w:rFonts w:cs="Arial"/>
                <w:szCs w:val="22"/>
                <w:lang w:val="fr-CA"/>
              </w:rPr>
              <w:t xml:space="preserve"> tous les documents bancaires</w:t>
            </w:r>
            <w:r w:rsidR="00BF7C49">
              <w:rPr>
                <w:rFonts w:cs="Arial"/>
                <w:szCs w:val="22"/>
                <w:lang w:val="fr-CA"/>
              </w:rPr>
              <w:t xml:space="preserve"> et </w:t>
            </w:r>
            <w:r w:rsidR="00BA4E16">
              <w:rPr>
                <w:rFonts w:cs="Arial"/>
                <w:szCs w:val="22"/>
                <w:lang w:val="fr-CA"/>
              </w:rPr>
              <w:t xml:space="preserve">de placement </w:t>
            </w:r>
            <w:r w:rsidR="00BF7C49">
              <w:rPr>
                <w:rFonts w:cs="Arial"/>
                <w:szCs w:val="22"/>
                <w:lang w:val="fr-CA"/>
              </w:rPr>
              <w:t>et autres documents financiers</w:t>
            </w:r>
            <w:r w:rsidR="00ED7724" w:rsidRPr="00FF4990">
              <w:rPr>
                <w:rFonts w:cs="Arial"/>
                <w:szCs w:val="22"/>
                <w:lang w:val="fr-CA"/>
              </w:rPr>
              <w:t>,</w:t>
            </w:r>
            <w:r w:rsidR="00027AA1">
              <w:rPr>
                <w:rFonts w:cs="Arial"/>
                <w:szCs w:val="22"/>
                <w:lang w:val="fr-CA"/>
              </w:rPr>
              <w:t xml:space="preserve"> y compris les relevés bancaires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, </w:t>
            </w:r>
            <w:r w:rsidR="00027AA1">
              <w:rPr>
                <w:rFonts w:cs="Arial"/>
                <w:szCs w:val="22"/>
                <w:lang w:val="fr-CA"/>
              </w:rPr>
              <w:t>relatifs à tout compte bancaire, compte de placement</w:t>
            </w:r>
            <w:r w:rsidR="00ED7724" w:rsidRPr="00FF4990">
              <w:rPr>
                <w:rFonts w:cs="Arial"/>
                <w:szCs w:val="22"/>
                <w:lang w:val="fr-CA"/>
              </w:rPr>
              <w:t>,</w:t>
            </w:r>
            <w:r w:rsidR="00027AA1">
              <w:rPr>
                <w:rFonts w:cs="Arial"/>
                <w:szCs w:val="22"/>
                <w:lang w:val="fr-CA"/>
              </w:rPr>
              <w:t xml:space="preserve"> compte de carte de crédit ou placement de quelque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nature </w:t>
            </w:r>
            <w:r w:rsidR="00027AA1">
              <w:rPr>
                <w:rFonts w:cs="Arial"/>
                <w:szCs w:val="22"/>
                <w:lang w:val="fr-CA"/>
              </w:rPr>
              <w:t xml:space="preserve">à l’égard duquel </w:t>
            </w:r>
            <w:r w:rsidR="00ED7724" w:rsidRPr="00FF4990">
              <w:rPr>
                <w:rFonts w:cs="Arial"/>
                <w:szCs w:val="22"/>
                <w:lang w:val="fr-CA"/>
              </w:rPr>
              <w:t>[</w:t>
            </w:r>
            <w:r w:rsidR="00027AA1">
              <w:rPr>
                <w:rFonts w:cs="Arial"/>
                <w:szCs w:val="22"/>
                <w:lang w:val="fr-CA"/>
              </w:rPr>
              <w:t>la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person</w:t>
            </w:r>
            <w:r w:rsidR="00027AA1">
              <w:rPr>
                <w:rFonts w:cs="Arial"/>
                <w:szCs w:val="22"/>
                <w:lang w:val="fr-CA"/>
              </w:rPr>
              <w:t>ne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] </w:t>
            </w:r>
            <w:r w:rsidR="00027AA1">
              <w:rPr>
                <w:rFonts w:cs="Arial"/>
                <w:szCs w:val="22"/>
                <w:lang w:val="fr-CA"/>
              </w:rPr>
              <w:t>est un titulaire de compte nommé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(</w:t>
            </w:r>
            <w:r w:rsidR="00027AA1">
              <w:rPr>
                <w:rFonts w:cs="Arial"/>
                <w:szCs w:val="22"/>
                <w:lang w:val="fr-CA"/>
              </w:rPr>
              <w:t>conjointement ou non</w:t>
            </w:r>
            <w:r w:rsidR="00ED7724" w:rsidRPr="00FF4990">
              <w:rPr>
                <w:rFonts w:cs="Arial"/>
                <w:szCs w:val="22"/>
                <w:lang w:val="fr-CA"/>
              </w:rPr>
              <w:t>),</w:t>
            </w:r>
            <w:r w:rsidR="00027AA1">
              <w:rPr>
                <w:rFonts w:cs="Arial"/>
                <w:szCs w:val="22"/>
                <w:lang w:val="fr-CA"/>
              </w:rPr>
              <w:t xml:space="preserve"> un titulaire de carte nommé</w:t>
            </w:r>
            <w:r w:rsidR="00ED7724" w:rsidRPr="00FF4990">
              <w:rPr>
                <w:rFonts w:cs="Arial"/>
                <w:szCs w:val="22"/>
                <w:lang w:val="fr-CA"/>
              </w:rPr>
              <w:t>,</w:t>
            </w:r>
            <w:r w:rsidR="00027AA1">
              <w:rPr>
                <w:rFonts w:cs="Arial"/>
                <w:szCs w:val="22"/>
                <w:lang w:val="fr-CA"/>
              </w:rPr>
              <w:t xml:space="preserve"> un cotisant nommé ou un bénéficiaire nommé à partir du </w:t>
            </w:r>
            <w:r w:rsidR="00ED7724" w:rsidRPr="00FF4990">
              <w:rPr>
                <w:rFonts w:cs="Arial"/>
                <w:szCs w:val="22"/>
                <w:lang w:val="fr-CA"/>
              </w:rPr>
              <w:t>[date],</w:t>
            </w:r>
            <w:r w:rsidR="00027AA1">
              <w:rPr>
                <w:rFonts w:cs="Arial"/>
                <w:szCs w:val="22"/>
                <w:lang w:val="fr-CA"/>
              </w:rPr>
              <w:t xml:space="preserve"> de toute personne, </w:t>
            </w:r>
            <w:r w:rsidR="00ED7724" w:rsidRPr="00FF4990">
              <w:rPr>
                <w:rFonts w:cs="Arial"/>
                <w:szCs w:val="22"/>
                <w:lang w:val="fr-CA"/>
              </w:rPr>
              <w:t>institution</w:t>
            </w:r>
            <w:r w:rsidR="00027AA1">
              <w:rPr>
                <w:rFonts w:cs="Arial"/>
                <w:szCs w:val="22"/>
                <w:lang w:val="fr-CA"/>
              </w:rPr>
              <w:t xml:space="preserve"> financière ou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organi</w:t>
            </w:r>
            <w:r w:rsidR="00027AA1">
              <w:rPr>
                <w:rFonts w:cs="Arial"/>
                <w:szCs w:val="22"/>
                <w:lang w:val="fr-CA"/>
              </w:rPr>
              <w:t>s</w:t>
            </w:r>
            <w:r w:rsidR="00ED7724" w:rsidRPr="00FF4990">
              <w:rPr>
                <w:rFonts w:cs="Arial"/>
                <w:szCs w:val="22"/>
                <w:lang w:val="fr-CA"/>
              </w:rPr>
              <w:t>ation</w:t>
            </w:r>
            <w:r w:rsidR="00027AA1">
              <w:rPr>
                <w:rFonts w:cs="Arial"/>
                <w:szCs w:val="22"/>
                <w:lang w:val="fr-CA"/>
              </w:rPr>
              <w:t xml:space="preserve"> en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possession</w:t>
            </w:r>
            <w:r w:rsidR="00027AA1">
              <w:rPr>
                <w:rFonts w:cs="Arial"/>
                <w:szCs w:val="22"/>
                <w:lang w:val="fr-CA"/>
              </w:rPr>
              <w:t xml:space="preserve"> de ces </w:t>
            </w:r>
            <w:r w:rsidR="00ED7724" w:rsidRPr="00FF4990">
              <w:rPr>
                <w:rFonts w:cs="Arial"/>
                <w:szCs w:val="22"/>
                <w:lang w:val="fr-CA"/>
              </w:rPr>
              <w:t>documents.</w:t>
            </w:r>
            <w:r w:rsidR="00B176D7"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027AA1">
              <w:rPr>
                <w:rFonts w:cs="Arial"/>
                <w:szCs w:val="22"/>
                <w:lang w:val="fr-CA"/>
              </w:rPr>
              <w:t>Les</w:t>
            </w:r>
            <w:r w:rsidR="00027AA1" w:rsidRPr="00FF4990">
              <w:rPr>
                <w:rFonts w:cs="Arial"/>
                <w:szCs w:val="22"/>
                <w:lang w:val="fr-CA"/>
              </w:rPr>
              <w:t xml:space="preserve"> documents</w:t>
            </w:r>
            <w:r w:rsidR="00027AA1">
              <w:rPr>
                <w:rFonts w:cs="Arial"/>
                <w:szCs w:val="22"/>
                <w:lang w:val="fr-CA"/>
              </w:rPr>
              <w:t xml:space="preserve"> et renseignements fournis aux termes du présent </w:t>
            </w:r>
            <w:r w:rsidR="00027AA1" w:rsidRPr="00FF4990">
              <w:rPr>
                <w:rFonts w:cs="Arial"/>
                <w:szCs w:val="22"/>
                <w:lang w:val="fr-CA"/>
              </w:rPr>
              <w:t>paragraph</w:t>
            </w:r>
            <w:r w:rsidR="00027AA1">
              <w:rPr>
                <w:rFonts w:cs="Arial"/>
                <w:szCs w:val="22"/>
                <w:lang w:val="fr-CA"/>
              </w:rPr>
              <w:t>e sont réputés être privilégiés et aucune autre partie ne peut exiger qu’ils soient présentés en preuve sans l’autorisation du tribunal</w:t>
            </w:r>
            <w:r w:rsidR="00027AA1" w:rsidRPr="00FF4990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7D16C7F2" w14:textId="43DB8398" w:rsidR="00D32685" w:rsidRPr="00FF4990" w:rsidRDefault="000730B5" w:rsidP="002D4F52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Dans les situations où les documents financiers pertinents</w:t>
            </w:r>
            <w:r>
              <w:t xml:space="preserve"> </w:t>
            </w:r>
            <w:r w:rsidRPr="000730B5">
              <w:rPr>
                <w:rFonts w:cs="Arial"/>
                <w:szCs w:val="22"/>
                <w:lang w:val="fr-CA"/>
              </w:rPr>
              <w:t>sont en la possession, sous l’autorité ou sous la garde</w:t>
            </w:r>
            <w:r>
              <w:rPr>
                <w:rFonts w:cs="Arial"/>
                <w:szCs w:val="22"/>
                <w:lang w:val="fr-CA"/>
              </w:rPr>
              <w:t xml:space="preserve"> d’un procureur ou d’un tuteur aux biens plutôt que d’une </w:t>
            </w:r>
            <w:r w:rsidR="00ED7724" w:rsidRPr="00FF4990">
              <w:rPr>
                <w:rFonts w:cs="Arial"/>
                <w:szCs w:val="22"/>
                <w:lang w:val="fr-CA"/>
              </w:rPr>
              <w:t>institution</w:t>
            </w:r>
            <w:r>
              <w:rPr>
                <w:rFonts w:cs="Arial"/>
                <w:szCs w:val="22"/>
                <w:lang w:val="fr-CA"/>
              </w:rPr>
              <w:t xml:space="preserve"> financière</w:t>
            </w:r>
            <w:r w:rsidR="00ED7724" w:rsidRPr="00FF4990">
              <w:rPr>
                <w:rFonts w:cs="Arial"/>
                <w:szCs w:val="22"/>
                <w:lang w:val="fr-CA"/>
              </w:rPr>
              <w:t>,</w:t>
            </w:r>
            <w:r w:rsidR="00FF745D">
              <w:rPr>
                <w:rFonts w:cs="Arial"/>
                <w:szCs w:val="22"/>
                <w:lang w:val="fr-CA"/>
              </w:rPr>
              <w:t xml:space="preserve"> le paragraphe</w:t>
            </w:r>
            <w:r w:rsidR="00FF745D" w:rsidRPr="004C2DF8">
              <w:rPr>
                <w:rFonts w:cs="Arial"/>
                <w:szCs w:val="22"/>
                <w:lang w:val="fr-CA"/>
              </w:rPr>
              <w:t xml:space="preserve"> 32</w:t>
            </w:r>
            <w:r w:rsidR="00760652">
              <w:rPr>
                <w:rFonts w:cs="Arial"/>
                <w:szCs w:val="22"/>
                <w:lang w:val="fr-CA"/>
              </w:rPr>
              <w:t xml:space="preserve"> </w:t>
            </w:r>
            <w:r w:rsidR="00FF745D" w:rsidRPr="004C2DF8">
              <w:rPr>
                <w:rFonts w:cs="Arial"/>
                <w:szCs w:val="22"/>
                <w:lang w:val="fr-CA"/>
              </w:rPr>
              <w:t xml:space="preserve">(6) </w:t>
            </w:r>
            <w:r w:rsidR="00FF745D">
              <w:rPr>
                <w:rFonts w:cs="Arial"/>
                <w:szCs w:val="22"/>
                <w:lang w:val="fr-CA"/>
              </w:rPr>
              <w:t>de la</w:t>
            </w:r>
            <w:r w:rsidR="00FF745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FF745D" w:rsidRPr="00E73BFD">
              <w:rPr>
                <w:rFonts w:cs="Arial"/>
                <w:i/>
                <w:szCs w:val="22"/>
                <w:lang w:val="fr-CA"/>
              </w:rPr>
              <w:t>Loi de 1992 sur la prise de décisions au nom d’autrui</w:t>
            </w:r>
            <w:r w:rsidR="00FF745D">
              <w:rPr>
                <w:rFonts w:cs="Arial"/>
                <w:szCs w:val="22"/>
                <w:lang w:val="fr-CA"/>
              </w:rPr>
              <w:t xml:space="preserve"> prévoit que le procureur ou tuteur a une o</w:t>
            </w:r>
            <w:r w:rsidR="00FF745D" w:rsidRPr="004C2DF8">
              <w:rPr>
                <w:rFonts w:cs="Arial"/>
                <w:szCs w:val="22"/>
                <w:lang w:val="fr-CA"/>
              </w:rPr>
              <w:t>bligation</w:t>
            </w:r>
            <w:r w:rsidR="00FF745D">
              <w:rPr>
                <w:rFonts w:cs="Arial"/>
                <w:szCs w:val="22"/>
                <w:lang w:val="fr-CA"/>
              </w:rPr>
              <w:t xml:space="preserve"> fiduciaire</w:t>
            </w:r>
            <w:r w:rsidR="00FF745D" w:rsidRPr="004C2DF8">
              <w:rPr>
                <w:rFonts w:cs="Arial"/>
                <w:szCs w:val="22"/>
                <w:lang w:val="fr-CA"/>
              </w:rPr>
              <w:t xml:space="preserve"> </w:t>
            </w:r>
            <w:r w:rsidR="00FF745D">
              <w:rPr>
                <w:rFonts w:cs="Arial"/>
                <w:szCs w:val="22"/>
                <w:lang w:val="fr-CA"/>
              </w:rPr>
              <w:t>d</w:t>
            </w:r>
            <w:r w:rsidR="00FF745D" w:rsidRPr="00E73BFD">
              <w:rPr>
                <w:rFonts w:cs="Arial"/>
                <w:szCs w:val="22"/>
                <w:lang w:val="fr-CA"/>
              </w:rPr>
              <w:t>e ten</w:t>
            </w:r>
            <w:r w:rsidR="00FF745D">
              <w:rPr>
                <w:rFonts w:cs="Arial"/>
                <w:szCs w:val="22"/>
                <w:lang w:val="fr-CA"/>
              </w:rPr>
              <w:t xml:space="preserve">ir </w:t>
            </w:r>
            <w:r w:rsidR="00FF745D" w:rsidRPr="00E73BFD">
              <w:rPr>
                <w:rFonts w:cs="Arial"/>
                <w:szCs w:val="22"/>
                <w:lang w:val="fr-CA"/>
              </w:rPr>
              <w:t>des comptes de toutes les opérations</w:t>
            </w:r>
            <w:r w:rsidR="00FF745D" w:rsidRPr="004C2DF8">
              <w:rPr>
                <w:rFonts w:cs="Arial"/>
                <w:szCs w:val="22"/>
                <w:lang w:val="fr-CA"/>
              </w:rPr>
              <w:t xml:space="preserve">. </w:t>
            </w:r>
            <w:r w:rsidR="00FF745D">
              <w:rPr>
                <w:rFonts w:cs="Arial"/>
                <w:szCs w:val="22"/>
                <w:lang w:val="fr-CA"/>
              </w:rPr>
              <w:t>De plus, l’ajout d’un enfant adulte au compte d’un parent âgé est suffisant pour créer une obligation fiduciaire à l’égard du compte du parent</w:t>
            </w:r>
            <w:r w:rsidR="00FF745D" w:rsidRPr="004C2DF8">
              <w:rPr>
                <w:rFonts w:cs="Arial"/>
                <w:szCs w:val="22"/>
                <w:lang w:val="fr-CA"/>
              </w:rPr>
              <w:t>.</w:t>
            </w:r>
            <w:r w:rsidR="00FF745D">
              <w:rPr>
                <w:rFonts w:cs="Arial"/>
                <w:szCs w:val="22"/>
                <w:lang w:val="fr-CA"/>
              </w:rPr>
              <w:t xml:space="preserve"> Voir </w:t>
            </w:r>
            <w:r w:rsidR="00FF745D" w:rsidRPr="004C2DF8">
              <w:rPr>
                <w:rFonts w:cs="Arial"/>
                <w:i/>
                <w:szCs w:val="22"/>
                <w:lang w:val="fr-CA"/>
              </w:rPr>
              <w:t>Borges v</w:t>
            </w:r>
            <w:r w:rsidR="00760652">
              <w:rPr>
                <w:rFonts w:cs="Arial"/>
                <w:i/>
                <w:szCs w:val="22"/>
                <w:lang w:val="fr-CA"/>
              </w:rPr>
              <w:t>.</w:t>
            </w:r>
            <w:r w:rsidR="00FF745D" w:rsidRPr="004C2DF8">
              <w:rPr>
                <w:rFonts w:cs="Arial"/>
                <w:i/>
                <w:szCs w:val="22"/>
                <w:lang w:val="fr-CA"/>
              </w:rPr>
              <w:t xml:space="preserve"> Borges</w:t>
            </w:r>
            <w:r w:rsidR="00FF745D" w:rsidRPr="004C2DF8">
              <w:rPr>
                <w:rFonts w:cs="Arial"/>
                <w:szCs w:val="22"/>
                <w:lang w:val="fr-CA"/>
              </w:rPr>
              <w:t>, 2018 ONSC 3451</w:t>
            </w:r>
            <w:r w:rsidR="00760652">
              <w:rPr>
                <w:rFonts w:cs="Arial"/>
                <w:szCs w:val="22"/>
                <w:lang w:val="fr-CA"/>
              </w:rPr>
              <w:t>,</w:t>
            </w:r>
            <w:r w:rsidR="00FF745D" w:rsidRPr="004C2DF8">
              <w:rPr>
                <w:rFonts w:cs="Arial"/>
                <w:szCs w:val="22"/>
                <w:lang w:val="fr-CA"/>
              </w:rPr>
              <w:t xml:space="preserve"> a</w:t>
            </w:r>
            <w:r w:rsidR="00FF745D">
              <w:rPr>
                <w:rFonts w:cs="Arial"/>
                <w:szCs w:val="22"/>
                <w:lang w:val="fr-CA"/>
              </w:rPr>
              <w:t>u</w:t>
            </w:r>
            <w:r w:rsidR="00FF745D" w:rsidRPr="004C2DF8">
              <w:rPr>
                <w:rFonts w:cs="Arial"/>
                <w:szCs w:val="22"/>
                <w:lang w:val="fr-CA"/>
              </w:rPr>
              <w:t xml:space="preserve"> par. 27.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</w:p>
        </w:tc>
      </w:tr>
      <w:tr w:rsidR="00C25B4E" w:rsidRPr="00FF4990" w14:paraId="0E4B6F1E" w14:textId="77777777" w:rsidTr="002A5897">
        <w:tc>
          <w:tcPr>
            <w:tcW w:w="13788" w:type="dxa"/>
            <w:gridSpan w:val="3"/>
          </w:tcPr>
          <w:p w14:paraId="49CE66D2" w14:textId="5F49DA99" w:rsidR="00D32685" w:rsidRPr="00FF4990" w:rsidRDefault="00687735" w:rsidP="00D32685">
            <w:pPr>
              <w:jc w:val="center"/>
              <w:rPr>
                <w:rFonts w:cs="Arial"/>
                <w:b/>
                <w:i/>
                <w:szCs w:val="22"/>
                <w:lang w:val="fr-CA"/>
              </w:rPr>
            </w:pPr>
            <w:r>
              <w:rPr>
                <w:rFonts w:cs="Arial"/>
                <w:b/>
                <w:i/>
                <w:szCs w:val="22"/>
                <w:lang w:val="fr-CA"/>
              </w:rPr>
              <w:t>Conditions supplémentaires</w:t>
            </w:r>
            <w:r w:rsidR="00ED7724" w:rsidRPr="00FF4990">
              <w:rPr>
                <w:rFonts w:cs="Arial"/>
                <w:b/>
                <w:i/>
                <w:szCs w:val="22"/>
                <w:lang w:val="fr-CA"/>
              </w:rPr>
              <w:t xml:space="preserve"> (</w:t>
            </w:r>
            <w:r>
              <w:rPr>
                <w:rFonts w:cs="Arial"/>
                <w:b/>
                <w:i/>
                <w:szCs w:val="22"/>
                <w:lang w:val="fr-CA"/>
              </w:rPr>
              <w:t>s’il y a lieu</w:t>
            </w:r>
            <w:r w:rsidR="00ED7724" w:rsidRPr="00FF4990">
              <w:rPr>
                <w:rFonts w:cs="Arial"/>
                <w:b/>
                <w:i/>
                <w:szCs w:val="22"/>
                <w:lang w:val="fr-CA"/>
              </w:rPr>
              <w:t>)</w:t>
            </w:r>
          </w:p>
        </w:tc>
      </w:tr>
      <w:tr w:rsidR="00C25B4E" w:rsidRPr="00FF4990" w14:paraId="79D6324E" w14:textId="77777777" w:rsidTr="0063492D">
        <w:tc>
          <w:tcPr>
            <w:tcW w:w="3438" w:type="dxa"/>
          </w:tcPr>
          <w:p w14:paraId="7EF289CB" w14:textId="02772350" w:rsidR="00D32685" w:rsidRPr="00FF4990" w:rsidRDefault="00ED7724" w:rsidP="00D32685">
            <w:pPr>
              <w:rPr>
                <w:rFonts w:cs="Arial"/>
                <w:szCs w:val="22"/>
                <w:lang w:val="fr-CA"/>
              </w:rPr>
            </w:pPr>
            <w:r w:rsidRPr="00FF4990">
              <w:rPr>
                <w:rFonts w:cs="Arial"/>
                <w:szCs w:val="22"/>
                <w:lang w:val="fr-CA"/>
              </w:rPr>
              <w:t>Ajourn</w:t>
            </w:r>
            <w:r w:rsidR="002B0AA4">
              <w:rPr>
                <w:rFonts w:cs="Arial"/>
                <w:szCs w:val="22"/>
                <w:lang w:val="fr-CA"/>
              </w:rPr>
              <w:t>e</w:t>
            </w:r>
            <w:r w:rsidRPr="00FF4990">
              <w:rPr>
                <w:rFonts w:cs="Arial"/>
                <w:szCs w:val="22"/>
                <w:lang w:val="fr-CA"/>
              </w:rPr>
              <w:t>ment</w:t>
            </w:r>
          </w:p>
        </w:tc>
        <w:tc>
          <w:tcPr>
            <w:tcW w:w="6300" w:type="dxa"/>
          </w:tcPr>
          <w:p w14:paraId="399D1DEB" w14:textId="750816D8" w:rsidR="00D32685" w:rsidRPr="00FF4990" w:rsidRDefault="003B6473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="002B7595">
              <w:rPr>
                <w:rFonts w:cs="Arial"/>
                <w:szCs w:val="22"/>
                <w:lang w:val="fr-CA"/>
              </w:rPr>
              <w:t xml:space="preserve"> le reste de la présente requête soit ajourné au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_________</w:t>
            </w:r>
            <w:r w:rsidR="00A272A6" w:rsidRPr="00FF4990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5B918CDF" w14:textId="77777777" w:rsidR="00D32685" w:rsidRPr="00FF4990" w:rsidRDefault="00D32685" w:rsidP="00D32685">
            <w:pPr>
              <w:rPr>
                <w:rFonts w:cs="Arial"/>
                <w:szCs w:val="22"/>
                <w:lang w:val="fr-CA"/>
              </w:rPr>
            </w:pPr>
          </w:p>
        </w:tc>
      </w:tr>
      <w:tr w:rsidR="00C25B4E" w:rsidRPr="00FF4990" w14:paraId="2E47458B" w14:textId="77777777" w:rsidTr="0063492D">
        <w:tc>
          <w:tcPr>
            <w:tcW w:w="3438" w:type="dxa"/>
          </w:tcPr>
          <w:p w14:paraId="2954DEBC" w14:textId="5C17C871" w:rsidR="00D32685" w:rsidRPr="00FF4990" w:rsidRDefault="002B0AA4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Transfert de la requête à un autre tribunal</w:t>
            </w:r>
          </w:p>
        </w:tc>
        <w:tc>
          <w:tcPr>
            <w:tcW w:w="6300" w:type="dxa"/>
          </w:tcPr>
          <w:p w14:paraId="37F1AAA3" w14:textId="1100522E" w:rsidR="00D32685" w:rsidRPr="00FF4990" w:rsidRDefault="003B6473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, </w:t>
            </w:r>
            <w:r w:rsidR="004E77B1">
              <w:rPr>
                <w:rFonts w:cs="Arial"/>
                <w:szCs w:val="22"/>
                <w:lang w:val="fr-CA"/>
              </w:rPr>
              <w:t xml:space="preserve">malgré le transfert de la présente requête au </w:t>
            </w:r>
            <w:r w:rsidR="00ED7724" w:rsidRPr="00FF4990">
              <w:rPr>
                <w:rFonts w:cs="Arial"/>
                <w:szCs w:val="22"/>
                <w:lang w:val="fr-CA"/>
              </w:rPr>
              <w:t>[n</w:t>
            </w:r>
            <w:r w:rsidR="004E77B1">
              <w:rPr>
                <w:rFonts w:cs="Arial"/>
                <w:szCs w:val="22"/>
                <w:lang w:val="fr-CA"/>
              </w:rPr>
              <w:t>ouveau tribunal : rôle des successions, Division de la famille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, etc.], </w:t>
            </w:r>
            <w:r w:rsidR="004E77B1">
              <w:rPr>
                <w:rFonts w:cs="Arial"/>
                <w:szCs w:val="22"/>
                <w:lang w:val="fr-CA"/>
              </w:rPr>
              <w:t xml:space="preserve">l’avocat nommé en vertu de l’article 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3 </w:t>
            </w:r>
            <w:r w:rsidR="004E77B1">
              <w:rPr>
                <w:rFonts w:cs="Arial"/>
                <w:szCs w:val="22"/>
                <w:lang w:val="fr-CA"/>
              </w:rPr>
              <w:t xml:space="preserve">continue à agir au nom de </w:t>
            </w:r>
            <w:r w:rsidR="00ED7724" w:rsidRPr="00FF4990">
              <w:rPr>
                <w:rFonts w:cs="Arial"/>
                <w:szCs w:val="22"/>
                <w:lang w:val="fr-CA"/>
              </w:rPr>
              <w:t>[</w:t>
            </w:r>
            <w:r w:rsidR="004E77B1">
              <w:rPr>
                <w:rFonts w:cs="Arial"/>
                <w:szCs w:val="22"/>
                <w:lang w:val="fr-CA"/>
              </w:rPr>
              <w:t>la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person</w:t>
            </w:r>
            <w:r w:rsidR="004E77B1">
              <w:rPr>
                <w:rFonts w:cs="Arial"/>
                <w:szCs w:val="22"/>
                <w:lang w:val="fr-CA"/>
              </w:rPr>
              <w:t>ne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] </w:t>
            </w:r>
            <w:r w:rsidR="004E77B1">
              <w:rPr>
                <w:rFonts w:cs="Arial"/>
                <w:szCs w:val="22"/>
                <w:lang w:val="fr-CA"/>
              </w:rPr>
              <w:t>relativement à la présente requête mais, par souci de clarté, à aucun autre égard</w:t>
            </w:r>
            <w:r w:rsidR="00ED7724" w:rsidRPr="00FF4990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4D2C0EF9" w14:textId="77777777" w:rsidR="00D32685" w:rsidRPr="00FF4990" w:rsidRDefault="00D32685" w:rsidP="00D32685">
            <w:pPr>
              <w:rPr>
                <w:rFonts w:cs="Arial"/>
                <w:szCs w:val="22"/>
                <w:lang w:val="fr-CA"/>
              </w:rPr>
            </w:pPr>
          </w:p>
        </w:tc>
      </w:tr>
      <w:tr w:rsidR="00C25B4E" w:rsidRPr="00FF4990" w14:paraId="32DC2472" w14:textId="77777777" w:rsidTr="0063492D">
        <w:tc>
          <w:tcPr>
            <w:tcW w:w="3438" w:type="dxa"/>
          </w:tcPr>
          <w:p w14:paraId="7F43AC3A" w14:textId="1FB582B6" w:rsidR="00D32685" w:rsidRPr="00FF4990" w:rsidRDefault="00EE583E" w:rsidP="00D32685">
            <w:pPr>
              <w:rPr>
                <w:rFonts w:cs="Arial"/>
                <w:color w:val="FF0000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lastRenderedPageBreak/>
              <w:t>Pouvoir d’exiger une reddition de comptes formelle</w:t>
            </w:r>
          </w:p>
        </w:tc>
        <w:tc>
          <w:tcPr>
            <w:tcW w:w="6300" w:type="dxa"/>
          </w:tcPr>
          <w:p w14:paraId="623318E4" w14:textId="5729BB4A" w:rsidR="00D32685" w:rsidRPr="00FF4990" w:rsidRDefault="003B6473" w:rsidP="002D4F52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075D52">
              <w:rPr>
                <w:rFonts w:cs="Arial"/>
                <w:szCs w:val="22"/>
                <w:lang w:val="fr-CA"/>
              </w:rPr>
              <w:t>l’avocat nommé en vertu de l’article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3 </w:t>
            </w:r>
            <w:r w:rsidR="00075D52">
              <w:rPr>
                <w:rFonts w:cs="Arial"/>
                <w:szCs w:val="22"/>
                <w:lang w:val="fr-CA"/>
              </w:rPr>
              <w:t xml:space="preserve">ait le pouvoir d’exiger la reddition de la totalité </w:t>
            </w:r>
            <w:r w:rsidR="00075D52" w:rsidRPr="00075D52">
              <w:rPr>
                <w:rFonts w:cs="Arial"/>
                <w:szCs w:val="22"/>
                <w:lang w:val="fr-CA"/>
              </w:rPr>
              <w:t>ou d’une partie précisée des comptes d’un procureur ou d’un tuteur aux biens</w:t>
            </w:r>
            <w:r w:rsidR="002D4F52" w:rsidRPr="00FF4990">
              <w:rPr>
                <w:rFonts w:cs="Arial"/>
                <w:szCs w:val="22"/>
                <w:lang w:val="fr-CA"/>
              </w:rPr>
              <w:t>,</w:t>
            </w:r>
            <w:r w:rsidR="00075D52">
              <w:rPr>
                <w:rFonts w:cs="Arial"/>
                <w:szCs w:val="22"/>
                <w:lang w:val="fr-CA"/>
              </w:rPr>
              <w:t xml:space="preserve"> ce pouvoir </w:t>
            </w:r>
            <w:r w:rsidR="00B417A1">
              <w:rPr>
                <w:rFonts w:cs="Arial"/>
                <w:szCs w:val="22"/>
                <w:lang w:val="fr-CA"/>
              </w:rPr>
              <w:t>devant expirer</w:t>
            </w:r>
            <w:r w:rsidR="00075D52">
              <w:rPr>
                <w:rFonts w:cs="Arial"/>
                <w:szCs w:val="22"/>
                <w:lang w:val="fr-CA"/>
              </w:rPr>
              <w:t xml:space="preserve"> </w:t>
            </w:r>
            <w:r w:rsidR="009E37B9">
              <w:rPr>
                <w:rFonts w:cs="Arial"/>
                <w:szCs w:val="22"/>
                <w:lang w:val="fr-CA"/>
              </w:rPr>
              <w:t>lors du règlement de</w:t>
            </w:r>
            <w:r w:rsidR="002D4F52" w:rsidRPr="00FF4990">
              <w:rPr>
                <w:rFonts w:cs="Arial"/>
                <w:szCs w:val="22"/>
                <w:lang w:val="fr-CA"/>
              </w:rPr>
              <w:t xml:space="preserve"> [</w:t>
            </w:r>
            <w:r w:rsidR="009E37B9">
              <w:rPr>
                <w:rFonts w:cs="Arial"/>
                <w:szCs w:val="22"/>
                <w:lang w:val="fr-CA"/>
              </w:rPr>
              <w:t>question</w:t>
            </w:r>
            <w:r w:rsidR="002D4F52" w:rsidRPr="00FF4990">
              <w:rPr>
                <w:rFonts w:cs="Arial"/>
                <w:szCs w:val="22"/>
                <w:lang w:val="fr-CA"/>
              </w:rPr>
              <w:t xml:space="preserve">] </w:t>
            </w:r>
            <w:r w:rsidR="00075D52">
              <w:rPr>
                <w:rFonts w:cs="Arial"/>
                <w:szCs w:val="22"/>
                <w:lang w:val="fr-CA"/>
              </w:rPr>
              <w:t>ou à la fin du mandat de</w:t>
            </w:r>
            <w:r w:rsidR="002D4F52" w:rsidRPr="00FF4990">
              <w:rPr>
                <w:rFonts w:cs="Arial"/>
                <w:szCs w:val="22"/>
                <w:lang w:val="fr-CA"/>
              </w:rPr>
              <w:t xml:space="preserve"> [</w:t>
            </w:r>
            <w:r w:rsidR="00075D52">
              <w:rPr>
                <w:rFonts w:cs="Arial"/>
                <w:szCs w:val="22"/>
                <w:lang w:val="fr-CA"/>
              </w:rPr>
              <w:t>l’avocat nommé en vertu de l’article</w:t>
            </w:r>
            <w:r w:rsidR="002D4F52" w:rsidRPr="00FF4990">
              <w:rPr>
                <w:rFonts w:cs="Arial"/>
                <w:szCs w:val="22"/>
                <w:lang w:val="fr-CA"/>
              </w:rPr>
              <w:t xml:space="preserve"> 3] </w:t>
            </w:r>
            <w:r w:rsidR="00075D52">
              <w:rPr>
                <w:rFonts w:cs="Arial"/>
                <w:szCs w:val="22"/>
                <w:lang w:val="fr-CA"/>
              </w:rPr>
              <w:t xml:space="preserve">comme avocat de </w:t>
            </w:r>
            <w:r w:rsidR="002D4F52" w:rsidRPr="00FF4990">
              <w:rPr>
                <w:rFonts w:cs="Arial"/>
                <w:szCs w:val="22"/>
                <w:lang w:val="fr-CA"/>
              </w:rPr>
              <w:t>[</w:t>
            </w:r>
            <w:r w:rsidR="00075D52">
              <w:rPr>
                <w:rFonts w:cs="Arial"/>
                <w:szCs w:val="22"/>
                <w:lang w:val="fr-CA"/>
              </w:rPr>
              <w:t>la personne</w:t>
            </w:r>
            <w:r w:rsidR="002D4F52" w:rsidRPr="00FF4990">
              <w:rPr>
                <w:rFonts w:cs="Arial"/>
                <w:szCs w:val="22"/>
                <w:lang w:val="fr-CA"/>
              </w:rPr>
              <w:t>]</w:t>
            </w:r>
            <w:r w:rsidR="00075D52">
              <w:rPr>
                <w:rFonts w:cs="Arial"/>
                <w:szCs w:val="22"/>
                <w:lang w:val="fr-CA"/>
              </w:rPr>
              <w:t>, selon le premier des deux événements</w:t>
            </w:r>
            <w:r w:rsidR="00B176D7" w:rsidRPr="00FF4990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5D4ECB5A" w14:textId="71B0A1C8" w:rsidR="00D32685" w:rsidRPr="00FF4990" w:rsidRDefault="00B10FAA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Compétence : art. 42</w:t>
            </w:r>
            <w:r w:rsidRPr="00FF4990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 xml:space="preserve">de la </w:t>
            </w:r>
            <w:r w:rsidRPr="004C255C">
              <w:rPr>
                <w:rFonts w:cs="Arial"/>
                <w:i/>
                <w:iCs/>
                <w:szCs w:val="22"/>
                <w:lang w:val="fr-CA"/>
              </w:rPr>
              <w:t>LPDNA</w:t>
            </w:r>
          </w:p>
        </w:tc>
      </w:tr>
      <w:tr w:rsidR="00C25B4E" w:rsidRPr="00FF4990" w14:paraId="27536CFA" w14:textId="77777777" w:rsidTr="0063492D">
        <w:tc>
          <w:tcPr>
            <w:tcW w:w="3438" w:type="dxa"/>
          </w:tcPr>
          <w:p w14:paraId="426F00B5" w14:textId="518465BB" w:rsidR="00D32685" w:rsidRPr="00FF4990" w:rsidRDefault="003C2351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Évaluation de la capacité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</w:p>
        </w:tc>
        <w:tc>
          <w:tcPr>
            <w:tcW w:w="6300" w:type="dxa"/>
          </w:tcPr>
          <w:p w14:paraId="377AEAAF" w14:textId="5D9FBC9F" w:rsidR="00D32685" w:rsidRPr="00FF4990" w:rsidRDefault="003B6473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ED7724" w:rsidRPr="00FF4990">
              <w:rPr>
                <w:rFonts w:cs="Arial"/>
                <w:szCs w:val="22"/>
                <w:lang w:val="fr-CA"/>
              </w:rPr>
              <w:t>[</w:t>
            </w:r>
            <w:r w:rsidR="00F06165">
              <w:rPr>
                <w:rFonts w:cs="Arial"/>
                <w:szCs w:val="22"/>
                <w:lang w:val="fr-CA"/>
              </w:rPr>
              <w:t>l’</w:t>
            </w:r>
            <w:r w:rsidR="00E54E0D">
              <w:rPr>
                <w:rFonts w:cs="Arial"/>
                <w:szCs w:val="22"/>
                <w:lang w:val="fr-CA"/>
              </w:rPr>
              <w:t>évaluateur</w:t>
            </w:r>
            <w:r w:rsidR="00ED7724" w:rsidRPr="00FF4990">
              <w:rPr>
                <w:rFonts w:cs="Arial"/>
                <w:szCs w:val="22"/>
                <w:lang w:val="fr-CA"/>
              </w:rPr>
              <w:t>/</w:t>
            </w:r>
            <w:r w:rsidR="00F06165">
              <w:rPr>
                <w:rFonts w:cs="Arial"/>
                <w:szCs w:val="22"/>
                <w:lang w:val="fr-CA"/>
              </w:rPr>
              <w:t xml:space="preserve">le </w:t>
            </w:r>
            <w:r w:rsidR="00E54E0D">
              <w:rPr>
                <w:rFonts w:cs="Arial"/>
                <w:szCs w:val="22"/>
                <w:lang w:val="fr-CA"/>
              </w:rPr>
              <w:t>médecin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E54E0D">
              <w:rPr>
                <w:rFonts w:cs="Arial"/>
                <w:szCs w:val="22"/>
                <w:lang w:val="fr-CA"/>
              </w:rPr>
              <w:t>ou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F06165">
              <w:rPr>
                <w:rFonts w:cs="Arial"/>
                <w:szCs w:val="22"/>
                <w:lang w:val="fr-CA"/>
              </w:rPr>
              <w:t xml:space="preserve">le </w:t>
            </w:r>
            <w:r w:rsidR="00E54E0D">
              <w:rPr>
                <w:rFonts w:cs="Arial"/>
                <w:szCs w:val="22"/>
                <w:lang w:val="fr-CA"/>
              </w:rPr>
              <w:t>gériatre nommé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] </w:t>
            </w:r>
            <w:r w:rsidR="00A45E5B">
              <w:rPr>
                <w:rFonts w:cs="Arial"/>
                <w:szCs w:val="22"/>
                <w:lang w:val="fr-CA"/>
              </w:rPr>
              <w:t>effectue</w:t>
            </w:r>
            <w:r w:rsidR="00E54E0D">
              <w:rPr>
                <w:rFonts w:cs="Arial"/>
                <w:szCs w:val="22"/>
                <w:lang w:val="fr-CA"/>
              </w:rPr>
              <w:t xml:space="preserve"> une évaluation de la capacité conformément à la </w:t>
            </w:r>
            <w:r w:rsidR="00E54E0D" w:rsidRPr="00E73BFD">
              <w:rPr>
                <w:rFonts w:cs="Arial"/>
                <w:i/>
                <w:szCs w:val="22"/>
                <w:lang w:val="fr-CA"/>
              </w:rPr>
              <w:t>Loi de 1992 sur la prise de décisions au nom d’autrui</w:t>
            </w:r>
            <w:r w:rsidR="00E54E0D">
              <w:rPr>
                <w:rFonts w:cs="Arial"/>
                <w:szCs w:val="22"/>
                <w:lang w:val="fr-CA"/>
              </w:rPr>
              <w:t xml:space="preserve"> en ce qui concerne les questions soulevées dans  </w:t>
            </w:r>
            <w:r w:rsidR="00ED7724" w:rsidRPr="00FF4990">
              <w:rPr>
                <w:rFonts w:cs="Arial"/>
                <w:szCs w:val="22"/>
                <w:lang w:val="fr-CA"/>
              </w:rPr>
              <w:t>[</w:t>
            </w:r>
            <w:r w:rsidR="00F506AD">
              <w:rPr>
                <w:rFonts w:cs="Arial"/>
                <w:szCs w:val="22"/>
                <w:lang w:val="fr-CA"/>
              </w:rPr>
              <w:t xml:space="preserve">la </w:t>
            </w:r>
            <w:r w:rsidR="00E54E0D">
              <w:rPr>
                <w:rFonts w:cs="Arial"/>
                <w:szCs w:val="22"/>
                <w:lang w:val="fr-CA"/>
              </w:rPr>
              <w:t>requête</w:t>
            </w:r>
            <w:r w:rsidR="00ED7724" w:rsidRPr="00FF4990">
              <w:rPr>
                <w:rFonts w:cs="Arial"/>
                <w:szCs w:val="22"/>
                <w:lang w:val="fr-CA"/>
              </w:rPr>
              <w:t>/</w:t>
            </w:r>
            <w:r w:rsidR="00F506AD">
              <w:rPr>
                <w:rFonts w:cs="Arial"/>
                <w:szCs w:val="22"/>
                <w:lang w:val="fr-CA"/>
              </w:rPr>
              <w:t>l’</w:t>
            </w:r>
            <w:r w:rsidR="008E69F5">
              <w:rPr>
                <w:rFonts w:cs="Arial"/>
                <w:szCs w:val="22"/>
                <w:lang w:val="fr-CA"/>
              </w:rPr>
              <w:t>instance</w:t>
            </w:r>
            <w:r w:rsidR="00ED7724" w:rsidRPr="00FF4990">
              <w:rPr>
                <w:rFonts w:cs="Arial"/>
                <w:szCs w:val="22"/>
                <w:lang w:val="fr-CA"/>
              </w:rPr>
              <w:t>/</w:t>
            </w:r>
            <w:r w:rsidR="00F506AD">
              <w:rPr>
                <w:rFonts w:cs="Arial"/>
                <w:szCs w:val="22"/>
                <w:lang w:val="fr-CA"/>
              </w:rPr>
              <w:t xml:space="preserve">le </w:t>
            </w:r>
            <w:r w:rsidR="008E69F5">
              <w:rPr>
                <w:rFonts w:cs="Arial"/>
                <w:szCs w:val="22"/>
                <w:lang w:val="fr-CA"/>
              </w:rPr>
              <w:t>dossier de la Cour no</w:t>
            </w:r>
            <w:r w:rsidR="00ED7724" w:rsidRPr="00FF4990">
              <w:rPr>
                <w:rFonts w:cs="Arial"/>
                <w:szCs w:val="22"/>
                <w:lang w:val="fr-CA"/>
              </w:rPr>
              <w:t>],</w:t>
            </w:r>
            <w:r w:rsidR="005D3857">
              <w:rPr>
                <w:rFonts w:cs="Arial"/>
                <w:szCs w:val="22"/>
                <w:lang w:val="fr-CA"/>
              </w:rPr>
              <w:t xml:space="preserve"> afin d’évaluer la capacité de </w:t>
            </w:r>
            <w:r w:rsidR="00F641C3" w:rsidRPr="00FF4990">
              <w:rPr>
                <w:rFonts w:cs="Arial"/>
                <w:szCs w:val="22"/>
                <w:lang w:val="fr-CA"/>
              </w:rPr>
              <w:t>[</w:t>
            </w:r>
            <w:r w:rsidR="00F506AD">
              <w:rPr>
                <w:rFonts w:cs="Arial"/>
                <w:szCs w:val="22"/>
                <w:lang w:val="fr-CA"/>
              </w:rPr>
              <w:t xml:space="preserve">la </w:t>
            </w:r>
            <w:r w:rsidR="00F641C3" w:rsidRPr="00FF4990">
              <w:rPr>
                <w:rFonts w:cs="Arial"/>
                <w:szCs w:val="22"/>
                <w:lang w:val="fr-CA"/>
              </w:rPr>
              <w:t>person</w:t>
            </w:r>
            <w:r w:rsidR="005D3857">
              <w:rPr>
                <w:rFonts w:cs="Arial"/>
                <w:szCs w:val="22"/>
                <w:lang w:val="fr-CA"/>
              </w:rPr>
              <w:t>ne</w:t>
            </w:r>
            <w:r w:rsidR="00F641C3" w:rsidRPr="00FF4990">
              <w:rPr>
                <w:rFonts w:cs="Arial"/>
                <w:szCs w:val="22"/>
                <w:lang w:val="fr-CA"/>
              </w:rPr>
              <w:t xml:space="preserve">] </w:t>
            </w:r>
            <w:r w:rsidR="005D3857">
              <w:rPr>
                <w:rFonts w:cs="Arial"/>
                <w:szCs w:val="22"/>
                <w:lang w:val="fr-CA"/>
              </w:rPr>
              <w:t>de</w:t>
            </w:r>
            <w:r w:rsidR="00F641C3" w:rsidRPr="00FF4990">
              <w:rPr>
                <w:rFonts w:cs="Arial"/>
                <w:szCs w:val="22"/>
                <w:lang w:val="fr-CA"/>
              </w:rPr>
              <w:t xml:space="preserve"> [type(s) </w:t>
            </w:r>
            <w:r w:rsidR="005D3857">
              <w:rPr>
                <w:rFonts w:cs="Arial"/>
                <w:szCs w:val="22"/>
                <w:lang w:val="fr-CA"/>
              </w:rPr>
              <w:t>de</w:t>
            </w:r>
            <w:r w:rsidR="00F641C3" w:rsidRPr="00FF4990">
              <w:rPr>
                <w:rFonts w:cs="Arial"/>
                <w:szCs w:val="22"/>
                <w:lang w:val="fr-CA"/>
              </w:rPr>
              <w:t xml:space="preserve"> capacit</w:t>
            </w:r>
            <w:r w:rsidR="005D3857">
              <w:rPr>
                <w:rFonts w:cs="Arial"/>
                <w:szCs w:val="22"/>
                <w:lang w:val="fr-CA"/>
              </w:rPr>
              <w:t>é e</w:t>
            </w:r>
            <w:r w:rsidR="00F641C3" w:rsidRPr="00FF4990">
              <w:rPr>
                <w:rFonts w:cs="Arial"/>
                <w:szCs w:val="22"/>
                <w:lang w:val="fr-CA"/>
              </w:rPr>
              <w:t>n question]</w:t>
            </w:r>
            <w:r w:rsidR="00A45E5B">
              <w:rPr>
                <w:rFonts w:cs="Arial"/>
                <w:szCs w:val="22"/>
                <w:lang w:val="fr-CA"/>
              </w:rPr>
              <w:t xml:space="preserve">. L’évaluation doit être effectuée dans </w:t>
            </w:r>
            <w:r w:rsidR="00ED7724" w:rsidRPr="00FF4990">
              <w:rPr>
                <w:rFonts w:cs="Arial"/>
                <w:szCs w:val="22"/>
                <w:lang w:val="fr-CA"/>
              </w:rPr>
              <w:t>[</w:t>
            </w:r>
            <w:r w:rsidR="00A45E5B">
              <w:rPr>
                <w:rFonts w:cs="Arial"/>
                <w:szCs w:val="22"/>
                <w:lang w:val="fr-CA"/>
              </w:rPr>
              <w:t>délai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]. </w:t>
            </w:r>
          </w:p>
        </w:tc>
        <w:tc>
          <w:tcPr>
            <w:tcW w:w="4050" w:type="dxa"/>
          </w:tcPr>
          <w:p w14:paraId="018A07A1" w14:textId="575443D2" w:rsidR="00D32685" w:rsidRPr="00FF4990" w:rsidRDefault="008F727A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L’avocat nommé en vertu de l’article 3 devrait se renseigner sur les souhaits de la personne avant qu’une telle ordonnance ne soit rendue</w:t>
            </w:r>
            <w:r w:rsidR="00760652">
              <w:rPr>
                <w:rFonts w:cs="Arial"/>
                <w:szCs w:val="22"/>
                <w:lang w:val="fr-CA"/>
              </w:rPr>
              <w:t>,</w:t>
            </w:r>
            <w:r>
              <w:rPr>
                <w:rFonts w:cs="Arial"/>
                <w:szCs w:val="22"/>
                <w:lang w:val="fr-CA"/>
              </w:rPr>
              <w:t xml:space="preserve"> et la personne devrait avoir l’occasion de s’opposer à une évaluation de la capacité ordonnée par le tribunal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. </w:t>
            </w:r>
            <w:r w:rsidR="00D12E9C" w:rsidRPr="006E78B2">
              <w:rPr>
                <w:rFonts w:cs="Arial"/>
                <w:szCs w:val="22"/>
                <w:lang w:val="fr-CA"/>
              </w:rPr>
              <w:t xml:space="preserve">Si la capacité d’une personne est en cause dans une instance relevant de la </w:t>
            </w:r>
            <w:r w:rsidR="00D12E9C" w:rsidRPr="006E78B2">
              <w:rPr>
                <w:rStyle w:val="Prompt"/>
                <w:rFonts w:cs="Arial"/>
                <w:i/>
                <w:color w:val="auto"/>
                <w:szCs w:val="22"/>
                <w:lang w:val="fr-CA"/>
              </w:rPr>
              <w:t>Loi de 1992 sur la prise de décisions au nom d’autrui</w:t>
            </w:r>
            <w:r w:rsidR="00D12E9C" w:rsidRPr="006E78B2">
              <w:rPr>
                <w:lang w:val="fr-CA"/>
              </w:rPr>
              <w:t xml:space="preserve"> et que le tribunal est </w:t>
            </w:r>
            <w:r w:rsidR="00D12E9C">
              <w:rPr>
                <w:lang w:val="fr-CA"/>
              </w:rPr>
              <w:t>« </w:t>
            </w:r>
            <w:r w:rsidR="00D12E9C" w:rsidRPr="0069627D">
              <w:rPr>
                <w:rFonts w:cs="Arial"/>
                <w:szCs w:val="22"/>
                <w:lang w:val="fr-CA"/>
              </w:rPr>
              <w:t>convaincu qu’il existe des motifs raisonnables de croire que la personne est incapable</w:t>
            </w:r>
            <w:r w:rsidR="00D12E9C">
              <w:rPr>
                <w:rFonts w:cs="Arial"/>
                <w:szCs w:val="22"/>
                <w:lang w:val="fr-CA"/>
              </w:rPr>
              <w:t> »</w:t>
            </w:r>
            <w:r w:rsidR="00D12E9C" w:rsidRPr="0069627D">
              <w:rPr>
                <w:rFonts w:cs="Arial"/>
                <w:szCs w:val="22"/>
                <w:lang w:val="fr-CA"/>
              </w:rPr>
              <w:t>, le tribunal peut</w:t>
            </w:r>
            <w:r w:rsidR="00D12E9C">
              <w:rPr>
                <w:rFonts w:cs="Arial"/>
                <w:szCs w:val="22"/>
                <w:lang w:val="fr-CA"/>
              </w:rPr>
              <w:t xml:space="preserve"> </w:t>
            </w:r>
            <w:r w:rsidR="00D12E9C" w:rsidRPr="0069627D">
              <w:rPr>
                <w:rFonts w:cs="Arial"/>
                <w:szCs w:val="22"/>
                <w:lang w:val="fr-CA"/>
              </w:rPr>
              <w:t>ordonner qu’un évaluateur évalue la personne afin de donner une opinion sur sa capacité</w:t>
            </w:r>
            <w:r w:rsidR="00D12E9C" w:rsidRPr="006E78B2">
              <w:rPr>
                <w:rFonts w:cs="Arial"/>
                <w:szCs w:val="22"/>
                <w:lang w:val="fr-CA"/>
              </w:rPr>
              <w:t xml:space="preserve"> (</w:t>
            </w:r>
            <w:r w:rsidR="00D12E9C">
              <w:rPr>
                <w:rFonts w:cs="Arial"/>
                <w:szCs w:val="22"/>
                <w:lang w:val="fr-CA"/>
              </w:rPr>
              <w:t>art</w:t>
            </w:r>
            <w:r w:rsidR="00D12E9C" w:rsidRPr="006E78B2">
              <w:rPr>
                <w:rFonts w:cs="Arial"/>
                <w:szCs w:val="22"/>
                <w:lang w:val="fr-CA"/>
              </w:rPr>
              <w:t>. 79).</w:t>
            </w:r>
          </w:p>
        </w:tc>
      </w:tr>
      <w:tr w:rsidR="00C25B4E" w:rsidRPr="00FF4990" w14:paraId="2801C51A" w14:textId="77777777" w:rsidTr="0063492D">
        <w:tc>
          <w:tcPr>
            <w:tcW w:w="3438" w:type="dxa"/>
          </w:tcPr>
          <w:p w14:paraId="46888338" w14:textId="04188BDC" w:rsidR="00D32685" w:rsidRPr="00FF4990" w:rsidRDefault="00F14931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Autres directives</w:t>
            </w:r>
          </w:p>
        </w:tc>
        <w:tc>
          <w:tcPr>
            <w:tcW w:w="6300" w:type="dxa"/>
          </w:tcPr>
          <w:p w14:paraId="7E1EDCDC" w14:textId="52A166FF" w:rsidR="00D32685" w:rsidRPr="00FF4990" w:rsidRDefault="003B6473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="0067195F">
              <w:rPr>
                <w:rFonts w:cs="Arial"/>
                <w:szCs w:val="22"/>
                <w:lang w:val="fr-CA"/>
              </w:rPr>
              <w:t xml:space="preserve"> l’avocat nommé en vertu de l’article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3</w:t>
            </w:r>
            <w:r w:rsidR="0067195F">
              <w:rPr>
                <w:rFonts w:cs="Arial"/>
                <w:szCs w:val="22"/>
                <w:lang w:val="fr-CA"/>
              </w:rPr>
              <w:t xml:space="preserve"> de la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67195F" w:rsidRPr="0067195F">
              <w:rPr>
                <w:rFonts w:cs="Arial"/>
                <w:i/>
                <w:szCs w:val="22"/>
                <w:lang w:val="fr-CA"/>
              </w:rPr>
              <w:t>Loi de 1992 sur la prise de décisions au nom d’autrui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67195F">
              <w:rPr>
                <w:rFonts w:cs="Arial"/>
                <w:szCs w:val="22"/>
                <w:lang w:val="fr-CA"/>
              </w:rPr>
              <w:t>puisse demander d’autres directives au tribunal au sujet de sa nomination</w:t>
            </w:r>
            <w:r w:rsidR="00ED7724" w:rsidRPr="00FF4990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010BE075" w14:textId="53B7947C" w:rsidR="00B176D7" w:rsidRPr="00FF4990" w:rsidRDefault="007939E3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L’avocat nommé en vertu de l’article 3 p</w:t>
            </w:r>
            <w:r w:rsidR="00A00BF2">
              <w:rPr>
                <w:rFonts w:cs="Arial"/>
                <w:szCs w:val="22"/>
                <w:lang w:val="fr-CA"/>
              </w:rPr>
              <w:t>ourrait</w:t>
            </w:r>
            <w:r>
              <w:rPr>
                <w:rFonts w:cs="Arial"/>
                <w:szCs w:val="22"/>
                <w:lang w:val="fr-CA"/>
              </w:rPr>
              <w:t xml:space="preserve"> avoir besoin de demander</w:t>
            </w:r>
            <w:r w:rsidR="00A00BF2">
              <w:rPr>
                <w:rFonts w:cs="Arial"/>
                <w:szCs w:val="22"/>
                <w:lang w:val="fr-CA"/>
              </w:rPr>
              <w:t xml:space="preserve"> des directives</w:t>
            </w:r>
            <w:r>
              <w:rPr>
                <w:rFonts w:cs="Arial"/>
                <w:szCs w:val="22"/>
                <w:lang w:val="fr-CA"/>
              </w:rPr>
              <w:t xml:space="preserve"> au tribunal au sujet de l’accès au </w:t>
            </w:r>
            <w:r w:rsidR="00ED7724" w:rsidRPr="00FF4990">
              <w:rPr>
                <w:rFonts w:cs="Arial"/>
                <w:szCs w:val="22"/>
                <w:lang w:val="fr-CA"/>
              </w:rPr>
              <w:t>client</w:t>
            </w:r>
            <w:r>
              <w:rPr>
                <w:rFonts w:cs="Arial"/>
                <w:szCs w:val="22"/>
                <w:lang w:val="fr-CA"/>
              </w:rPr>
              <w:t xml:space="preserve"> ou de l’ingérence des autres parties dans la relation entre l’avocat et le client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A00BF2">
              <w:rPr>
                <w:rFonts w:cs="Arial"/>
                <w:szCs w:val="22"/>
                <w:lang w:val="fr-CA"/>
              </w:rPr>
              <w:t>en l’absence d’</w:t>
            </w:r>
            <w:r w:rsidR="00ED7724" w:rsidRPr="00FF4990">
              <w:rPr>
                <w:rFonts w:cs="Arial"/>
                <w:szCs w:val="22"/>
                <w:lang w:val="fr-CA"/>
              </w:rPr>
              <w:t>instructions</w:t>
            </w:r>
            <w:r w:rsidR="00760652">
              <w:rPr>
                <w:rFonts w:cs="Arial"/>
                <w:szCs w:val="22"/>
                <w:lang w:val="fr-CA"/>
              </w:rPr>
              <w:t xml:space="preserve"> à cet égard</w:t>
            </w:r>
            <w:r w:rsidR="00ED7724" w:rsidRPr="00FF4990">
              <w:rPr>
                <w:rFonts w:cs="Arial"/>
                <w:szCs w:val="22"/>
                <w:lang w:val="fr-CA"/>
              </w:rPr>
              <w:t>.</w:t>
            </w:r>
          </w:p>
          <w:p w14:paraId="3FAE97C9" w14:textId="301D89F6" w:rsidR="00D32685" w:rsidRPr="00FF4990" w:rsidRDefault="00383196" w:rsidP="00D32685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 xml:space="preserve">L’avocat nommé en vertu de l’article 3 </w:t>
            </w:r>
            <w:r>
              <w:rPr>
                <w:rFonts w:cs="Arial"/>
                <w:szCs w:val="22"/>
                <w:lang w:val="fr-CA"/>
              </w:rPr>
              <w:lastRenderedPageBreak/>
              <w:t>pourrait avoir besoin de demander des directives</w:t>
            </w:r>
            <w:r w:rsidRPr="00FF4990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en l’absence d’</w:t>
            </w:r>
            <w:r w:rsidRPr="00FF4990">
              <w:rPr>
                <w:rFonts w:cs="Arial"/>
                <w:szCs w:val="22"/>
                <w:lang w:val="fr-CA"/>
              </w:rPr>
              <w:t xml:space="preserve">instructions </w:t>
            </w:r>
            <w:r w:rsidR="00760652">
              <w:rPr>
                <w:rFonts w:cs="Arial"/>
                <w:szCs w:val="22"/>
                <w:lang w:val="fr-CA"/>
              </w:rPr>
              <w:t>du client censément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incapable, </w:t>
            </w:r>
            <w:r>
              <w:rPr>
                <w:rFonts w:cs="Arial"/>
                <w:szCs w:val="22"/>
                <w:lang w:val="fr-CA"/>
              </w:rPr>
              <w:t>pa</w:t>
            </w:r>
            <w:r w:rsidR="00ED7724" w:rsidRPr="00FF4990">
              <w:rPr>
                <w:rFonts w:cs="Arial"/>
                <w:szCs w:val="22"/>
                <w:lang w:val="fr-CA"/>
              </w:rPr>
              <w:t>r ex</w:t>
            </w:r>
            <w:r>
              <w:rPr>
                <w:rFonts w:cs="Arial"/>
                <w:szCs w:val="22"/>
                <w:lang w:val="fr-CA"/>
              </w:rPr>
              <w:t>e</w:t>
            </w:r>
            <w:r w:rsidR="00760652">
              <w:rPr>
                <w:rFonts w:cs="Arial"/>
                <w:szCs w:val="22"/>
                <w:lang w:val="fr-CA"/>
              </w:rPr>
              <w:t>mple</w:t>
            </w:r>
            <w:r>
              <w:rPr>
                <w:rFonts w:cs="Arial"/>
                <w:szCs w:val="22"/>
                <w:lang w:val="fr-CA"/>
              </w:rPr>
              <w:t xml:space="preserve"> pour mettre fin au mandat si la personne </w:t>
            </w:r>
            <w:r w:rsidR="00BD2C9A">
              <w:rPr>
                <w:rFonts w:cs="Arial"/>
                <w:szCs w:val="22"/>
                <w:lang w:val="fr-CA"/>
              </w:rPr>
              <w:t>censément</w:t>
            </w:r>
            <w:r>
              <w:rPr>
                <w:rFonts w:cs="Arial"/>
                <w:szCs w:val="22"/>
                <w:lang w:val="fr-CA"/>
              </w:rPr>
              <w:t xml:space="preserve"> 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incapable </w:t>
            </w:r>
            <w:r>
              <w:rPr>
                <w:rFonts w:cs="Arial"/>
                <w:szCs w:val="22"/>
                <w:lang w:val="fr-CA"/>
              </w:rPr>
              <w:t>ne peut fournir d’</w:t>
            </w:r>
            <w:r w:rsidR="00ED7724" w:rsidRPr="00FF4990">
              <w:rPr>
                <w:rFonts w:cs="Arial"/>
                <w:szCs w:val="22"/>
                <w:lang w:val="fr-CA"/>
              </w:rPr>
              <w:t>instructions</w:t>
            </w:r>
            <w:r w:rsidR="00174DAD">
              <w:rPr>
                <w:rFonts w:cs="Arial"/>
                <w:szCs w:val="22"/>
                <w:lang w:val="fr-CA"/>
              </w:rPr>
              <w:t>,</w:t>
            </w:r>
            <w:r w:rsidR="007F383D" w:rsidRPr="00FF4990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 xml:space="preserve">ou pour aborder le rôle de l’avocat dans l’instance. </w:t>
            </w:r>
          </w:p>
        </w:tc>
      </w:tr>
      <w:tr w:rsidR="00C25B4E" w:rsidRPr="00FF4990" w14:paraId="5999E290" w14:textId="77777777" w:rsidTr="0063492D">
        <w:tc>
          <w:tcPr>
            <w:tcW w:w="3438" w:type="dxa"/>
          </w:tcPr>
          <w:p w14:paraId="66F33588" w14:textId="6E6B8918" w:rsidR="00B176D7" w:rsidRPr="00FF4990" w:rsidRDefault="00B66169" w:rsidP="00B176D7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lastRenderedPageBreak/>
              <w:t xml:space="preserve">Pouvoir provisoire de payer les factures et dépenses de la personne </w:t>
            </w:r>
            <w:r w:rsidR="00BD2C9A">
              <w:rPr>
                <w:rFonts w:cs="Arial"/>
                <w:szCs w:val="22"/>
                <w:lang w:val="fr-CA"/>
              </w:rPr>
              <w:t>censément</w:t>
            </w:r>
            <w:r>
              <w:rPr>
                <w:rFonts w:cs="Arial"/>
                <w:szCs w:val="22"/>
                <w:lang w:val="fr-CA"/>
              </w:rPr>
              <w:t xml:space="preserve"> in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capable </w:t>
            </w:r>
          </w:p>
        </w:tc>
        <w:tc>
          <w:tcPr>
            <w:tcW w:w="6300" w:type="dxa"/>
          </w:tcPr>
          <w:p w14:paraId="1B59A05D" w14:textId="6144F426" w:rsidR="00B176D7" w:rsidRPr="00FF4990" w:rsidRDefault="003B6473" w:rsidP="00B176D7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ED7724" w:rsidRPr="00FF4990">
              <w:rPr>
                <w:rFonts w:cs="Arial"/>
                <w:szCs w:val="22"/>
                <w:lang w:val="fr-CA"/>
              </w:rPr>
              <w:t>[</w:t>
            </w:r>
            <w:r w:rsidR="00F83E8B">
              <w:rPr>
                <w:rFonts w:cs="Arial"/>
                <w:szCs w:val="22"/>
                <w:lang w:val="fr-CA"/>
              </w:rPr>
              <w:t>PROCUREUR</w:t>
            </w:r>
            <w:r w:rsidR="00ED7724" w:rsidRPr="00FF4990">
              <w:rPr>
                <w:rFonts w:cs="Arial"/>
                <w:szCs w:val="22"/>
                <w:lang w:val="fr-CA"/>
              </w:rPr>
              <w:t>/</w:t>
            </w:r>
            <w:r w:rsidR="00F83E8B">
              <w:rPr>
                <w:rFonts w:cs="Arial"/>
                <w:szCs w:val="22"/>
                <w:lang w:val="fr-CA"/>
              </w:rPr>
              <w:t>TITULAIRE DE COMPTE</w:t>
            </w:r>
            <w:r w:rsidR="00ED7724" w:rsidRPr="00FF4990">
              <w:rPr>
                <w:rFonts w:cs="Arial"/>
                <w:szCs w:val="22"/>
                <w:lang w:val="fr-CA"/>
              </w:rPr>
              <w:t>/ETC</w:t>
            </w:r>
            <w:r w:rsidR="00193C5C">
              <w:rPr>
                <w:rFonts w:cs="Arial"/>
                <w:szCs w:val="22"/>
                <w:lang w:val="fr-CA"/>
              </w:rPr>
              <w:t>.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] </w:t>
            </w:r>
            <w:r w:rsidR="00193C5C">
              <w:rPr>
                <w:rFonts w:cs="Arial"/>
                <w:szCs w:val="22"/>
                <w:lang w:val="fr-CA"/>
              </w:rPr>
              <w:t xml:space="preserve">prélève des sommes sur </w:t>
            </w:r>
            <w:r w:rsidR="00193C5C" w:rsidRPr="00FF4990">
              <w:rPr>
                <w:rFonts w:cs="Arial"/>
                <w:szCs w:val="22"/>
                <w:lang w:val="fr-CA"/>
              </w:rPr>
              <w:t>[</w:t>
            </w:r>
            <w:r w:rsidR="00193C5C">
              <w:rPr>
                <w:rFonts w:cs="Arial"/>
                <w:szCs w:val="22"/>
                <w:lang w:val="fr-CA"/>
              </w:rPr>
              <w:t>les biens de la personne ou les fonds dans un compte particulier</w:t>
            </w:r>
            <w:r w:rsidR="00193C5C" w:rsidRPr="00FF4990">
              <w:rPr>
                <w:rFonts w:cs="Arial"/>
                <w:szCs w:val="22"/>
                <w:lang w:val="fr-CA"/>
              </w:rPr>
              <w:t>]</w:t>
            </w:r>
            <w:r w:rsidR="00193C5C">
              <w:rPr>
                <w:rFonts w:cs="Arial"/>
                <w:szCs w:val="22"/>
                <w:lang w:val="fr-CA"/>
              </w:rPr>
              <w:t xml:space="preserve"> pour couvrir les dépenses visées à l’article </w:t>
            </w:r>
            <w:r w:rsidR="00ED7724" w:rsidRPr="00FF4990">
              <w:rPr>
                <w:rFonts w:cs="Arial"/>
                <w:szCs w:val="22"/>
                <w:lang w:val="fr-CA"/>
              </w:rPr>
              <w:t>37</w:t>
            </w:r>
            <w:r w:rsidR="00193C5C">
              <w:rPr>
                <w:rFonts w:cs="Arial"/>
                <w:szCs w:val="22"/>
                <w:lang w:val="fr-CA"/>
              </w:rPr>
              <w:t xml:space="preserve"> de la LPDNA, sous réserve d’une autre ordonnance du tribunal</w:t>
            </w:r>
            <w:r w:rsidR="00C20F0C">
              <w:rPr>
                <w:rFonts w:cs="Arial"/>
                <w:szCs w:val="22"/>
                <w:lang w:val="fr-CA"/>
              </w:rPr>
              <w:t xml:space="preserve"> et de l’examen de ces dépenses dans le cadre d’une reddition de comptes</w:t>
            </w:r>
            <w:r w:rsidR="00ED7724" w:rsidRPr="00FF4990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5869D039" w14:textId="7C79DF98" w:rsidR="00B176D7" w:rsidRPr="00FF4990" w:rsidRDefault="00F9328A" w:rsidP="00B176D7">
            <w:pPr>
              <w:rPr>
                <w:rFonts w:cs="Arial"/>
                <w:iCs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Compétence : art. </w:t>
            </w:r>
            <w:r w:rsidRPr="00FF4990">
              <w:rPr>
                <w:rFonts w:cs="Arial"/>
                <w:szCs w:val="22"/>
                <w:lang w:val="fr-CA"/>
              </w:rPr>
              <w:t xml:space="preserve">39 </w:t>
            </w:r>
            <w:r>
              <w:rPr>
                <w:rFonts w:cs="Arial"/>
                <w:szCs w:val="22"/>
                <w:lang w:val="fr-CA"/>
              </w:rPr>
              <w:t xml:space="preserve">de la </w:t>
            </w:r>
            <w:r w:rsidRPr="004C255C">
              <w:rPr>
                <w:rFonts w:cs="Arial"/>
                <w:i/>
                <w:iCs/>
                <w:szCs w:val="22"/>
                <w:lang w:val="fr-CA"/>
              </w:rPr>
              <w:t>LPDNA</w:t>
            </w:r>
            <w:r>
              <w:rPr>
                <w:rFonts w:cs="Arial"/>
                <w:szCs w:val="22"/>
                <w:lang w:val="fr-CA"/>
              </w:rPr>
              <w:t xml:space="preserve"> </w:t>
            </w:r>
            <w:r w:rsidRPr="00FF4990">
              <w:rPr>
                <w:rFonts w:cs="Arial"/>
                <w:szCs w:val="22"/>
                <w:lang w:val="fr-CA"/>
              </w:rPr>
              <w:t>(</w:t>
            </w:r>
            <w:r>
              <w:rPr>
                <w:rFonts w:cs="Arial"/>
                <w:szCs w:val="22"/>
                <w:lang w:val="fr-CA"/>
              </w:rPr>
              <w:t>s’il y a une</w:t>
            </w:r>
            <w:r>
              <w:t xml:space="preserve"> </w:t>
            </w:r>
            <w:r w:rsidRPr="00300D4E">
              <w:rPr>
                <w:rFonts w:cs="Arial"/>
                <w:szCs w:val="22"/>
                <w:lang w:val="fr-CA"/>
              </w:rPr>
              <w:t>procuration perpétuelle</w:t>
            </w:r>
            <w:r>
              <w:rPr>
                <w:rFonts w:cs="Arial"/>
                <w:szCs w:val="22"/>
                <w:lang w:val="fr-CA"/>
              </w:rPr>
              <w:t xml:space="preserve"> relative aux biens ou une</w:t>
            </w:r>
            <w:r>
              <w:t xml:space="preserve"> </w:t>
            </w:r>
            <w:r w:rsidRPr="00300D4E">
              <w:rPr>
                <w:rFonts w:cs="Arial"/>
                <w:szCs w:val="22"/>
                <w:lang w:val="fr-CA"/>
              </w:rPr>
              <w:t>tute</w:t>
            </w:r>
            <w:r>
              <w:rPr>
                <w:rFonts w:cs="Arial"/>
                <w:szCs w:val="22"/>
                <w:lang w:val="fr-CA"/>
              </w:rPr>
              <w:t>lle ex</w:t>
            </w:r>
            <w:r w:rsidRPr="00FF4990">
              <w:rPr>
                <w:rFonts w:cs="Arial"/>
                <w:szCs w:val="22"/>
                <w:lang w:val="fr-CA"/>
              </w:rPr>
              <w:t>ist</w:t>
            </w:r>
            <w:r>
              <w:rPr>
                <w:rFonts w:cs="Arial"/>
                <w:szCs w:val="22"/>
                <w:lang w:val="fr-CA"/>
              </w:rPr>
              <w:t>ante</w:t>
            </w:r>
            <w:r w:rsidRPr="00FF4990">
              <w:rPr>
                <w:rFonts w:cs="Arial"/>
                <w:szCs w:val="22"/>
                <w:lang w:val="fr-CA"/>
              </w:rPr>
              <w:t>)</w:t>
            </w:r>
            <w:r w:rsidRPr="00FF4990">
              <w:rPr>
                <w:rFonts w:cs="Arial"/>
                <w:iCs/>
                <w:szCs w:val="22"/>
                <w:lang w:val="fr-CA"/>
              </w:rPr>
              <w:t xml:space="preserve">; </w:t>
            </w:r>
            <w:r>
              <w:rPr>
                <w:rFonts w:cs="Arial"/>
                <w:iCs/>
                <w:szCs w:val="22"/>
                <w:lang w:val="fr-CA"/>
              </w:rPr>
              <w:t xml:space="preserve">et </w:t>
            </w:r>
            <w:r w:rsidRPr="00FF4990">
              <w:rPr>
                <w:rFonts w:cs="Arial"/>
                <w:i/>
                <w:szCs w:val="22"/>
                <w:lang w:val="fr-CA"/>
              </w:rPr>
              <w:t xml:space="preserve">Ontario </w:t>
            </w:r>
            <w:r>
              <w:rPr>
                <w:rFonts w:cs="Arial"/>
                <w:i/>
                <w:szCs w:val="22"/>
                <w:lang w:val="fr-CA"/>
              </w:rPr>
              <w:t>c</w:t>
            </w:r>
            <w:r w:rsidRPr="00FF4990">
              <w:rPr>
                <w:rFonts w:cs="Arial"/>
                <w:i/>
                <w:szCs w:val="22"/>
                <w:lang w:val="fr-CA"/>
              </w:rPr>
              <w:t>. Criminal Lawyers’ Association of Ontario</w:t>
            </w:r>
            <w:r w:rsidRPr="00FF4990">
              <w:rPr>
                <w:rFonts w:cs="Arial"/>
                <w:iCs/>
                <w:szCs w:val="22"/>
                <w:lang w:val="fr-CA"/>
              </w:rPr>
              <w:t>, 2013 C</w:t>
            </w:r>
            <w:r>
              <w:rPr>
                <w:rFonts w:cs="Arial"/>
                <w:iCs/>
                <w:szCs w:val="22"/>
                <w:lang w:val="fr-CA"/>
              </w:rPr>
              <w:t>S</w:t>
            </w:r>
            <w:r w:rsidRPr="00FF4990">
              <w:rPr>
                <w:rFonts w:cs="Arial"/>
                <w:iCs/>
                <w:szCs w:val="22"/>
                <w:lang w:val="fr-CA"/>
              </w:rPr>
              <w:t>C 43 (CanLII), [2013] 3 R</w:t>
            </w:r>
            <w:r>
              <w:rPr>
                <w:rFonts w:cs="Arial"/>
                <w:iCs/>
                <w:szCs w:val="22"/>
                <w:lang w:val="fr-CA"/>
              </w:rPr>
              <w:t>CS</w:t>
            </w:r>
            <w:r w:rsidRPr="00FF4990">
              <w:rPr>
                <w:rFonts w:cs="Arial"/>
                <w:iCs/>
                <w:szCs w:val="22"/>
                <w:lang w:val="fr-CA"/>
              </w:rPr>
              <w:t xml:space="preserve"> 3</w:t>
            </w:r>
            <w:r>
              <w:rPr>
                <w:rFonts w:cs="Arial"/>
                <w:iCs/>
                <w:szCs w:val="22"/>
                <w:lang w:val="fr-CA"/>
              </w:rPr>
              <w:t xml:space="preserve">, aux </w:t>
            </w:r>
            <w:r w:rsidRPr="00FF4990">
              <w:rPr>
                <w:rFonts w:cs="Arial"/>
                <w:iCs/>
                <w:szCs w:val="22"/>
                <w:lang w:val="fr-CA"/>
              </w:rPr>
              <w:t>paragraph</w:t>
            </w:r>
            <w:r>
              <w:rPr>
                <w:rFonts w:cs="Arial"/>
                <w:iCs/>
                <w:szCs w:val="22"/>
                <w:lang w:val="fr-CA"/>
              </w:rPr>
              <w:t>e</w:t>
            </w:r>
            <w:r w:rsidRPr="00FF4990">
              <w:rPr>
                <w:rFonts w:cs="Arial"/>
                <w:iCs/>
                <w:szCs w:val="22"/>
                <w:lang w:val="fr-CA"/>
              </w:rPr>
              <w:t xml:space="preserve">s 17 </w:t>
            </w:r>
            <w:r>
              <w:rPr>
                <w:rFonts w:cs="Arial"/>
                <w:iCs/>
                <w:szCs w:val="22"/>
                <w:lang w:val="fr-CA"/>
              </w:rPr>
              <w:t>à</w:t>
            </w:r>
            <w:r w:rsidRPr="00FF4990">
              <w:rPr>
                <w:rFonts w:cs="Arial"/>
                <w:iCs/>
                <w:szCs w:val="22"/>
                <w:lang w:val="fr-CA"/>
              </w:rPr>
              <w:t xml:space="preserve"> 26</w:t>
            </w:r>
            <w:r>
              <w:rPr>
                <w:rFonts w:cs="Arial"/>
                <w:iCs/>
                <w:szCs w:val="22"/>
                <w:lang w:val="fr-CA"/>
              </w:rPr>
              <w:t xml:space="preserve"> (s’il n’y a pas de</w:t>
            </w:r>
            <w:r w:rsidRPr="00300D4E">
              <w:rPr>
                <w:rFonts w:cs="Arial"/>
                <w:szCs w:val="22"/>
                <w:lang w:val="fr-CA"/>
              </w:rPr>
              <w:t xml:space="preserve"> procuration perpétuelle</w:t>
            </w:r>
            <w:r>
              <w:rPr>
                <w:rFonts w:cs="Arial"/>
                <w:szCs w:val="22"/>
                <w:lang w:val="fr-CA"/>
              </w:rPr>
              <w:t xml:space="preserve"> relative aux biens ou de</w:t>
            </w:r>
            <w:r>
              <w:t xml:space="preserve"> </w:t>
            </w:r>
            <w:r w:rsidRPr="00300D4E">
              <w:rPr>
                <w:rFonts w:cs="Arial"/>
                <w:szCs w:val="22"/>
                <w:lang w:val="fr-CA"/>
              </w:rPr>
              <w:t>tute</w:t>
            </w:r>
            <w:r>
              <w:rPr>
                <w:rFonts w:cs="Arial"/>
                <w:szCs w:val="22"/>
                <w:lang w:val="fr-CA"/>
              </w:rPr>
              <w:t>lle ex</w:t>
            </w:r>
            <w:r w:rsidRPr="00FF4990">
              <w:rPr>
                <w:rFonts w:cs="Arial"/>
                <w:szCs w:val="22"/>
                <w:lang w:val="fr-CA"/>
              </w:rPr>
              <w:t>ist</w:t>
            </w:r>
            <w:r>
              <w:rPr>
                <w:rFonts w:cs="Arial"/>
                <w:szCs w:val="22"/>
                <w:lang w:val="fr-CA"/>
              </w:rPr>
              <w:t>ante)</w:t>
            </w:r>
            <w:r w:rsidRPr="00FF4990">
              <w:rPr>
                <w:rFonts w:cs="Arial"/>
                <w:szCs w:val="22"/>
                <w:lang w:val="fr-CA"/>
              </w:rPr>
              <w:t>.</w:t>
            </w:r>
          </w:p>
          <w:p w14:paraId="6E65FCA3" w14:textId="77777777" w:rsidR="00B176D7" w:rsidRPr="00FF4990" w:rsidRDefault="00B176D7" w:rsidP="00B176D7">
            <w:pPr>
              <w:rPr>
                <w:rFonts w:cs="Arial"/>
                <w:szCs w:val="22"/>
                <w:lang w:val="fr-CA"/>
              </w:rPr>
            </w:pPr>
          </w:p>
        </w:tc>
      </w:tr>
      <w:tr w:rsidR="00C25B4E" w:rsidRPr="00FF4990" w14:paraId="4640C4A8" w14:textId="77777777" w:rsidTr="0063492D">
        <w:tc>
          <w:tcPr>
            <w:tcW w:w="3438" w:type="dxa"/>
          </w:tcPr>
          <w:p w14:paraId="7F959722" w14:textId="044EA620" w:rsidR="00B176D7" w:rsidRPr="00FF4990" w:rsidRDefault="00ED7724" w:rsidP="00B176D7">
            <w:pPr>
              <w:rPr>
                <w:rFonts w:cs="Arial"/>
                <w:szCs w:val="22"/>
                <w:lang w:val="fr-CA"/>
              </w:rPr>
            </w:pPr>
            <w:r w:rsidRPr="00FF4990">
              <w:rPr>
                <w:rFonts w:cs="Arial"/>
                <w:szCs w:val="22"/>
                <w:lang w:val="fr-CA"/>
              </w:rPr>
              <w:t xml:space="preserve">Modification </w:t>
            </w:r>
            <w:r w:rsidR="00D77295">
              <w:rPr>
                <w:rFonts w:cs="Arial"/>
                <w:szCs w:val="22"/>
                <w:lang w:val="fr-CA"/>
              </w:rPr>
              <w:t xml:space="preserve">des </w:t>
            </w:r>
            <w:r w:rsidR="00220643">
              <w:rPr>
                <w:rFonts w:cs="Arial"/>
                <w:szCs w:val="22"/>
                <w:lang w:val="fr-CA"/>
              </w:rPr>
              <w:t>délais</w:t>
            </w:r>
          </w:p>
        </w:tc>
        <w:tc>
          <w:tcPr>
            <w:tcW w:w="6300" w:type="dxa"/>
          </w:tcPr>
          <w:p w14:paraId="28D3F7FA" w14:textId="5BC62FFC" w:rsidR="00B176D7" w:rsidRPr="00FF4990" w:rsidRDefault="003B6473" w:rsidP="00B176D7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220643">
              <w:rPr>
                <w:rFonts w:cs="Arial"/>
                <w:szCs w:val="22"/>
                <w:lang w:val="fr-CA"/>
              </w:rPr>
              <w:t>les délais fixés ci-dessus puissent être modifiés</w:t>
            </w:r>
            <w:r w:rsidR="00D32A66">
              <w:rPr>
                <w:rFonts w:cs="Arial"/>
                <w:szCs w:val="22"/>
                <w:lang w:val="fr-CA"/>
              </w:rPr>
              <w:t xml:space="preserve"> par consentement mutuel de</w:t>
            </w:r>
            <w:r w:rsidR="008F25D8">
              <w:rPr>
                <w:rFonts w:cs="Arial"/>
                <w:szCs w:val="22"/>
                <w:lang w:val="fr-CA"/>
              </w:rPr>
              <w:t>s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[parties] </w:t>
            </w:r>
            <w:r w:rsidR="00D32A66">
              <w:rPr>
                <w:rFonts w:cs="Arial"/>
                <w:szCs w:val="22"/>
                <w:lang w:val="fr-CA"/>
              </w:rPr>
              <w:t xml:space="preserve">et de l’avocat nommé en vertu de l’article </w:t>
            </w:r>
            <w:r w:rsidR="00ED7724" w:rsidRPr="00FF4990">
              <w:rPr>
                <w:rFonts w:cs="Arial"/>
                <w:szCs w:val="22"/>
                <w:lang w:val="fr-CA"/>
              </w:rPr>
              <w:t>3</w:t>
            </w:r>
            <w:r w:rsidR="00D32A66">
              <w:rPr>
                <w:rFonts w:cs="Arial"/>
                <w:szCs w:val="22"/>
                <w:lang w:val="fr-CA"/>
              </w:rPr>
              <w:t xml:space="preserve"> à l’égard de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[</w:t>
            </w:r>
            <w:r w:rsidR="008F25D8">
              <w:rPr>
                <w:rFonts w:cs="Arial"/>
                <w:szCs w:val="22"/>
                <w:lang w:val="fr-CA"/>
              </w:rPr>
              <w:t xml:space="preserve">la </w:t>
            </w:r>
            <w:r w:rsidR="00ED7724" w:rsidRPr="00FF4990">
              <w:rPr>
                <w:rFonts w:cs="Arial"/>
                <w:szCs w:val="22"/>
                <w:lang w:val="fr-CA"/>
              </w:rPr>
              <w:t>person</w:t>
            </w:r>
            <w:r w:rsidR="00D32A66">
              <w:rPr>
                <w:rFonts w:cs="Arial"/>
                <w:szCs w:val="22"/>
                <w:lang w:val="fr-CA"/>
              </w:rPr>
              <w:t>ne</w:t>
            </w:r>
            <w:r w:rsidR="00ED7724" w:rsidRPr="00FF4990">
              <w:rPr>
                <w:rFonts w:cs="Arial"/>
                <w:szCs w:val="22"/>
                <w:lang w:val="fr-CA"/>
              </w:rPr>
              <w:t>].</w:t>
            </w:r>
          </w:p>
        </w:tc>
        <w:tc>
          <w:tcPr>
            <w:tcW w:w="4050" w:type="dxa"/>
          </w:tcPr>
          <w:p w14:paraId="66DCF8C6" w14:textId="77777777" w:rsidR="00B176D7" w:rsidRPr="00FF4990" w:rsidRDefault="00B176D7" w:rsidP="00B176D7">
            <w:pPr>
              <w:rPr>
                <w:rFonts w:cs="Arial"/>
                <w:szCs w:val="22"/>
                <w:lang w:val="fr-CA"/>
              </w:rPr>
            </w:pPr>
          </w:p>
        </w:tc>
      </w:tr>
      <w:tr w:rsidR="00C25B4E" w:rsidRPr="00FF4990" w14:paraId="7DC40009" w14:textId="77777777" w:rsidTr="0063492D">
        <w:tc>
          <w:tcPr>
            <w:tcW w:w="3438" w:type="dxa"/>
          </w:tcPr>
          <w:p w14:paraId="3DC53D1E" w14:textId="3A7155A4" w:rsidR="00B176D7" w:rsidRPr="00FF4990" w:rsidRDefault="00A863E1" w:rsidP="00B176D7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Questions ne relevant pas de la LPDNA soulevées dans</w:t>
            </w:r>
            <w:r w:rsidR="00A2534F">
              <w:rPr>
                <w:rFonts w:cs="Arial"/>
                <w:szCs w:val="22"/>
                <w:lang w:val="fr-CA"/>
              </w:rPr>
              <w:t xml:space="preserve"> le cadre d’</w:t>
            </w:r>
            <w:r w:rsidR="00BE3D1B">
              <w:rPr>
                <w:rFonts w:cs="Arial"/>
                <w:szCs w:val="22"/>
                <w:lang w:val="fr-CA"/>
              </w:rPr>
              <w:t>une</w:t>
            </w:r>
            <w:r>
              <w:rPr>
                <w:rFonts w:cs="Arial"/>
                <w:szCs w:val="22"/>
                <w:lang w:val="fr-CA"/>
              </w:rPr>
              <w:t xml:space="preserve"> requête </w:t>
            </w:r>
            <w:r w:rsidR="00D06B74">
              <w:rPr>
                <w:rFonts w:cs="Arial"/>
                <w:szCs w:val="22"/>
                <w:lang w:val="fr-CA"/>
              </w:rPr>
              <w:t>en vertu de</w:t>
            </w:r>
            <w:r>
              <w:rPr>
                <w:rFonts w:cs="Arial"/>
                <w:szCs w:val="22"/>
                <w:lang w:val="fr-CA"/>
              </w:rPr>
              <w:t xml:space="preserve"> la LPDNA</w:t>
            </w:r>
          </w:p>
        </w:tc>
        <w:tc>
          <w:tcPr>
            <w:tcW w:w="6300" w:type="dxa"/>
          </w:tcPr>
          <w:p w14:paraId="52C68ACE" w14:textId="6AF9D298" w:rsidR="00B176D7" w:rsidRPr="00FF4990" w:rsidRDefault="003B6473" w:rsidP="00B176D7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1B1572">
              <w:rPr>
                <w:rFonts w:cs="Arial"/>
                <w:szCs w:val="22"/>
                <w:lang w:val="fr-CA"/>
              </w:rPr>
              <w:t xml:space="preserve">l’avocat nommé en vertu de l’article </w:t>
            </w:r>
            <w:r w:rsidR="001B1572" w:rsidRPr="00FF4990">
              <w:rPr>
                <w:rFonts w:cs="Arial"/>
                <w:szCs w:val="22"/>
                <w:lang w:val="fr-CA"/>
              </w:rPr>
              <w:t>3</w:t>
            </w:r>
            <w:r w:rsidR="001B1572">
              <w:rPr>
                <w:rFonts w:cs="Arial"/>
                <w:szCs w:val="22"/>
                <w:lang w:val="fr-CA"/>
              </w:rPr>
              <w:t xml:space="preserve"> puisse obtenir et présenter de</w:t>
            </w:r>
            <w:r w:rsidR="0041287E">
              <w:rPr>
                <w:rFonts w:cs="Arial"/>
                <w:szCs w:val="22"/>
                <w:lang w:val="fr-CA"/>
              </w:rPr>
              <w:t>s preuves concernant la thèse</w:t>
            </w:r>
            <w:r w:rsidR="001B1572">
              <w:rPr>
                <w:rFonts w:cs="Arial"/>
                <w:szCs w:val="22"/>
                <w:lang w:val="fr-CA"/>
              </w:rPr>
              <w:t xml:space="preserve"> de </w:t>
            </w:r>
            <w:r w:rsidR="00ED7724" w:rsidRPr="00FF4990">
              <w:rPr>
                <w:rFonts w:cs="Arial"/>
                <w:szCs w:val="22"/>
                <w:lang w:val="fr-CA"/>
              </w:rPr>
              <w:t>[</w:t>
            </w:r>
            <w:r w:rsidR="008F25D8">
              <w:rPr>
                <w:rFonts w:cs="Arial"/>
                <w:szCs w:val="22"/>
                <w:lang w:val="fr-CA"/>
              </w:rPr>
              <w:t xml:space="preserve">la </w:t>
            </w:r>
            <w:r w:rsidR="001B1572">
              <w:rPr>
                <w:rFonts w:cs="Arial"/>
                <w:szCs w:val="22"/>
                <w:lang w:val="fr-CA"/>
              </w:rPr>
              <w:t>personne</w:t>
            </w:r>
            <w:r w:rsidR="00ED7724" w:rsidRPr="00FF4990">
              <w:rPr>
                <w:rFonts w:cs="Arial"/>
                <w:szCs w:val="22"/>
                <w:lang w:val="fr-CA"/>
              </w:rPr>
              <w:t>]</w:t>
            </w:r>
            <w:r w:rsidR="001B1572">
              <w:rPr>
                <w:rFonts w:cs="Arial"/>
                <w:szCs w:val="22"/>
                <w:lang w:val="fr-CA"/>
              </w:rPr>
              <w:t xml:space="preserve"> sur</w:t>
            </w:r>
            <w:r w:rsidR="0041287E">
              <w:rPr>
                <w:rFonts w:cs="Arial"/>
                <w:szCs w:val="22"/>
                <w:lang w:val="fr-CA"/>
              </w:rPr>
              <w:t xml:space="preserve"> [CONSIGNER</w:t>
            </w:r>
            <w:r w:rsidR="001B1572">
              <w:rPr>
                <w:rFonts w:cs="Arial"/>
                <w:szCs w:val="22"/>
                <w:lang w:val="fr-CA"/>
              </w:rPr>
              <w:t xml:space="preserve"> LES QUESTIONS DANS L’INSTANCE QUI NE RELÈVENT PAS DE LA LPDNA</w:t>
            </w:r>
            <w:r w:rsidR="00ED7724" w:rsidRPr="00FF4990">
              <w:rPr>
                <w:rFonts w:cs="Arial"/>
                <w:szCs w:val="22"/>
                <w:lang w:val="fr-CA"/>
              </w:rPr>
              <w:t>].</w:t>
            </w:r>
          </w:p>
        </w:tc>
        <w:tc>
          <w:tcPr>
            <w:tcW w:w="4050" w:type="dxa"/>
          </w:tcPr>
          <w:p w14:paraId="25C7D1AF" w14:textId="5827412B" w:rsidR="00B176D7" w:rsidRPr="00FF4990" w:rsidRDefault="00B105DF" w:rsidP="00B176D7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 xml:space="preserve">Compétence : </w:t>
            </w:r>
            <w:r>
              <w:rPr>
                <w:rFonts w:cs="Arial"/>
                <w:iCs/>
                <w:szCs w:val="22"/>
                <w:lang w:val="fr-CA"/>
              </w:rPr>
              <w:t>compétence inhérente du tribunal</w:t>
            </w:r>
            <w:r w:rsidRPr="00FF4990">
              <w:rPr>
                <w:rFonts w:cs="Arial"/>
                <w:iCs/>
                <w:szCs w:val="22"/>
                <w:lang w:val="fr-CA"/>
              </w:rPr>
              <w:t xml:space="preserve"> (</w:t>
            </w:r>
            <w:r>
              <w:rPr>
                <w:rFonts w:cs="Arial"/>
                <w:iCs/>
                <w:szCs w:val="22"/>
                <w:lang w:val="fr-CA"/>
              </w:rPr>
              <w:t>voir</w:t>
            </w:r>
            <w:r w:rsidRPr="00FF4990">
              <w:rPr>
                <w:rFonts w:cs="Arial"/>
                <w:iCs/>
                <w:szCs w:val="22"/>
                <w:lang w:val="fr-CA"/>
              </w:rPr>
              <w:t xml:space="preserve"> </w:t>
            </w:r>
            <w:r w:rsidRPr="00FF4990">
              <w:rPr>
                <w:rFonts w:cs="Arial"/>
                <w:i/>
                <w:szCs w:val="22"/>
                <w:lang w:val="fr-CA"/>
              </w:rPr>
              <w:t xml:space="preserve">Ontario </w:t>
            </w:r>
            <w:r>
              <w:rPr>
                <w:rFonts w:cs="Arial"/>
                <w:i/>
                <w:szCs w:val="22"/>
                <w:lang w:val="fr-CA"/>
              </w:rPr>
              <w:t>c</w:t>
            </w:r>
            <w:r w:rsidRPr="00FF4990">
              <w:rPr>
                <w:rFonts w:cs="Arial"/>
                <w:i/>
                <w:szCs w:val="22"/>
                <w:lang w:val="fr-CA"/>
              </w:rPr>
              <w:t>. Criminal Lawyers’ Association of Ontario</w:t>
            </w:r>
            <w:r w:rsidRPr="00FF4990">
              <w:rPr>
                <w:rFonts w:cs="Arial"/>
                <w:iCs/>
                <w:szCs w:val="22"/>
                <w:lang w:val="fr-CA"/>
              </w:rPr>
              <w:t>, 2013 C</w:t>
            </w:r>
            <w:r>
              <w:rPr>
                <w:rFonts w:cs="Arial"/>
                <w:iCs/>
                <w:szCs w:val="22"/>
                <w:lang w:val="fr-CA"/>
              </w:rPr>
              <w:t>S</w:t>
            </w:r>
            <w:r w:rsidRPr="00FF4990">
              <w:rPr>
                <w:rFonts w:cs="Arial"/>
                <w:iCs/>
                <w:szCs w:val="22"/>
                <w:lang w:val="fr-CA"/>
              </w:rPr>
              <w:t>C 43 (CanLII), [2013] 3 R</w:t>
            </w:r>
            <w:r>
              <w:rPr>
                <w:rFonts w:cs="Arial"/>
                <w:iCs/>
                <w:szCs w:val="22"/>
                <w:lang w:val="fr-CA"/>
              </w:rPr>
              <w:t>CS</w:t>
            </w:r>
            <w:r w:rsidRPr="00FF4990">
              <w:rPr>
                <w:rFonts w:cs="Arial"/>
                <w:iCs/>
                <w:szCs w:val="22"/>
                <w:lang w:val="fr-CA"/>
              </w:rPr>
              <w:t xml:space="preserve"> 3</w:t>
            </w:r>
            <w:r>
              <w:rPr>
                <w:rFonts w:cs="Arial"/>
                <w:iCs/>
                <w:szCs w:val="22"/>
                <w:lang w:val="fr-CA"/>
              </w:rPr>
              <w:t xml:space="preserve">, aux </w:t>
            </w:r>
            <w:r w:rsidRPr="00FF4990">
              <w:rPr>
                <w:rFonts w:cs="Arial"/>
                <w:iCs/>
                <w:szCs w:val="22"/>
                <w:lang w:val="fr-CA"/>
              </w:rPr>
              <w:t>paragraph</w:t>
            </w:r>
            <w:r>
              <w:rPr>
                <w:rFonts w:cs="Arial"/>
                <w:iCs/>
                <w:szCs w:val="22"/>
                <w:lang w:val="fr-CA"/>
              </w:rPr>
              <w:t>e</w:t>
            </w:r>
            <w:r w:rsidRPr="00FF4990">
              <w:rPr>
                <w:rFonts w:cs="Arial"/>
                <w:iCs/>
                <w:szCs w:val="22"/>
                <w:lang w:val="fr-CA"/>
              </w:rPr>
              <w:t xml:space="preserve">s 17 </w:t>
            </w:r>
            <w:r>
              <w:rPr>
                <w:rFonts w:cs="Arial"/>
                <w:iCs/>
                <w:szCs w:val="22"/>
                <w:lang w:val="fr-CA"/>
              </w:rPr>
              <w:t>à</w:t>
            </w:r>
            <w:r w:rsidRPr="00FF4990">
              <w:rPr>
                <w:rFonts w:cs="Arial"/>
                <w:iCs/>
                <w:szCs w:val="22"/>
                <w:lang w:val="fr-CA"/>
              </w:rPr>
              <w:t xml:space="preserve"> 26)</w:t>
            </w:r>
            <w:r>
              <w:rPr>
                <w:rFonts w:cs="Arial"/>
                <w:iCs/>
                <w:szCs w:val="22"/>
                <w:lang w:val="fr-CA"/>
              </w:rPr>
              <w:t>.</w:t>
            </w:r>
          </w:p>
        </w:tc>
      </w:tr>
      <w:tr w:rsidR="00C25B4E" w:rsidRPr="00FF4990" w14:paraId="28E58049" w14:textId="77777777" w:rsidTr="0063492D">
        <w:tc>
          <w:tcPr>
            <w:tcW w:w="3438" w:type="dxa"/>
          </w:tcPr>
          <w:p w14:paraId="634254D3" w14:textId="132E5755" w:rsidR="00B176D7" w:rsidRPr="00FF4990" w:rsidRDefault="00EB15DA" w:rsidP="00B176D7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Surveillance et enregistrement interdits</w:t>
            </w:r>
          </w:p>
        </w:tc>
        <w:tc>
          <w:tcPr>
            <w:tcW w:w="6300" w:type="dxa"/>
          </w:tcPr>
          <w:p w14:paraId="02BD10BA" w14:textId="3A25336A" w:rsidR="00B176D7" w:rsidRPr="00FF4990" w:rsidRDefault="003B6473" w:rsidP="00B176D7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</w:t>
            </w:r>
            <w:r w:rsidR="00CF34E2">
              <w:rPr>
                <w:rFonts w:cs="Arial"/>
                <w:szCs w:val="22"/>
                <w:lang w:val="fr-CA"/>
              </w:rPr>
              <w:t>’il soit interdit aux</w:t>
            </w:r>
            <w:r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ED7724" w:rsidRPr="00FF4990">
              <w:rPr>
                <w:rFonts w:cs="Arial"/>
                <w:szCs w:val="22"/>
                <w:lang w:val="fr-CA"/>
              </w:rPr>
              <w:t>[parties]</w:t>
            </w:r>
            <w:r w:rsidR="00CF34E2">
              <w:rPr>
                <w:rFonts w:cs="Arial"/>
                <w:szCs w:val="22"/>
                <w:lang w:val="fr-CA"/>
              </w:rPr>
              <w:t xml:space="preserve"> autres que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[</w:t>
            </w:r>
            <w:r w:rsidR="00CF34E2">
              <w:rPr>
                <w:rFonts w:cs="Arial"/>
                <w:szCs w:val="22"/>
                <w:lang w:val="fr-CA"/>
              </w:rPr>
              <w:t>l’avocat</w:t>
            </w:r>
            <w:r w:rsidR="00ED7724" w:rsidRPr="00FF4990">
              <w:rPr>
                <w:rFonts w:cs="Arial"/>
                <w:szCs w:val="22"/>
                <w:lang w:val="fr-CA"/>
              </w:rPr>
              <w:t>/</w:t>
            </w:r>
            <w:r w:rsidR="00CF34E2">
              <w:rPr>
                <w:rFonts w:cs="Arial"/>
                <w:szCs w:val="22"/>
                <w:lang w:val="fr-CA"/>
              </w:rPr>
              <w:t>l’avocat nommé en vertu de l’art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. 3] </w:t>
            </w:r>
            <w:r w:rsidR="00CF34E2">
              <w:rPr>
                <w:rFonts w:cs="Arial"/>
                <w:szCs w:val="22"/>
                <w:lang w:val="fr-CA"/>
              </w:rPr>
              <w:t>de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[</w:t>
            </w:r>
            <w:r w:rsidR="00CF34E2">
              <w:rPr>
                <w:rFonts w:cs="Arial"/>
                <w:szCs w:val="22"/>
                <w:lang w:val="fr-CA"/>
              </w:rPr>
              <w:t>la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person</w:t>
            </w:r>
            <w:r w:rsidR="00CF34E2">
              <w:rPr>
                <w:rFonts w:cs="Arial"/>
                <w:szCs w:val="22"/>
                <w:lang w:val="fr-CA"/>
              </w:rPr>
              <w:t>ne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] </w:t>
            </w:r>
            <w:r w:rsidR="00935BE1">
              <w:rPr>
                <w:rFonts w:cs="Arial"/>
                <w:szCs w:val="22"/>
                <w:lang w:val="fr-CA"/>
              </w:rPr>
              <w:t xml:space="preserve">d’enregistrer, notamment sur bande magnétique ou </w:t>
            </w:r>
            <w:r w:rsidR="00935BE1">
              <w:rPr>
                <w:rFonts w:cs="Arial"/>
                <w:szCs w:val="22"/>
                <w:lang w:val="fr-CA"/>
              </w:rPr>
              <w:lastRenderedPageBreak/>
              <w:t>vidéo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, </w:t>
            </w:r>
            <w:r w:rsidR="00935BE1">
              <w:rPr>
                <w:rFonts w:cs="Arial"/>
                <w:szCs w:val="22"/>
                <w:lang w:val="fr-CA"/>
              </w:rPr>
              <w:t>ou de surveiller autrement les réunions ou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communications </w:t>
            </w:r>
            <w:r w:rsidR="00935BE1">
              <w:rPr>
                <w:rFonts w:cs="Arial"/>
                <w:szCs w:val="22"/>
                <w:lang w:val="fr-CA"/>
              </w:rPr>
              <w:t>entre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[</w:t>
            </w:r>
            <w:r w:rsidR="00935BE1">
              <w:rPr>
                <w:rFonts w:cs="Arial"/>
                <w:szCs w:val="22"/>
                <w:lang w:val="fr-CA"/>
              </w:rPr>
              <w:t>la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person</w:t>
            </w:r>
            <w:r w:rsidR="00935BE1">
              <w:rPr>
                <w:rFonts w:cs="Arial"/>
                <w:szCs w:val="22"/>
                <w:lang w:val="fr-CA"/>
              </w:rPr>
              <w:t>ne</w:t>
            </w:r>
            <w:r w:rsidR="00ED7724" w:rsidRPr="00FF4990">
              <w:rPr>
                <w:rFonts w:cs="Arial"/>
                <w:szCs w:val="22"/>
                <w:lang w:val="fr-CA"/>
              </w:rPr>
              <w:t>]</w:t>
            </w:r>
            <w:r w:rsidR="00935BE1">
              <w:rPr>
                <w:rFonts w:cs="Arial"/>
                <w:szCs w:val="22"/>
                <w:lang w:val="fr-CA"/>
              </w:rPr>
              <w:t xml:space="preserve"> et son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[</w:t>
            </w:r>
            <w:r w:rsidR="00935BE1">
              <w:rPr>
                <w:rFonts w:cs="Arial"/>
                <w:szCs w:val="22"/>
                <w:lang w:val="fr-CA"/>
              </w:rPr>
              <w:t>avocat</w:t>
            </w:r>
            <w:r w:rsidR="00935BE1" w:rsidRPr="00FF4990">
              <w:rPr>
                <w:rFonts w:cs="Arial"/>
                <w:szCs w:val="22"/>
                <w:lang w:val="fr-CA"/>
              </w:rPr>
              <w:t>/</w:t>
            </w:r>
            <w:r w:rsidR="00935BE1">
              <w:rPr>
                <w:rFonts w:cs="Arial"/>
                <w:szCs w:val="22"/>
                <w:lang w:val="fr-CA"/>
              </w:rPr>
              <w:t>avocat nommé en vertu de l’art</w:t>
            </w:r>
            <w:r w:rsidR="00935BE1" w:rsidRPr="00FF4990">
              <w:rPr>
                <w:rFonts w:cs="Arial"/>
                <w:szCs w:val="22"/>
                <w:lang w:val="fr-CA"/>
              </w:rPr>
              <w:t>. 3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]. </w:t>
            </w:r>
          </w:p>
        </w:tc>
        <w:tc>
          <w:tcPr>
            <w:tcW w:w="4050" w:type="dxa"/>
          </w:tcPr>
          <w:p w14:paraId="2A375C87" w14:textId="77777777" w:rsidR="00B176D7" w:rsidRPr="00FF4990" w:rsidRDefault="00B176D7" w:rsidP="00B176D7">
            <w:pPr>
              <w:rPr>
                <w:rFonts w:cs="Arial"/>
                <w:szCs w:val="22"/>
                <w:lang w:val="fr-CA"/>
              </w:rPr>
            </w:pPr>
          </w:p>
        </w:tc>
      </w:tr>
      <w:tr w:rsidR="00C25B4E" w:rsidRPr="00FF4990" w14:paraId="574AE880" w14:textId="77777777" w:rsidTr="0063492D">
        <w:tc>
          <w:tcPr>
            <w:tcW w:w="3438" w:type="dxa"/>
          </w:tcPr>
          <w:p w14:paraId="077747D1" w14:textId="42C0DE68" w:rsidR="00B176D7" w:rsidRPr="00FF4990" w:rsidRDefault="00BB523A" w:rsidP="00B176D7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Fourniture de renseignements concernant</w:t>
            </w:r>
            <w:r w:rsidR="007D2A8D">
              <w:rPr>
                <w:rFonts w:cs="Arial"/>
                <w:szCs w:val="22"/>
                <w:lang w:val="fr-CA"/>
              </w:rPr>
              <w:t xml:space="preserve"> </w:t>
            </w:r>
            <w:r w:rsidR="006544C3">
              <w:rPr>
                <w:rFonts w:cs="Arial"/>
                <w:szCs w:val="22"/>
                <w:lang w:val="fr-CA"/>
              </w:rPr>
              <w:t xml:space="preserve">l’état de santé </w:t>
            </w:r>
            <w:r w:rsidR="007D2A8D">
              <w:rPr>
                <w:rFonts w:cs="Arial"/>
                <w:szCs w:val="22"/>
                <w:lang w:val="fr-CA"/>
              </w:rPr>
              <w:t>et le plan de traitement</w:t>
            </w:r>
          </w:p>
        </w:tc>
        <w:tc>
          <w:tcPr>
            <w:tcW w:w="6300" w:type="dxa"/>
          </w:tcPr>
          <w:p w14:paraId="060AC17F" w14:textId="49169925" w:rsidR="00B176D7" w:rsidRPr="00FF4990" w:rsidRDefault="003B6473" w:rsidP="00B176D7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="00523463">
              <w:rPr>
                <w:rFonts w:cs="Arial"/>
                <w:szCs w:val="22"/>
                <w:lang w:val="fr-CA"/>
              </w:rPr>
              <w:t>, sur consentement et sous toutes réserves,</w:t>
            </w:r>
            <w:r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ED7724" w:rsidRPr="00FF4990">
              <w:rPr>
                <w:rFonts w:cs="Arial"/>
                <w:szCs w:val="22"/>
                <w:lang w:val="fr-CA"/>
              </w:rPr>
              <w:t>[</w:t>
            </w:r>
            <w:r w:rsidR="00523463">
              <w:rPr>
                <w:rFonts w:cs="Arial"/>
                <w:szCs w:val="22"/>
                <w:lang w:val="fr-CA"/>
              </w:rPr>
              <w:t xml:space="preserve">la/les </w:t>
            </w:r>
            <w:r w:rsidR="00ED7724" w:rsidRPr="00FF4990">
              <w:rPr>
                <w:rFonts w:cs="Arial"/>
                <w:szCs w:val="22"/>
                <w:lang w:val="fr-CA"/>
              </w:rPr>
              <w:t>partie</w:t>
            </w:r>
            <w:r w:rsidR="00523463">
              <w:rPr>
                <w:rFonts w:cs="Arial"/>
                <w:szCs w:val="22"/>
                <w:lang w:val="fr-CA"/>
              </w:rPr>
              <w:t>(</w:t>
            </w:r>
            <w:r w:rsidR="00ED7724" w:rsidRPr="00FF4990">
              <w:rPr>
                <w:rFonts w:cs="Arial"/>
                <w:szCs w:val="22"/>
                <w:lang w:val="fr-CA"/>
              </w:rPr>
              <w:t>s</w:t>
            </w:r>
            <w:r w:rsidR="00523463">
              <w:rPr>
                <w:rFonts w:cs="Arial"/>
                <w:szCs w:val="22"/>
                <w:lang w:val="fr-CA"/>
              </w:rPr>
              <w:t>)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] </w:t>
            </w:r>
            <w:r w:rsidR="00523463">
              <w:rPr>
                <w:rFonts w:cs="Arial"/>
                <w:szCs w:val="22"/>
                <w:lang w:val="fr-CA"/>
              </w:rPr>
              <w:t>fourni</w:t>
            </w:r>
            <w:r w:rsidR="0041287E">
              <w:rPr>
                <w:rFonts w:cs="Arial"/>
                <w:szCs w:val="22"/>
                <w:lang w:val="fr-CA"/>
              </w:rPr>
              <w:t>t/fournissent</w:t>
            </w:r>
            <w:r w:rsidR="00523463">
              <w:rPr>
                <w:rFonts w:cs="Arial"/>
                <w:szCs w:val="22"/>
                <w:lang w:val="fr-CA"/>
              </w:rPr>
              <w:t xml:space="preserve"> des renseignements à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[</w:t>
            </w:r>
            <w:r w:rsidR="00523463">
              <w:rPr>
                <w:rFonts w:cs="Arial"/>
                <w:szCs w:val="22"/>
                <w:lang w:val="fr-CA"/>
              </w:rPr>
              <w:t>l’avocat nommé en vertu de l’article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3,</w:t>
            </w:r>
            <w:r w:rsidR="00523463">
              <w:rPr>
                <w:rFonts w:cs="Arial"/>
                <w:szCs w:val="22"/>
                <w:lang w:val="fr-CA"/>
              </w:rPr>
              <w:t xml:space="preserve"> toute autre 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partie] </w:t>
            </w:r>
            <w:r w:rsidR="00523463">
              <w:rPr>
                <w:rFonts w:cs="Arial"/>
                <w:szCs w:val="22"/>
                <w:lang w:val="fr-CA"/>
              </w:rPr>
              <w:t xml:space="preserve">le </w:t>
            </w:r>
            <w:r w:rsidR="00ED7724" w:rsidRPr="00FF4990">
              <w:rPr>
                <w:rFonts w:cs="Arial"/>
                <w:szCs w:val="22"/>
                <w:lang w:val="fr-CA"/>
              </w:rPr>
              <w:t>[date]</w:t>
            </w:r>
            <w:r w:rsidR="00523463">
              <w:rPr>
                <w:rFonts w:cs="Arial"/>
                <w:szCs w:val="22"/>
                <w:lang w:val="fr-CA"/>
              </w:rPr>
              <w:t>, ou avant cette date, au sujet de l’état de santé actuel et du plan de traitement de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[</w:t>
            </w:r>
            <w:r w:rsidR="00523463">
              <w:rPr>
                <w:rFonts w:cs="Arial"/>
                <w:szCs w:val="22"/>
                <w:lang w:val="fr-CA"/>
              </w:rPr>
              <w:t xml:space="preserve">la </w:t>
            </w:r>
            <w:r w:rsidR="00ED7724" w:rsidRPr="00FF4990">
              <w:rPr>
                <w:rFonts w:cs="Arial"/>
                <w:szCs w:val="22"/>
                <w:lang w:val="fr-CA"/>
              </w:rPr>
              <w:t>person</w:t>
            </w:r>
            <w:r w:rsidR="00523463">
              <w:rPr>
                <w:rFonts w:cs="Arial"/>
                <w:szCs w:val="22"/>
                <w:lang w:val="fr-CA"/>
              </w:rPr>
              <w:t>ne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] </w:t>
            </w:r>
            <w:r w:rsidR="0041287E">
              <w:rPr>
                <w:rFonts w:cs="Arial"/>
                <w:szCs w:val="22"/>
                <w:lang w:val="fr-CA"/>
              </w:rPr>
              <w:t>et l’</w:t>
            </w:r>
            <w:r w:rsidR="00523463">
              <w:rPr>
                <w:rFonts w:cs="Arial"/>
                <w:szCs w:val="22"/>
                <w:lang w:val="fr-CA"/>
              </w:rPr>
              <w:t>informe</w:t>
            </w:r>
            <w:r w:rsidR="0041287E">
              <w:rPr>
                <w:rFonts w:cs="Arial"/>
                <w:szCs w:val="22"/>
                <w:lang w:val="fr-CA"/>
              </w:rPr>
              <w:t>/les informent</w:t>
            </w:r>
            <w:r w:rsidR="00523463">
              <w:rPr>
                <w:rFonts w:cs="Arial"/>
                <w:szCs w:val="22"/>
                <w:lang w:val="fr-CA"/>
              </w:rPr>
              <w:t xml:space="preserve"> de tout changement important </w:t>
            </w:r>
            <w:r w:rsidR="00207C2A">
              <w:rPr>
                <w:rFonts w:cs="Arial"/>
                <w:szCs w:val="22"/>
                <w:lang w:val="fr-CA"/>
              </w:rPr>
              <w:t>de l’état de santé, de l’horaire ou du plan de traitement de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[</w:t>
            </w:r>
            <w:r w:rsidR="00207C2A">
              <w:rPr>
                <w:rFonts w:cs="Arial"/>
                <w:szCs w:val="22"/>
                <w:lang w:val="fr-CA"/>
              </w:rPr>
              <w:t>la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person</w:t>
            </w:r>
            <w:r w:rsidR="00207C2A">
              <w:rPr>
                <w:rFonts w:cs="Arial"/>
                <w:szCs w:val="22"/>
                <w:lang w:val="fr-CA"/>
              </w:rPr>
              <w:t>ne</w:t>
            </w:r>
            <w:r w:rsidR="00ED7724" w:rsidRPr="00FF4990">
              <w:rPr>
                <w:rFonts w:cs="Arial"/>
                <w:szCs w:val="22"/>
                <w:lang w:val="fr-CA"/>
              </w:rPr>
              <w:t>]</w:t>
            </w:r>
            <w:r w:rsidR="002D4F52"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207C2A">
              <w:rPr>
                <w:rFonts w:cs="Arial"/>
                <w:szCs w:val="22"/>
                <w:lang w:val="fr-CA"/>
              </w:rPr>
              <w:t>jusqu’au règlement de</w:t>
            </w:r>
            <w:r w:rsidR="002D4F52" w:rsidRPr="00FF4990">
              <w:rPr>
                <w:rFonts w:cs="Arial"/>
                <w:szCs w:val="22"/>
                <w:lang w:val="fr-CA"/>
              </w:rPr>
              <w:t xml:space="preserve"> [</w:t>
            </w:r>
            <w:r w:rsidR="00207C2A">
              <w:rPr>
                <w:rFonts w:cs="Arial"/>
                <w:szCs w:val="22"/>
                <w:lang w:val="fr-CA"/>
              </w:rPr>
              <w:t>question</w:t>
            </w:r>
            <w:r w:rsidR="002D4F52" w:rsidRPr="00FF4990">
              <w:rPr>
                <w:rFonts w:cs="Arial"/>
                <w:szCs w:val="22"/>
                <w:lang w:val="fr-CA"/>
              </w:rPr>
              <w:t xml:space="preserve">] </w:t>
            </w:r>
            <w:r w:rsidR="00207C2A">
              <w:rPr>
                <w:rFonts w:cs="Arial"/>
                <w:szCs w:val="22"/>
                <w:lang w:val="fr-CA"/>
              </w:rPr>
              <w:t>ou jusqu’à la fin du mandat de</w:t>
            </w:r>
            <w:r w:rsidR="00207C2A" w:rsidRPr="00FF4990">
              <w:rPr>
                <w:rFonts w:cs="Arial"/>
                <w:szCs w:val="22"/>
                <w:lang w:val="fr-CA"/>
              </w:rPr>
              <w:t xml:space="preserve"> [</w:t>
            </w:r>
            <w:r w:rsidR="00207C2A">
              <w:rPr>
                <w:rFonts w:cs="Arial"/>
                <w:szCs w:val="22"/>
                <w:lang w:val="fr-CA"/>
              </w:rPr>
              <w:t>l’avocat nommé en vertu de l’article</w:t>
            </w:r>
            <w:r w:rsidR="00207C2A" w:rsidRPr="00FF4990">
              <w:rPr>
                <w:rFonts w:cs="Arial"/>
                <w:szCs w:val="22"/>
                <w:lang w:val="fr-CA"/>
              </w:rPr>
              <w:t xml:space="preserve"> 3] </w:t>
            </w:r>
            <w:r w:rsidR="00207C2A">
              <w:rPr>
                <w:rFonts w:cs="Arial"/>
                <w:szCs w:val="22"/>
                <w:lang w:val="fr-CA"/>
              </w:rPr>
              <w:t xml:space="preserve">comme avocat de </w:t>
            </w:r>
            <w:r w:rsidR="00207C2A" w:rsidRPr="00FF4990">
              <w:rPr>
                <w:rFonts w:cs="Arial"/>
                <w:szCs w:val="22"/>
                <w:lang w:val="fr-CA"/>
              </w:rPr>
              <w:t>[</w:t>
            </w:r>
            <w:r w:rsidR="00207C2A">
              <w:rPr>
                <w:rFonts w:cs="Arial"/>
                <w:szCs w:val="22"/>
                <w:lang w:val="fr-CA"/>
              </w:rPr>
              <w:t>la personne</w:t>
            </w:r>
            <w:r w:rsidR="00207C2A" w:rsidRPr="00FF4990">
              <w:rPr>
                <w:rFonts w:cs="Arial"/>
                <w:szCs w:val="22"/>
                <w:lang w:val="fr-CA"/>
              </w:rPr>
              <w:t>]</w:t>
            </w:r>
            <w:r w:rsidR="00207C2A">
              <w:rPr>
                <w:rFonts w:cs="Arial"/>
                <w:szCs w:val="22"/>
                <w:lang w:val="fr-CA"/>
              </w:rPr>
              <w:t>, selon le premier des deux événements</w:t>
            </w:r>
            <w:r w:rsidR="00207C2A" w:rsidRPr="00FF4990">
              <w:rPr>
                <w:rFonts w:cs="Arial"/>
                <w:szCs w:val="22"/>
                <w:lang w:val="fr-CA"/>
              </w:rPr>
              <w:t>.</w:t>
            </w:r>
          </w:p>
        </w:tc>
        <w:tc>
          <w:tcPr>
            <w:tcW w:w="4050" w:type="dxa"/>
          </w:tcPr>
          <w:p w14:paraId="65ADCAD3" w14:textId="77777777" w:rsidR="00B176D7" w:rsidRPr="00FF4990" w:rsidRDefault="00B176D7" w:rsidP="00B176D7">
            <w:pPr>
              <w:rPr>
                <w:rFonts w:cs="Arial"/>
                <w:szCs w:val="22"/>
                <w:lang w:val="fr-CA"/>
              </w:rPr>
            </w:pPr>
          </w:p>
        </w:tc>
      </w:tr>
      <w:tr w:rsidR="00C25B4E" w:rsidRPr="00FF4990" w14:paraId="3896B391" w14:textId="77777777" w:rsidTr="0063492D">
        <w:tc>
          <w:tcPr>
            <w:tcW w:w="3438" w:type="dxa"/>
          </w:tcPr>
          <w:p w14:paraId="6FC66D42" w14:textId="64F2500D" w:rsidR="00B176D7" w:rsidRPr="00FF4990" w:rsidRDefault="00DE6DD2" w:rsidP="00B176D7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szCs w:val="22"/>
                <w:lang w:val="fr-CA"/>
              </w:rPr>
              <w:t>Signification des documents de défense</w:t>
            </w:r>
          </w:p>
        </w:tc>
        <w:tc>
          <w:tcPr>
            <w:tcW w:w="6300" w:type="dxa"/>
          </w:tcPr>
          <w:p w14:paraId="2A5A795C" w14:textId="30610794" w:rsidR="00B176D7" w:rsidRPr="00FF4990" w:rsidRDefault="003B6473" w:rsidP="00B176D7">
            <w:pPr>
              <w:rPr>
                <w:rFonts w:cs="Arial"/>
                <w:szCs w:val="22"/>
                <w:lang w:val="fr-CA"/>
              </w:rPr>
            </w:pPr>
            <w:r>
              <w:rPr>
                <w:rFonts w:cs="Arial"/>
                <w:bCs/>
                <w:szCs w:val="22"/>
                <w:lang w:val="fr-CA"/>
              </w:rPr>
              <w:t>LE TRIBUNAL ORDONNE</w:t>
            </w:r>
            <w:r w:rsidRPr="004C2DF8">
              <w:rPr>
                <w:rFonts w:cs="Arial"/>
                <w:szCs w:val="22"/>
                <w:lang w:val="fr-CA"/>
              </w:rPr>
              <w:t xml:space="preserve"> </w:t>
            </w:r>
            <w:r>
              <w:rPr>
                <w:rFonts w:cs="Arial"/>
                <w:szCs w:val="22"/>
                <w:lang w:val="fr-CA"/>
              </w:rPr>
              <w:t>que</w:t>
            </w:r>
            <w:r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ED7724" w:rsidRPr="00FF4990">
              <w:rPr>
                <w:rFonts w:cs="Arial"/>
                <w:szCs w:val="22"/>
                <w:lang w:val="fr-CA"/>
              </w:rPr>
              <w:t>[</w:t>
            </w:r>
            <w:r w:rsidR="00554E43">
              <w:rPr>
                <w:rFonts w:cs="Arial"/>
                <w:szCs w:val="22"/>
                <w:lang w:val="fr-CA"/>
              </w:rPr>
              <w:t>la/les parti</w:t>
            </w:r>
            <w:r w:rsidR="00ED7724" w:rsidRPr="00FF4990">
              <w:rPr>
                <w:rFonts w:cs="Arial"/>
                <w:szCs w:val="22"/>
                <w:lang w:val="fr-CA"/>
              </w:rPr>
              <w:t>e</w:t>
            </w:r>
            <w:r w:rsidR="00554E43">
              <w:rPr>
                <w:rFonts w:cs="Arial"/>
                <w:szCs w:val="22"/>
                <w:lang w:val="fr-CA"/>
              </w:rPr>
              <w:t>(</w:t>
            </w:r>
            <w:r w:rsidR="00ED7724" w:rsidRPr="00FF4990">
              <w:rPr>
                <w:rFonts w:cs="Arial"/>
                <w:szCs w:val="22"/>
                <w:lang w:val="fr-CA"/>
              </w:rPr>
              <w:t>s</w:t>
            </w:r>
            <w:r w:rsidR="00554E43">
              <w:rPr>
                <w:rFonts w:cs="Arial"/>
                <w:szCs w:val="22"/>
                <w:lang w:val="fr-CA"/>
              </w:rPr>
              <w:t>)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] </w:t>
            </w:r>
            <w:r w:rsidR="00554E43">
              <w:rPr>
                <w:rFonts w:cs="Arial"/>
                <w:szCs w:val="22"/>
                <w:lang w:val="fr-CA"/>
              </w:rPr>
              <w:t>signifie(nt) et dépose(nt) les documents de défense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  <w:r w:rsidR="00E04B8B">
              <w:rPr>
                <w:rFonts w:cs="Arial"/>
                <w:szCs w:val="22"/>
                <w:lang w:val="fr-CA"/>
              </w:rPr>
              <w:t xml:space="preserve">dans les </w:t>
            </w:r>
            <w:r w:rsidR="00ED7724" w:rsidRPr="00FF4990">
              <w:rPr>
                <w:rFonts w:cs="Arial"/>
                <w:szCs w:val="22"/>
                <w:lang w:val="fr-CA"/>
              </w:rPr>
              <w:t>[</w:t>
            </w:r>
            <w:r w:rsidR="00E04B8B">
              <w:rPr>
                <w:rFonts w:cs="Arial"/>
                <w:szCs w:val="22"/>
                <w:lang w:val="fr-CA"/>
              </w:rPr>
              <w:t>nombre de jours</w:t>
            </w:r>
            <w:r w:rsidR="00ED7724" w:rsidRPr="00FF4990">
              <w:rPr>
                <w:rFonts w:cs="Arial"/>
                <w:szCs w:val="22"/>
                <w:lang w:val="fr-CA"/>
              </w:rPr>
              <w:t>]</w:t>
            </w:r>
            <w:r w:rsidR="00E04B8B">
              <w:rPr>
                <w:rFonts w:cs="Arial"/>
                <w:szCs w:val="22"/>
                <w:lang w:val="fr-CA"/>
              </w:rPr>
              <w:t xml:space="preserve"> jours de la date de la présente ordonnance.</w:t>
            </w:r>
            <w:r w:rsidR="00ED7724" w:rsidRPr="00FF4990">
              <w:rPr>
                <w:rFonts w:cs="Arial"/>
                <w:szCs w:val="22"/>
                <w:lang w:val="fr-CA"/>
              </w:rPr>
              <w:t xml:space="preserve"> </w:t>
            </w:r>
          </w:p>
        </w:tc>
        <w:tc>
          <w:tcPr>
            <w:tcW w:w="4050" w:type="dxa"/>
          </w:tcPr>
          <w:p w14:paraId="6BEE85FA" w14:textId="77777777" w:rsidR="00B176D7" w:rsidRPr="00FF4990" w:rsidRDefault="00B176D7" w:rsidP="00B176D7">
            <w:pPr>
              <w:rPr>
                <w:rFonts w:cs="Arial"/>
                <w:szCs w:val="22"/>
                <w:lang w:val="fr-CA"/>
              </w:rPr>
            </w:pPr>
          </w:p>
        </w:tc>
      </w:tr>
      <w:tr w:rsidR="00C25B4E" w:rsidRPr="00FF4990" w14:paraId="574CDB2D" w14:textId="77777777" w:rsidTr="002A5897">
        <w:tc>
          <w:tcPr>
            <w:tcW w:w="13788" w:type="dxa"/>
            <w:gridSpan w:val="3"/>
          </w:tcPr>
          <w:p w14:paraId="0873A350" w14:textId="62F4DC27" w:rsidR="00B176D7" w:rsidRPr="00FF4990" w:rsidRDefault="002A05A3" w:rsidP="00B176D7">
            <w:pPr>
              <w:jc w:val="center"/>
              <w:rPr>
                <w:rFonts w:cs="Arial"/>
                <w:b/>
                <w:i/>
                <w:szCs w:val="22"/>
                <w:lang w:val="fr-CA"/>
              </w:rPr>
            </w:pPr>
            <w:r>
              <w:rPr>
                <w:rFonts w:cs="Arial"/>
                <w:b/>
                <w:i/>
                <w:szCs w:val="22"/>
                <w:lang w:val="fr-CA"/>
              </w:rPr>
              <w:t xml:space="preserve">Fin </w:t>
            </w:r>
            <w:r w:rsidR="003352B5">
              <w:rPr>
                <w:rFonts w:cs="Arial"/>
                <w:b/>
                <w:i/>
                <w:szCs w:val="22"/>
                <w:lang w:val="fr-CA"/>
              </w:rPr>
              <w:t>du mandat</w:t>
            </w:r>
            <w:r w:rsidR="00ED7724" w:rsidRPr="00FF4990">
              <w:rPr>
                <w:rFonts w:cs="Arial"/>
                <w:b/>
                <w:i/>
                <w:szCs w:val="22"/>
                <w:lang w:val="fr-CA"/>
              </w:rPr>
              <w:t xml:space="preserve"> </w:t>
            </w:r>
          </w:p>
        </w:tc>
      </w:tr>
      <w:tr w:rsidR="00C25B4E" w:rsidRPr="00FF4990" w14:paraId="697A8833" w14:textId="77777777" w:rsidTr="0063492D">
        <w:tc>
          <w:tcPr>
            <w:tcW w:w="3438" w:type="dxa"/>
          </w:tcPr>
          <w:p w14:paraId="3A812025" w14:textId="77777777" w:rsidR="00B176D7" w:rsidRPr="00FF4990" w:rsidRDefault="00B176D7" w:rsidP="00B176D7">
            <w:pPr>
              <w:rPr>
                <w:rFonts w:cs="Arial"/>
                <w:szCs w:val="22"/>
                <w:lang w:val="fr-CA"/>
              </w:rPr>
            </w:pPr>
          </w:p>
        </w:tc>
        <w:tc>
          <w:tcPr>
            <w:tcW w:w="6300" w:type="dxa"/>
          </w:tcPr>
          <w:p w14:paraId="06BAFA45" w14:textId="3F7B28B7" w:rsidR="00B176D7" w:rsidRPr="00FF4990" w:rsidRDefault="008136CB" w:rsidP="00B176D7">
            <w:pPr>
              <w:rPr>
                <w:rFonts w:cs="Arial"/>
                <w:bCs/>
                <w:szCs w:val="22"/>
                <w:lang w:val="fr-CA"/>
              </w:rPr>
            </w:pPr>
            <w:r w:rsidRPr="008136CB">
              <w:rPr>
                <w:rFonts w:cs="Arial"/>
                <w:bCs/>
                <w:szCs w:val="22"/>
                <w:lang w:val="fr-CA"/>
              </w:rPr>
              <w:t>LE TRIBUNAL ORDONNE ET DÉCLARE ce qui suit :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 </w:t>
            </w:r>
            <w:r w:rsidR="00883E1A">
              <w:rPr>
                <w:rFonts w:cs="Arial"/>
                <w:bCs/>
                <w:szCs w:val="22"/>
                <w:lang w:val="fr-CA"/>
              </w:rPr>
              <w:t>l</w:t>
            </w:r>
            <w:r w:rsidR="003352B5">
              <w:rPr>
                <w:rFonts w:cs="Arial"/>
                <w:bCs/>
                <w:szCs w:val="22"/>
                <w:lang w:val="fr-CA"/>
              </w:rPr>
              <w:t>e</w:t>
            </w:r>
            <w:r w:rsidR="00883E1A">
              <w:rPr>
                <w:rFonts w:cs="Arial"/>
                <w:bCs/>
                <w:szCs w:val="22"/>
                <w:lang w:val="fr-CA"/>
              </w:rPr>
              <w:t xml:space="preserve"> </w:t>
            </w:r>
            <w:r w:rsidR="003352B5">
              <w:rPr>
                <w:rFonts w:cs="Arial"/>
                <w:bCs/>
                <w:szCs w:val="22"/>
                <w:lang w:val="fr-CA"/>
              </w:rPr>
              <w:t>mandat</w:t>
            </w:r>
            <w:r w:rsidR="00883E1A">
              <w:rPr>
                <w:rFonts w:cs="Arial"/>
                <w:bCs/>
                <w:szCs w:val="22"/>
                <w:lang w:val="fr-CA"/>
              </w:rPr>
              <w:t xml:space="preserve"> de 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>[</w:t>
            </w:r>
            <w:r w:rsidR="00F41F6B">
              <w:rPr>
                <w:rFonts w:cs="Arial"/>
                <w:bCs/>
                <w:szCs w:val="22"/>
                <w:lang w:val="fr-CA"/>
              </w:rPr>
              <w:t>l’</w:t>
            </w:r>
            <w:r w:rsidR="00883E1A">
              <w:rPr>
                <w:rFonts w:cs="Arial"/>
                <w:bCs/>
                <w:szCs w:val="22"/>
                <w:lang w:val="fr-CA"/>
              </w:rPr>
              <w:t>avocat nommé en vertu de l’article 3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>]</w:t>
            </w:r>
            <w:r w:rsidR="00910BFF">
              <w:rPr>
                <w:rFonts w:cs="Arial"/>
                <w:bCs/>
                <w:szCs w:val="22"/>
                <w:lang w:val="fr-CA"/>
              </w:rPr>
              <w:t xml:space="preserve"> à titre d’avocat de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 [</w:t>
            </w:r>
            <w:r w:rsidR="00F41F6B">
              <w:rPr>
                <w:rFonts w:cs="Arial"/>
                <w:bCs/>
                <w:szCs w:val="22"/>
                <w:lang w:val="fr-CA"/>
              </w:rPr>
              <w:t xml:space="preserve">la 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>person</w:t>
            </w:r>
            <w:r w:rsidR="00910BFF">
              <w:rPr>
                <w:rFonts w:cs="Arial"/>
                <w:bCs/>
                <w:szCs w:val="22"/>
                <w:lang w:val="fr-CA"/>
              </w:rPr>
              <w:t>ne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] </w:t>
            </w:r>
            <w:r w:rsidR="007A6331">
              <w:rPr>
                <w:rFonts w:cs="Arial"/>
                <w:bCs/>
                <w:szCs w:val="22"/>
                <w:lang w:val="fr-CA"/>
              </w:rPr>
              <w:t>aux termes de</w:t>
            </w:r>
            <w:r w:rsidR="00910BFF">
              <w:rPr>
                <w:rFonts w:cs="Arial"/>
                <w:bCs/>
                <w:szCs w:val="22"/>
                <w:lang w:val="fr-CA"/>
              </w:rPr>
              <w:t xml:space="preserve"> l’ordonnance de l’honorable 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[juge] </w:t>
            </w:r>
            <w:r w:rsidR="00910BFF">
              <w:rPr>
                <w:rFonts w:cs="Arial"/>
                <w:bCs/>
                <w:szCs w:val="22"/>
                <w:lang w:val="fr-CA"/>
              </w:rPr>
              <w:t>datée du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 [date] </w:t>
            </w:r>
            <w:r w:rsidR="003352B5">
              <w:rPr>
                <w:rFonts w:cs="Arial"/>
                <w:bCs/>
                <w:szCs w:val="22"/>
                <w:lang w:val="fr-CA"/>
              </w:rPr>
              <w:t>est par la présente terminé</w:t>
            </w:r>
            <w:r w:rsidR="00E454C2" w:rsidRPr="00FF4990">
              <w:rPr>
                <w:rFonts w:cs="Arial"/>
                <w:bCs/>
                <w:szCs w:val="22"/>
                <w:lang w:val="fr-CA"/>
              </w:rPr>
              <w:t>,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 xml:space="preserve"> </w:t>
            </w:r>
            <w:r w:rsidR="00E247D5">
              <w:rPr>
                <w:rFonts w:cs="Arial"/>
                <w:bCs/>
                <w:szCs w:val="22"/>
                <w:lang w:val="fr-CA"/>
              </w:rPr>
              <w:t xml:space="preserve">les </w:t>
            </w:r>
            <w:r w:rsidR="00B04F05">
              <w:rPr>
                <w:rFonts w:cs="Arial"/>
                <w:bCs/>
                <w:szCs w:val="22"/>
                <w:lang w:val="fr-CA"/>
              </w:rPr>
              <w:t>frai</w:t>
            </w:r>
            <w:r w:rsidR="00E247D5">
              <w:rPr>
                <w:rFonts w:cs="Arial"/>
                <w:bCs/>
                <w:szCs w:val="22"/>
                <w:lang w:val="fr-CA"/>
              </w:rPr>
              <w:t xml:space="preserve">s raisonnables engagés par l’avocat nommé en vertu de l’article 3 pour recevoir la présente ordonnance et l’expliquer à 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>[</w:t>
            </w:r>
            <w:r w:rsidR="00F41F6B">
              <w:rPr>
                <w:rFonts w:cs="Arial"/>
                <w:bCs/>
                <w:szCs w:val="22"/>
                <w:lang w:val="fr-CA"/>
              </w:rPr>
              <w:t xml:space="preserve">la 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>person</w:t>
            </w:r>
            <w:r w:rsidR="00E247D5">
              <w:rPr>
                <w:rFonts w:cs="Arial"/>
                <w:bCs/>
                <w:szCs w:val="22"/>
                <w:lang w:val="fr-CA"/>
              </w:rPr>
              <w:t>ne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>]</w:t>
            </w:r>
            <w:r w:rsidR="00E247D5">
              <w:rPr>
                <w:rFonts w:cs="Arial"/>
                <w:bCs/>
                <w:szCs w:val="22"/>
                <w:lang w:val="fr-CA"/>
              </w:rPr>
              <w:t xml:space="preserve"> doivent être payés par 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>[</w:t>
            </w:r>
            <w:r w:rsidR="00F41F6B">
              <w:rPr>
                <w:rFonts w:cs="Arial"/>
                <w:bCs/>
                <w:szCs w:val="22"/>
                <w:lang w:val="fr-CA"/>
              </w:rPr>
              <w:t xml:space="preserve">le </w:t>
            </w:r>
            <w:r w:rsidR="00E247D5">
              <w:rPr>
                <w:rFonts w:cs="Arial"/>
                <w:bCs/>
                <w:szCs w:val="22"/>
                <w:lang w:val="fr-CA"/>
              </w:rPr>
              <w:t>procureur ou</w:t>
            </w:r>
            <w:r w:rsidR="00F41F6B">
              <w:rPr>
                <w:rFonts w:cs="Arial"/>
                <w:bCs/>
                <w:szCs w:val="22"/>
                <w:lang w:val="fr-CA"/>
              </w:rPr>
              <w:t xml:space="preserve"> le</w:t>
            </w:r>
            <w:r w:rsidR="00E247D5">
              <w:rPr>
                <w:rFonts w:cs="Arial"/>
                <w:bCs/>
                <w:szCs w:val="22"/>
                <w:lang w:val="fr-CA"/>
              </w:rPr>
              <w:t xml:space="preserve"> tuteur</w:t>
            </w:r>
            <w:r w:rsidR="00ED7724" w:rsidRPr="00FF4990">
              <w:rPr>
                <w:rFonts w:cs="Arial"/>
                <w:bCs/>
                <w:szCs w:val="22"/>
                <w:lang w:val="fr-CA"/>
              </w:rPr>
              <w:t>]</w:t>
            </w:r>
            <w:r w:rsidR="00E247D5">
              <w:rPr>
                <w:rFonts w:cs="Arial"/>
                <w:bCs/>
                <w:szCs w:val="22"/>
                <w:lang w:val="fr-CA"/>
              </w:rPr>
              <w:t xml:space="preserve"> et le tuteur et curateur p</w:t>
            </w:r>
            <w:r w:rsidR="00E454C2" w:rsidRPr="00FF4990">
              <w:rPr>
                <w:rFonts w:cs="Arial"/>
                <w:bCs/>
                <w:szCs w:val="22"/>
                <w:lang w:val="fr-CA"/>
              </w:rPr>
              <w:t>ublic</w:t>
            </w:r>
            <w:r w:rsidR="00E247D5">
              <w:rPr>
                <w:rFonts w:cs="Arial"/>
                <w:bCs/>
                <w:szCs w:val="22"/>
                <w:lang w:val="fr-CA"/>
              </w:rPr>
              <w:t xml:space="preserve"> n’a pas besoin de nommer un autre avocat </w:t>
            </w:r>
            <w:r w:rsidR="00F41F6B">
              <w:rPr>
                <w:rFonts w:cs="Arial"/>
                <w:bCs/>
                <w:szCs w:val="22"/>
                <w:lang w:val="fr-CA"/>
              </w:rPr>
              <w:t>à l’égard de</w:t>
            </w:r>
            <w:r w:rsidR="00E247D5">
              <w:rPr>
                <w:rFonts w:cs="Arial"/>
                <w:bCs/>
                <w:szCs w:val="22"/>
                <w:lang w:val="fr-CA"/>
              </w:rPr>
              <w:t xml:space="preserve"> </w:t>
            </w:r>
            <w:r w:rsidR="00E454C2" w:rsidRPr="00FF4990">
              <w:rPr>
                <w:rFonts w:cs="Arial"/>
                <w:bCs/>
                <w:szCs w:val="22"/>
                <w:lang w:val="fr-CA"/>
              </w:rPr>
              <w:t>[</w:t>
            </w:r>
            <w:r w:rsidR="00F41F6B">
              <w:rPr>
                <w:rFonts w:cs="Arial"/>
                <w:bCs/>
                <w:szCs w:val="22"/>
                <w:lang w:val="fr-CA"/>
              </w:rPr>
              <w:t xml:space="preserve">la </w:t>
            </w:r>
            <w:r w:rsidR="00E454C2" w:rsidRPr="00FF4990">
              <w:rPr>
                <w:rFonts w:cs="Arial"/>
                <w:bCs/>
                <w:szCs w:val="22"/>
                <w:lang w:val="fr-CA"/>
              </w:rPr>
              <w:t>person</w:t>
            </w:r>
            <w:r w:rsidR="00E247D5">
              <w:rPr>
                <w:rFonts w:cs="Arial"/>
                <w:bCs/>
                <w:szCs w:val="22"/>
                <w:lang w:val="fr-CA"/>
              </w:rPr>
              <w:t>ne</w:t>
            </w:r>
            <w:r w:rsidR="00E454C2" w:rsidRPr="00FF4990">
              <w:rPr>
                <w:rFonts w:cs="Arial"/>
                <w:bCs/>
                <w:szCs w:val="22"/>
                <w:lang w:val="fr-CA"/>
              </w:rPr>
              <w:t>]</w:t>
            </w:r>
            <w:r w:rsidR="00E247D5">
              <w:rPr>
                <w:rFonts w:cs="Arial"/>
                <w:bCs/>
                <w:szCs w:val="22"/>
                <w:lang w:val="fr-CA"/>
              </w:rPr>
              <w:t>, sous réserve de toute autre ordonnance du tribunal</w:t>
            </w:r>
            <w:r w:rsidR="00E454C2" w:rsidRPr="00FF4990">
              <w:rPr>
                <w:rFonts w:cs="Arial"/>
                <w:bCs/>
                <w:szCs w:val="22"/>
                <w:lang w:val="fr-CA"/>
              </w:rPr>
              <w:t>.</w:t>
            </w:r>
          </w:p>
          <w:p w14:paraId="4E1FDFD7" w14:textId="77777777" w:rsidR="00B176D7" w:rsidRPr="00FF4990" w:rsidRDefault="00B176D7" w:rsidP="00B176D7">
            <w:pPr>
              <w:rPr>
                <w:rFonts w:cs="Arial"/>
                <w:szCs w:val="22"/>
                <w:lang w:val="fr-CA"/>
              </w:rPr>
            </w:pPr>
          </w:p>
        </w:tc>
        <w:tc>
          <w:tcPr>
            <w:tcW w:w="4050" w:type="dxa"/>
          </w:tcPr>
          <w:p w14:paraId="37DB0C7A" w14:textId="77777777" w:rsidR="00B176D7" w:rsidRPr="00FF4990" w:rsidRDefault="00B176D7" w:rsidP="00B176D7">
            <w:pPr>
              <w:rPr>
                <w:rFonts w:cs="Arial"/>
                <w:szCs w:val="22"/>
                <w:lang w:val="fr-CA"/>
              </w:rPr>
            </w:pPr>
          </w:p>
        </w:tc>
      </w:tr>
    </w:tbl>
    <w:p w14:paraId="1CC7EB3D" w14:textId="77777777" w:rsidR="0043237F" w:rsidRPr="00FF4990" w:rsidRDefault="0043237F" w:rsidP="00DF4252">
      <w:pPr>
        <w:jc w:val="left"/>
        <w:rPr>
          <w:rFonts w:ascii="Times New Roman" w:hAnsi="Times New Roman"/>
          <w:b/>
          <w:sz w:val="24"/>
          <w:u w:val="single"/>
          <w:lang w:val="fr-CA"/>
        </w:rPr>
      </w:pPr>
    </w:p>
    <w:p w14:paraId="3C984D6A" w14:textId="55BB2012" w:rsidR="00B176D7" w:rsidRPr="00FF4990" w:rsidRDefault="00EC7511" w:rsidP="00B176D7">
      <w:pPr>
        <w:rPr>
          <w:rFonts w:cs="Arial"/>
          <w:szCs w:val="22"/>
          <w:lang w:val="fr-CA"/>
        </w:rPr>
      </w:pPr>
      <w:r>
        <w:rPr>
          <w:rFonts w:cs="Arial"/>
          <w:szCs w:val="22"/>
          <w:lang w:val="fr-CA"/>
        </w:rPr>
        <w:t>Documents importants sur le rôle de l’avocat nommé en vertu de l’article</w:t>
      </w:r>
      <w:r w:rsidR="00ED7724" w:rsidRPr="00FF4990">
        <w:rPr>
          <w:rFonts w:cs="Arial"/>
          <w:szCs w:val="22"/>
          <w:lang w:val="fr-CA"/>
        </w:rPr>
        <w:t xml:space="preserve"> 3</w:t>
      </w:r>
      <w:r w:rsidR="00E454C2" w:rsidRPr="00FF4990">
        <w:rPr>
          <w:rFonts w:cs="Arial"/>
          <w:szCs w:val="22"/>
          <w:lang w:val="fr-CA"/>
        </w:rPr>
        <w:t xml:space="preserve"> (</w:t>
      </w:r>
      <w:r>
        <w:rPr>
          <w:rFonts w:cs="Arial"/>
          <w:szCs w:val="22"/>
          <w:lang w:val="fr-CA"/>
        </w:rPr>
        <w:t>chacun mentionnant des ressources supplémentaires</w:t>
      </w:r>
      <w:r w:rsidR="00E454C2" w:rsidRPr="00FF4990">
        <w:rPr>
          <w:rFonts w:cs="Arial"/>
          <w:szCs w:val="22"/>
          <w:lang w:val="fr-CA"/>
        </w:rPr>
        <w:t>)</w:t>
      </w:r>
      <w:r>
        <w:rPr>
          <w:rFonts w:cs="Arial"/>
          <w:szCs w:val="22"/>
          <w:lang w:val="fr-CA"/>
        </w:rPr>
        <w:t> :</w:t>
      </w:r>
    </w:p>
    <w:p w14:paraId="39DEB593" w14:textId="77777777" w:rsidR="00B176D7" w:rsidRPr="00734C54" w:rsidRDefault="00ED7724" w:rsidP="00B176D7">
      <w:pPr>
        <w:rPr>
          <w:rFonts w:cs="Arial"/>
          <w:szCs w:val="22"/>
        </w:rPr>
      </w:pPr>
      <w:r w:rsidRPr="00734C54">
        <w:rPr>
          <w:rFonts w:cs="Arial"/>
          <w:szCs w:val="22"/>
        </w:rPr>
        <w:t>Between A Rock And A Hard Place: The Complex Role And Duties of Counsel Appointed Under Section 3 of the</w:t>
      </w:r>
      <w:r w:rsidRPr="00734C54">
        <w:rPr>
          <w:rFonts w:cs="Arial"/>
          <w:i/>
          <w:szCs w:val="22"/>
        </w:rPr>
        <w:t xml:space="preserve"> Substitute Decisions Act</w:t>
      </w:r>
      <w:r w:rsidRPr="00734C54">
        <w:rPr>
          <w:rFonts w:cs="Arial"/>
          <w:szCs w:val="22"/>
        </w:rPr>
        <w:t>, 1992 (</w:t>
      </w:r>
      <w:r w:rsidR="004B5364" w:rsidRPr="00734C54">
        <w:rPr>
          <w:rFonts w:cs="Arial"/>
          <w:szCs w:val="22"/>
        </w:rPr>
        <w:t>http://welpartners.com/resources/WEL_2012_Section_3_Counsel_paper.pdf</w:t>
      </w:r>
      <w:r w:rsidRPr="00734C54">
        <w:rPr>
          <w:rFonts w:cs="Arial"/>
          <w:szCs w:val="22"/>
        </w:rPr>
        <w:t>)</w:t>
      </w:r>
      <w:r w:rsidR="004B5364" w:rsidRPr="00734C54">
        <w:rPr>
          <w:rFonts w:cs="Arial"/>
          <w:szCs w:val="22"/>
        </w:rPr>
        <w:t xml:space="preserve"> </w:t>
      </w:r>
    </w:p>
    <w:p w14:paraId="2FE8889E" w14:textId="630DA20E" w:rsidR="00B176D7" w:rsidRPr="00734C54" w:rsidRDefault="00ED7724" w:rsidP="00DF4252">
      <w:pPr>
        <w:jc w:val="left"/>
        <w:rPr>
          <w:rFonts w:ascii="Times New Roman" w:hAnsi="Times New Roman"/>
          <w:b/>
          <w:sz w:val="24"/>
          <w:u w:val="single"/>
        </w:rPr>
      </w:pPr>
      <w:r w:rsidRPr="00734C54">
        <w:rPr>
          <w:rFonts w:cs="Arial"/>
          <w:szCs w:val="22"/>
        </w:rPr>
        <w:t xml:space="preserve">The Ongoing History of Section 3 Counsel: Origins of the Role and a Path Forward, Estates and Trust Summit, Day 1, </w:t>
      </w:r>
      <w:r w:rsidRPr="00734C54">
        <w:rPr>
          <w:rFonts w:cs="Arial"/>
          <w:szCs w:val="22"/>
          <w:lang w:val="fr-CA"/>
        </w:rPr>
        <w:t>16</w:t>
      </w:r>
      <w:r w:rsidR="00734C54" w:rsidRPr="00734C54">
        <w:rPr>
          <w:rFonts w:cs="Arial"/>
          <w:szCs w:val="22"/>
          <w:lang w:val="fr-CA"/>
        </w:rPr>
        <w:t xml:space="preserve"> octobre</w:t>
      </w:r>
      <w:r w:rsidRPr="00734C54">
        <w:rPr>
          <w:rFonts w:cs="Arial"/>
          <w:szCs w:val="22"/>
          <w:lang w:val="fr-CA"/>
        </w:rPr>
        <w:t xml:space="preserve"> 2019</w:t>
      </w:r>
      <w:r w:rsidRPr="00734C54">
        <w:rPr>
          <w:rFonts w:cs="Arial"/>
          <w:szCs w:val="22"/>
        </w:rPr>
        <w:t xml:space="preserve"> (</w:t>
      </w:r>
      <w:hyperlink r:id="rId8" w:history="1">
        <w:r w:rsidR="004B5364" w:rsidRPr="000D7A19">
          <w:rPr>
            <w:rStyle w:val="Hyperlink"/>
            <w:rFonts w:cs="Arial"/>
            <w:szCs w:val="22"/>
          </w:rPr>
          <w:t>http://pbplawyers.com/wp-content/uploads/2020/04/Tab-02B-Procope-The-Ongoing-History-of-Section-3-Counsel.pdf</w:t>
        </w:r>
      </w:hyperlink>
      <w:bookmarkStart w:id="0" w:name="_GoBack"/>
      <w:bookmarkEnd w:id="0"/>
      <w:r w:rsidRPr="00734C54">
        <w:rPr>
          <w:rFonts w:cs="Arial"/>
          <w:szCs w:val="22"/>
        </w:rPr>
        <w:t>)</w:t>
      </w:r>
      <w:r w:rsidR="004B5364" w:rsidRPr="00734C54">
        <w:rPr>
          <w:rFonts w:cs="Arial"/>
          <w:szCs w:val="22"/>
        </w:rPr>
        <w:t xml:space="preserve"> </w:t>
      </w:r>
    </w:p>
    <w:sectPr w:rsidR="00B176D7" w:rsidRPr="00734C54" w:rsidSect="0043237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12240" w:orient="landscape" w:code="1"/>
      <w:pgMar w:top="1440" w:right="1440" w:bottom="1440" w:left="1080" w:header="720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247A76" w14:textId="77777777" w:rsidR="00760652" w:rsidRDefault="00760652">
      <w:pPr>
        <w:spacing w:after="0"/>
      </w:pPr>
      <w:r>
        <w:separator/>
      </w:r>
    </w:p>
  </w:endnote>
  <w:endnote w:type="continuationSeparator" w:id="0">
    <w:p w14:paraId="5F78AB2F" w14:textId="77777777" w:rsidR="00760652" w:rsidRDefault="0076065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D6860" w14:textId="77777777" w:rsidR="000D7A19" w:rsidRDefault="000D7A1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1CDDCF" w14:textId="77777777" w:rsidR="00760652" w:rsidRDefault="00760652">
    <w:pPr>
      <w:pStyle w:val="Footer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186A66" w14:textId="77777777" w:rsidR="00760652" w:rsidRDefault="00760652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962A6" w14:textId="77777777" w:rsidR="00760652" w:rsidRDefault="00760652">
      <w:pPr>
        <w:spacing w:after="0"/>
      </w:pPr>
      <w:r>
        <w:separator/>
      </w:r>
    </w:p>
  </w:footnote>
  <w:footnote w:type="continuationSeparator" w:id="0">
    <w:p w14:paraId="28FB12C7" w14:textId="77777777" w:rsidR="00760652" w:rsidRDefault="007606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815C19" w14:textId="77777777" w:rsidR="000D7A19" w:rsidRDefault="000D7A1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91325C" w14:textId="4DFA24C7" w:rsidR="00760652" w:rsidRPr="004906B8" w:rsidRDefault="00760652" w:rsidP="008A7752">
    <w:pPr>
      <w:pStyle w:val="Header"/>
      <w:jc w:val="center"/>
      <w:rPr>
        <w:rStyle w:val="PageNumber"/>
      </w:rPr>
    </w:pPr>
    <w:r>
      <w:rPr>
        <w:rStyle w:val="PageNumber"/>
      </w:rPr>
      <w:t>-</w:t>
    </w:r>
    <w:r w:rsidRPr="004906B8">
      <w:rPr>
        <w:rStyle w:val="PageNumber"/>
      </w:rPr>
      <w:t xml:space="preserve"> </w:t>
    </w:r>
    <w:r w:rsidRPr="004906B8">
      <w:rPr>
        <w:rStyle w:val="PageNumber"/>
      </w:rPr>
      <w:fldChar w:fldCharType="begin"/>
    </w:r>
    <w:r w:rsidRPr="004906B8">
      <w:rPr>
        <w:rStyle w:val="PageNumber"/>
      </w:rPr>
      <w:instrText xml:space="preserve"> PAGE  \* MERGEFORMAT </w:instrText>
    </w:r>
    <w:r w:rsidRPr="004906B8">
      <w:rPr>
        <w:rStyle w:val="PageNumber"/>
      </w:rPr>
      <w:fldChar w:fldCharType="separate"/>
    </w:r>
    <w:r w:rsidR="0041287E">
      <w:rPr>
        <w:rStyle w:val="PageNumber"/>
        <w:noProof/>
      </w:rPr>
      <w:t>7</w:t>
    </w:r>
    <w:r w:rsidRPr="004906B8">
      <w:rPr>
        <w:rStyle w:val="PageNumber"/>
      </w:rPr>
      <w:fldChar w:fldCharType="end"/>
    </w:r>
    <w:r>
      <w:rPr>
        <w:rStyle w:val="PageNumber"/>
      </w:rPr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A481E" w14:textId="77777777" w:rsidR="00760652" w:rsidRDefault="00760652" w:rsidP="00A57451">
    <w:pPr>
      <w:pStyle w:val="Header"/>
      <w:tabs>
        <w:tab w:val="clear" w:pos="4680"/>
        <w:tab w:val="clear" w:pos="9360"/>
      </w:tabs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B1DE"/>
    <w:multiLevelType w:val="singleLevel"/>
    <w:tmpl w:val="00000000"/>
    <w:lvl w:ilvl="0">
      <w:start w:val="1"/>
      <w:numFmt w:val="decimal"/>
      <w:lvlText w:val="1 "/>
      <w:lvlJc w:val="left"/>
      <w:pPr>
        <w:tabs>
          <w:tab w:val="num" w:pos="960"/>
        </w:tabs>
        <w:ind w:left="960" w:hanging="480"/>
      </w:pPr>
      <w:rPr>
        <w:rFonts w:ascii="Arial" w:hAnsi="Arial" w:cs="Arial"/>
        <w:b w:val="0"/>
        <w:bCs w:val="0"/>
        <w:i w:val="0"/>
        <w:iCs w:val="0"/>
        <w:color w:val="auto"/>
        <w:sz w:val="20"/>
        <w:szCs w:val="20"/>
        <w:u w:val="none"/>
      </w:rPr>
    </w:lvl>
  </w:abstractNum>
  <w:abstractNum w:abstractNumId="1" w15:restartNumberingAfterBreak="0">
    <w:nsid w:val="FFFFFF7C"/>
    <w:multiLevelType w:val="singleLevel"/>
    <w:tmpl w:val="8AEAA83E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F5AEC7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49689C4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054813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7D48D24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1C08DB7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60AE9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7F7C58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35A4E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94FAE8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73228C3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 w15:restartNumberingAfterBreak="0">
    <w:nsid w:val="0D750089"/>
    <w:multiLevelType w:val="multilevel"/>
    <w:tmpl w:val="93E075D4"/>
    <w:lvl w:ilvl="0">
      <w:start w:val="1"/>
      <w:numFmt w:val="decimal"/>
      <w:pStyle w:val="IFDNumL1"/>
      <w:lvlText w:val="%1."/>
      <w:lvlJc w:val="left"/>
      <w:pPr>
        <w:tabs>
          <w:tab w:val="num" w:pos="720"/>
        </w:tabs>
        <w:ind w:left="0" w:firstLine="0"/>
      </w:pPr>
      <w:rPr>
        <w:b w:val="0"/>
        <w:i w:val="0"/>
      </w:rPr>
    </w:lvl>
    <w:lvl w:ilvl="1">
      <w:start w:val="1"/>
      <w:numFmt w:val="lowerLetter"/>
      <w:pStyle w:val="IFDNumL2"/>
      <w:lvlText w:val="(%2)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sz w:val="22"/>
        <w:szCs w:val="22"/>
      </w:rPr>
    </w:lvl>
    <w:lvl w:ilvl="2">
      <w:start w:val="1"/>
      <w:numFmt w:val="lowerRoman"/>
      <w:pStyle w:val="IFDNumL3"/>
      <w:lvlText w:val="(%3)"/>
      <w:lvlJc w:val="right"/>
      <w:pPr>
        <w:tabs>
          <w:tab w:val="num" w:pos="2160"/>
        </w:tabs>
        <w:ind w:left="2160" w:hanging="432"/>
      </w:pPr>
    </w:lvl>
    <w:lvl w:ilvl="3">
      <w:start w:val="1"/>
      <w:numFmt w:val="upperLetter"/>
      <w:pStyle w:val="IFDNum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upperRoman"/>
      <w:pStyle w:val="IFDNumL5"/>
      <w:lvlText w:val="(%5)"/>
      <w:lvlJc w:val="right"/>
      <w:pPr>
        <w:tabs>
          <w:tab w:val="num" w:pos="3600"/>
        </w:tabs>
        <w:ind w:left="3600" w:hanging="432"/>
      </w:pPr>
    </w:lvl>
    <w:lvl w:ilvl="5">
      <w:start w:val="1"/>
      <w:numFmt w:val="decimal"/>
      <w:pStyle w:val="IFDNumL6"/>
      <w:lvlText w:val="(%6)"/>
      <w:lvlJc w:val="left"/>
      <w:pPr>
        <w:tabs>
          <w:tab w:val="num" w:pos="4320"/>
        </w:tabs>
        <w:ind w:left="4320" w:hanging="720"/>
      </w:pPr>
    </w:lvl>
    <w:lvl w:ilvl="6">
      <w:start w:val="1"/>
      <w:numFmt w:val="lowerLetter"/>
      <w:pStyle w:val="IFDNumL7"/>
      <w:lvlText w:val="%7)"/>
      <w:lvlJc w:val="left"/>
      <w:pPr>
        <w:tabs>
          <w:tab w:val="num" w:pos="5040"/>
        </w:tabs>
        <w:ind w:left="5040" w:hanging="720"/>
      </w:pPr>
    </w:lvl>
    <w:lvl w:ilvl="7">
      <w:start w:val="1"/>
      <w:numFmt w:val="lowerRoman"/>
      <w:pStyle w:val="IFDNumL8"/>
      <w:lvlText w:val="%8)"/>
      <w:lvlJc w:val="right"/>
      <w:pPr>
        <w:tabs>
          <w:tab w:val="num" w:pos="5760"/>
        </w:tabs>
        <w:ind w:left="5760" w:hanging="432"/>
      </w:pPr>
    </w:lvl>
    <w:lvl w:ilvl="8">
      <w:start w:val="1"/>
      <w:numFmt w:val="decimal"/>
      <w:pStyle w:val="IFDNumL9"/>
      <w:lvlText w:val="%9)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2B5A5F37"/>
    <w:multiLevelType w:val="hybridMultilevel"/>
    <w:tmpl w:val="F3C44C2C"/>
    <w:lvl w:ilvl="0" w:tplc="A044F0B2">
      <w:start w:val="405"/>
      <w:numFmt w:val="bullet"/>
      <w:lvlText w:val=""/>
      <w:lvlJc w:val="left"/>
      <w:pPr>
        <w:tabs>
          <w:tab w:val="num" w:pos="1065"/>
        </w:tabs>
        <w:ind w:left="1425" w:firstLine="0"/>
      </w:pPr>
      <w:rPr>
        <w:rFonts w:ascii="Symbol" w:hAnsi="Symbol" w:hint="default"/>
      </w:rPr>
    </w:lvl>
    <w:lvl w:ilvl="1" w:tplc="69EE2CCE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319C99BA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16F8941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EE328302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46C43E7C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7FAC6E5A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D222D798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9AD217EA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44C21B63"/>
    <w:multiLevelType w:val="multilevel"/>
    <w:tmpl w:val="118219B0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576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3"/>
      <w:numFmt w:val="lowerRoman"/>
      <w:lvlText w:val="(%3)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4CD2789"/>
    <w:multiLevelType w:val="singleLevel"/>
    <w:tmpl w:val="85300994"/>
    <w:name w:val="Bullet"/>
    <w:lvl w:ilvl="0">
      <w:start w:val="1"/>
      <w:numFmt w:val="bullet"/>
      <w:pStyle w:val="HH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  <w:b w:val="0"/>
        <w:i w:val="0"/>
        <w:sz w:val="24"/>
      </w:rPr>
    </w:lvl>
  </w:abstractNum>
  <w:abstractNum w:abstractNumId="16" w15:restartNumberingAfterBreak="0">
    <w:nsid w:val="77037440"/>
    <w:multiLevelType w:val="hybridMultilevel"/>
    <w:tmpl w:val="AE162174"/>
    <w:lvl w:ilvl="0" w:tplc="1DE2D81E">
      <w:start w:val="1"/>
      <w:numFmt w:val="lowerLetter"/>
      <w:lvlText w:val="%1)"/>
      <w:lvlJc w:val="left"/>
      <w:pPr>
        <w:ind w:left="720" w:hanging="360"/>
      </w:pPr>
      <w:rPr>
        <w:b w:val="0"/>
        <w:color w:val="FF0000"/>
      </w:rPr>
    </w:lvl>
    <w:lvl w:ilvl="1" w:tplc="8F588C74" w:tentative="1">
      <w:start w:val="1"/>
      <w:numFmt w:val="lowerLetter"/>
      <w:lvlText w:val="%2."/>
      <w:lvlJc w:val="left"/>
      <w:pPr>
        <w:ind w:left="1440" w:hanging="360"/>
      </w:pPr>
    </w:lvl>
    <w:lvl w:ilvl="2" w:tplc="D466D5E4" w:tentative="1">
      <w:start w:val="1"/>
      <w:numFmt w:val="lowerRoman"/>
      <w:lvlText w:val="%3."/>
      <w:lvlJc w:val="right"/>
      <w:pPr>
        <w:ind w:left="2160" w:hanging="180"/>
      </w:pPr>
    </w:lvl>
    <w:lvl w:ilvl="3" w:tplc="27AE8A10" w:tentative="1">
      <w:start w:val="1"/>
      <w:numFmt w:val="decimal"/>
      <w:lvlText w:val="%4."/>
      <w:lvlJc w:val="left"/>
      <w:pPr>
        <w:ind w:left="2880" w:hanging="360"/>
      </w:pPr>
    </w:lvl>
    <w:lvl w:ilvl="4" w:tplc="EEAA8D0E" w:tentative="1">
      <w:start w:val="1"/>
      <w:numFmt w:val="lowerLetter"/>
      <w:lvlText w:val="%5."/>
      <w:lvlJc w:val="left"/>
      <w:pPr>
        <w:ind w:left="3600" w:hanging="360"/>
      </w:pPr>
    </w:lvl>
    <w:lvl w:ilvl="5" w:tplc="BE50AA30" w:tentative="1">
      <w:start w:val="1"/>
      <w:numFmt w:val="lowerRoman"/>
      <w:lvlText w:val="%6."/>
      <w:lvlJc w:val="right"/>
      <w:pPr>
        <w:ind w:left="4320" w:hanging="180"/>
      </w:pPr>
    </w:lvl>
    <w:lvl w:ilvl="6" w:tplc="A62E9F42" w:tentative="1">
      <w:start w:val="1"/>
      <w:numFmt w:val="decimal"/>
      <w:lvlText w:val="%7."/>
      <w:lvlJc w:val="left"/>
      <w:pPr>
        <w:ind w:left="5040" w:hanging="360"/>
      </w:pPr>
    </w:lvl>
    <w:lvl w:ilvl="7" w:tplc="1EF6100E" w:tentative="1">
      <w:start w:val="1"/>
      <w:numFmt w:val="lowerLetter"/>
      <w:lvlText w:val="%8."/>
      <w:lvlJc w:val="left"/>
      <w:pPr>
        <w:ind w:left="5760" w:hanging="360"/>
      </w:pPr>
    </w:lvl>
    <w:lvl w:ilvl="8" w:tplc="485204B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16"/>
  </w:num>
  <w:num w:numId="13">
    <w:abstractNumId w:val="14"/>
  </w:num>
  <w:num w:numId="14">
    <w:abstractNumId w:val="13"/>
  </w:num>
  <w:num w:numId="15">
    <w:abstractNumId w:val="0"/>
  </w:num>
  <w:num w:numId="16">
    <w:abstractNumId w:val="12"/>
  </w:num>
  <w:num w:numId="17">
    <w:abstractNumId w:val="11"/>
    <w:lvlOverride w:ilvl="0">
      <w:lvl w:ilvl="0">
        <w:start w:val="1"/>
        <w:numFmt w:val="decimal"/>
        <w:lvlText w:val="%1."/>
        <w:lvlJc w:val="left"/>
      </w:lvl>
    </w:lvlOverride>
    <w:lvlOverride w:ilvl="1">
      <w:lvl w:ilvl="1">
        <w:start w:val="1"/>
        <w:numFmt w:val="decimal"/>
        <w:lvlText w:val="%1.%2."/>
        <w:lvlJc w:val="left"/>
      </w:lvl>
    </w:lvlOverride>
    <w:lvlOverride w:ilvl="2">
      <w:lvl w:ilvl="2">
        <w:start w:val="1"/>
        <w:numFmt w:val="decimal"/>
        <w:lvlText w:val="%1.%2.%3."/>
        <w:lvlJc w:val="left"/>
      </w:lvl>
    </w:lvlOverride>
    <w:lvlOverride w:ilvl="3">
      <w:lvl w:ilvl="3">
        <w:start w:val="1"/>
        <w:numFmt w:val="decimal"/>
        <w:lvlText w:val="%1.%2.%3.%4."/>
        <w:lvlJc w:val="left"/>
      </w:lvl>
    </w:lvlOverride>
    <w:lvlOverride w:ilvl="4">
      <w:lvl w:ilvl="4">
        <w:start w:val="1"/>
        <w:numFmt w:val="decimal"/>
        <w:lvlText w:val="%1.%2.%3.%4.%5."/>
        <w:lvlJc w:val="left"/>
      </w:lvl>
    </w:lvlOverride>
    <w:lvlOverride w:ilvl="5">
      <w:lvl w:ilvl="5">
        <w:start w:val="1"/>
        <w:numFmt w:val="decimal"/>
        <w:lvlText w:val="%1.%2.%3.%4.%5.%6."/>
        <w:lvlJc w:val="left"/>
      </w:lvl>
    </w:lvlOverride>
    <w:lvlOverride w:ilvl="6">
      <w:lvl w:ilvl="6">
        <w:start w:val="1"/>
        <w:numFmt w:val="decimal"/>
        <w:lvlText w:val="%1.%2.%3.%4.%5.%6.%7."/>
        <w:lvlJc w:val="left"/>
      </w:lvl>
    </w:lvlOverride>
    <w:lvlOverride w:ilvl="7">
      <w:lvl w:ilvl="7">
        <w:start w:val="1"/>
        <w:numFmt w:val="decimal"/>
        <w:lvlText w:val="%1.%2.%3.%4.%5.%6.%7.%8."/>
        <w:lvlJc w:val="left"/>
      </w:lvl>
    </w:lvlOverride>
    <w:lvlOverride w:ilvl="8">
      <w:lvl w:ilvl="8">
        <w:start w:val="1"/>
        <w:numFmt w:val="decimal"/>
        <w:lvlText w:val="%1.%2.%3.%4.%5.%6.%7.%8.%9.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GrammaticalErrors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drawingGridHorizontalSpacing w:val="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6068F"/>
    <w:rsid w:val="00027AA1"/>
    <w:rsid w:val="00052DAB"/>
    <w:rsid w:val="00063361"/>
    <w:rsid w:val="00070FB0"/>
    <w:rsid w:val="000730B5"/>
    <w:rsid w:val="00075D52"/>
    <w:rsid w:val="000B34B3"/>
    <w:rsid w:val="000D7A19"/>
    <w:rsid w:val="000E0533"/>
    <w:rsid w:val="000F2818"/>
    <w:rsid w:val="000F2B39"/>
    <w:rsid w:val="000F7382"/>
    <w:rsid w:val="000F751A"/>
    <w:rsid w:val="00125580"/>
    <w:rsid w:val="00127DAF"/>
    <w:rsid w:val="00130E38"/>
    <w:rsid w:val="00133370"/>
    <w:rsid w:val="00174DAD"/>
    <w:rsid w:val="00191B2F"/>
    <w:rsid w:val="00193C5C"/>
    <w:rsid w:val="001B1572"/>
    <w:rsid w:val="001B2A23"/>
    <w:rsid w:val="001B6806"/>
    <w:rsid w:val="001D2A1B"/>
    <w:rsid w:val="001E4F2A"/>
    <w:rsid w:val="001E6942"/>
    <w:rsid w:val="00207C2A"/>
    <w:rsid w:val="002157BF"/>
    <w:rsid w:val="00217CB8"/>
    <w:rsid w:val="00220643"/>
    <w:rsid w:val="00233585"/>
    <w:rsid w:val="002430AF"/>
    <w:rsid w:val="0025736B"/>
    <w:rsid w:val="00271260"/>
    <w:rsid w:val="00272A93"/>
    <w:rsid w:val="002755EB"/>
    <w:rsid w:val="002A05A3"/>
    <w:rsid w:val="002A5897"/>
    <w:rsid w:val="002B0AA4"/>
    <w:rsid w:val="002B6B38"/>
    <w:rsid w:val="002B7595"/>
    <w:rsid w:val="002C34DB"/>
    <w:rsid w:val="002C47DC"/>
    <w:rsid w:val="002D413F"/>
    <w:rsid w:val="002D4F52"/>
    <w:rsid w:val="002D598E"/>
    <w:rsid w:val="002D5C1E"/>
    <w:rsid w:val="002F62D1"/>
    <w:rsid w:val="00300D4E"/>
    <w:rsid w:val="003010EF"/>
    <w:rsid w:val="00320469"/>
    <w:rsid w:val="00330918"/>
    <w:rsid w:val="00331AB0"/>
    <w:rsid w:val="003352B5"/>
    <w:rsid w:val="0034080A"/>
    <w:rsid w:val="00361CCD"/>
    <w:rsid w:val="00383196"/>
    <w:rsid w:val="00384231"/>
    <w:rsid w:val="0038642A"/>
    <w:rsid w:val="00393077"/>
    <w:rsid w:val="00393C4D"/>
    <w:rsid w:val="003B0433"/>
    <w:rsid w:val="003B6473"/>
    <w:rsid w:val="003C2351"/>
    <w:rsid w:val="003C3348"/>
    <w:rsid w:val="003C5203"/>
    <w:rsid w:val="003D4C6B"/>
    <w:rsid w:val="003D7FC8"/>
    <w:rsid w:val="003E0A41"/>
    <w:rsid w:val="003F3526"/>
    <w:rsid w:val="00401297"/>
    <w:rsid w:val="00401B03"/>
    <w:rsid w:val="0041287E"/>
    <w:rsid w:val="0041517F"/>
    <w:rsid w:val="0043237F"/>
    <w:rsid w:val="00441B46"/>
    <w:rsid w:val="00464DD8"/>
    <w:rsid w:val="00472E0F"/>
    <w:rsid w:val="00476E44"/>
    <w:rsid w:val="00477B94"/>
    <w:rsid w:val="004906B8"/>
    <w:rsid w:val="00494509"/>
    <w:rsid w:val="0049581A"/>
    <w:rsid w:val="0049697E"/>
    <w:rsid w:val="004A0234"/>
    <w:rsid w:val="004A7492"/>
    <w:rsid w:val="004B5364"/>
    <w:rsid w:val="004B6945"/>
    <w:rsid w:val="004C255C"/>
    <w:rsid w:val="004D2030"/>
    <w:rsid w:val="004D3124"/>
    <w:rsid w:val="004E77B1"/>
    <w:rsid w:val="004F3CEC"/>
    <w:rsid w:val="005048B3"/>
    <w:rsid w:val="00506049"/>
    <w:rsid w:val="00507573"/>
    <w:rsid w:val="00514E7B"/>
    <w:rsid w:val="00521E08"/>
    <w:rsid w:val="00522D2C"/>
    <w:rsid w:val="00523463"/>
    <w:rsid w:val="0052596F"/>
    <w:rsid w:val="00542573"/>
    <w:rsid w:val="00554E43"/>
    <w:rsid w:val="00561E22"/>
    <w:rsid w:val="005740CE"/>
    <w:rsid w:val="00585EA3"/>
    <w:rsid w:val="00587352"/>
    <w:rsid w:val="005A028E"/>
    <w:rsid w:val="005A6176"/>
    <w:rsid w:val="005A61E1"/>
    <w:rsid w:val="005B6AF2"/>
    <w:rsid w:val="005D2723"/>
    <w:rsid w:val="005D3857"/>
    <w:rsid w:val="005E1535"/>
    <w:rsid w:val="005F0EB7"/>
    <w:rsid w:val="00605A12"/>
    <w:rsid w:val="00606E5D"/>
    <w:rsid w:val="00607E63"/>
    <w:rsid w:val="00623B8E"/>
    <w:rsid w:val="0063492D"/>
    <w:rsid w:val="00635F64"/>
    <w:rsid w:val="00640850"/>
    <w:rsid w:val="00647B0F"/>
    <w:rsid w:val="006536DF"/>
    <w:rsid w:val="006544C3"/>
    <w:rsid w:val="00657593"/>
    <w:rsid w:val="00671070"/>
    <w:rsid w:val="0067195F"/>
    <w:rsid w:val="006764F1"/>
    <w:rsid w:val="006805A7"/>
    <w:rsid w:val="00687735"/>
    <w:rsid w:val="00692A7D"/>
    <w:rsid w:val="006A21FD"/>
    <w:rsid w:val="006A4204"/>
    <w:rsid w:val="006C44A9"/>
    <w:rsid w:val="006F0083"/>
    <w:rsid w:val="006F2CA4"/>
    <w:rsid w:val="00701A47"/>
    <w:rsid w:val="00734C54"/>
    <w:rsid w:val="00736CC2"/>
    <w:rsid w:val="00760652"/>
    <w:rsid w:val="00770BE0"/>
    <w:rsid w:val="00774BF7"/>
    <w:rsid w:val="007939E3"/>
    <w:rsid w:val="007A00B4"/>
    <w:rsid w:val="007A2437"/>
    <w:rsid w:val="007A6331"/>
    <w:rsid w:val="007C1B70"/>
    <w:rsid w:val="007C37A9"/>
    <w:rsid w:val="007C5D3B"/>
    <w:rsid w:val="007D2A8D"/>
    <w:rsid w:val="007D5C94"/>
    <w:rsid w:val="007D6B88"/>
    <w:rsid w:val="007E1746"/>
    <w:rsid w:val="007F383D"/>
    <w:rsid w:val="00801FD6"/>
    <w:rsid w:val="00803981"/>
    <w:rsid w:val="008136CB"/>
    <w:rsid w:val="008309EE"/>
    <w:rsid w:val="00857FAE"/>
    <w:rsid w:val="00860154"/>
    <w:rsid w:val="0087205E"/>
    <w:rsid w:val="008754CD"/>
    <w:rsid w:val="00880355"/>
    <w:rsid w:val="00883E1A"/>
    <w:rsid w:val="00886E14"/>
    <w:rsid w:val="00887944"/>
    <w:rsid w:val="0089132F"/>
    <w:rsid w:val="00891DCB"/>
    <w:rsid w:val="008A67F5"/>
    <w:rsid w:val="008A7752"/>
    <w:rsid w:val="008C0689"/>
    <w:rsid w:val="008C337A"/>
    <w:rsid w:val="008C3863"/>
    <w:rsid w:val="008C4A4C"/>
    <w:rsid w:val="008E123B"/>
    <w:rsid w:val="008E69F5"/>
    <w:rsid w:val="008F25D8"/>
    <w:rsid w:val="008F418C"/>
    <w:rsid w:val="008F727A"/>
    <w:rsid w:val="008F7F19"/>
    <w:rsid w:val="0090140D"/>
    <w:rsid w:val="00902A7B"/>
    <w:rsid w:val="00910BFF"/>
    <w:rsid w:val="00920D09"/>
    <w:rsid w:val="009212A8"/>
    <w:rsid w:val="0092598A"/>
    <w:rsid w:val="00934E93"/>
    <w:rsid w:val="00935BE1"/>
    <w:rsid w:val="00940863"/>
    <w:rsid w:val="0096106D"/>
    <w:rsid w:val="009754EB"/>
    <w:rsid w:val="009B5C06"/>
    <w:rsid w:val="009C38CB"/>
    <w:rsid w:val="009C4325"/>
    <w:rsid w:val="009C7CE2"/>
    <w:rsid w:val="009E37B9"/>
    <w:rsid w:val="009E66F6"/>
    <w:rsid w:val="009F11BF"/>
    <w:rsid w:val="00A001E7"/>
    <w:rsid w:val="00A00BF2"/>
    <w:rsid w:val="00A01786"/>
    <w:rsid w:val="00A01A38"/>
    <w:rsid w:val="00A179FB"/>
    <w:rsid w:val="00A2534F"/>
    <w:rsid w:val="00A272A6"/>
    <w:rsid w:val="00A3007C"/>
    <w:rsid w:val="00A45E5B"/>
    <w:rsid w:val="00A50F41"/>
    <w:rsid w:val="00A52EA6"/>
    <w:rsid w:val="00A55550"/>
    <w:rsid w:val="00A57451"/>
    <w:rsid w:val="00A75E9A"/>
    <w:rsid w:val="00A7781D"/>
    <w:rsid w:val="00A83802"/>
    <w:rsid w:val="00A863E1"/>
    <w:rsid w:val="00A969EE"/>
    <w:rsid w:val="00AA52FE"/>
    <w:rsid w:val="00AB172C"/>
    <w:rsid w:val="00AB208C"/>
    <w:rsid w:val="00AC70AB"/>
    <w:rsid w:val="00AD3194"/>
    <w:rsid w:val="00AD72FE"/>
    <w:rsid w:val="00AE428A"/>
    <w:rsid w:val="00AF07E3"/>
    <w:rsid w:val="00B04E3C"/>
    <w:rsid w:val="00B04F05"/>
    <w:rsid w:val="00B06382"/>
    <w:rsid w:val="00B105DF"/>
    <w:rsid w:val="00B10FAA"/>
    <w:rsid w:val="00B176D7"/>
    <w:rsid w:val="00B31F79"/>
    <w:rsid w:val="00B37FEE"/>
    <w:rsid w:val="00B417A1"/>
    <w:rsid w:val="00B426EB"/>
    <w:rsid w:val="00B54121"/>
    <w:rsid w:val="00B62604"/>
    <w:rsid w:val="00B6287B"/>
    <w:rsid w:val="00B66169"/>
    <w:rsid w:val="00B72193"/>
    <w:rsid w:val="00B7400D"/>
    <w:rsid w:val="00BA37D6"/>
    <w:rsid w:val="00BA4E16"/>
    <w:rsid w:val="00BA7123"/>
    <w:rsid w:val="00BB523A"/>
    <w:rsid w:val="00BC3F0B"/>
    <w:rsid w:val="00BD2C9A"/>
    <w:rsid w:val="00BD40E9"/>
    <w:rsid w:val="00BE3C14"/>
    <w:rsid w:val="00BE3D1B"/>
    <w:rsid w:val="00BF7C49"/>
    <w:rsid w:val="00C01BF1"/>
    <w:rsid w:val="00C034FA"/>
    <w:rsid w:val="00C0703C"/>
    <w:rsid w:val="00C20F0C"/>
    <w:rsid w:val="00C222A2"/>
    <w:rsid w:val="00C25B4E"/>
    <w:rsid w:val="00C27F71"/>
    <w:rsid w:val="00C3447B"/>
    <w:rsid w:val="00C45153"/>
    <w:rsid w:val="00C45E7F"/>
    <w:rsid w:val="00C623EA"/>
    <w:rsid w:val="00C627D0"/>
    <w:rsid w:val="00C81104"/>
    <w:rsid w:val="00C91E98"/>
    <w:rsid w:val="00CA02CC"/>
    <w:rsid w:val="00CA06BC"/>
    <w:rsid w:val="00CA523F"/>
    <w:rsid w:val="00CC6AA7"/>
    <w:rsid w:val="00CC71B7"/>
    <w:rsid w:val="00CD74F6"/>
    <w:rsid w:val="00CF34E2"/>
    <w:rsid w:val="00D06B74"/>
    <w:rsid w:val="00D0796B"/>
    <w:rsid w:val="00D12E9C"/>
    <w:rsid w:val="00D32685"/>
    <w:rsid w:val="00D32A66"/>
    <w:rsid w:val="00D36754"/>
    <w:rsid w:val="00D428EF"/>
    <w:rsid w:val="00D601F6"/>
    <w:rsid w:val="00D60619"/>
    <w:rsid w:val="00D6068F"/>
    <w:rsid w:val="00D77295"/>
    <w:rsid w:val="00D82F8E"/>
    <w:rsid w:val="00D91ABA"/>
    <w:rsid w:val="00D9454B"/>
    <w:rsid w:val="00DB6A51"/>
    <w:rsid w:val="00DC7A6E"/>
    <w:rsid w:val="00DD3E93"/>
    <w:rsid w:val="00DE6DD2"/>
    <w:rsid w:val="00DF4252"/>
    <w:rsid w:val="00E02473"/>
    <w:rsid w:val="00E0393E"/>
    <w:rsid w:val="00E04B8B"/>
    <w:rsid w:val="00E11458"/>
    <w:rsid w:val="00E124EB"/>
    <w:rsid w:val="00E247D5"/>
    <w:rsid w:val="00E278E8"/>
    <w:rsid w:val="00E32ABD"/>
    <w:rsid w:val="00E4075A"/>
    <w:rsid w:val="00E454C2"/>
    <w:rsid w:val="00E54E0D"/>
    <w:rsid w:val="00E62D9A"/>
    <w:rsid w:val="00E849F6"/>
    <w:rsid w:val="00E9390E"/>
    <w:rsid w:val="00EB15DA"/>
    <w:rsid w:val="00EC7511"/>
    <w:rsid w:val="00ED7724"/>
    <w:rsid w:val="00EE152B"/>
    <w:rsid w:val="00EE583E"/>
    <w:rsid w:val="00EF4559"/>
    <w:rsid w:val="00F037E4"/>
    <w:rsid w:val="00F04BF3"/>
    <w:rsid w:val="00F06165"/>
    <w:rsid w:val="00F14931"/>
    <w:rsid w:val="00F25AFB"/>
    <w:rsid w:val="00F31F65"/>
    <w:rsid w:val="00F36810"/>
    <w:rsid w:val="00F40A85"/>
    <w:rsid w:val="00F41196"/>
    <w:rsid w:val="00F41F6B"/>
    <w:rsid w:val="00F45BCE"/>
    <w:rsid w:val="00F45E12"/>
    <w:rsid w:val="00F506AD"/>
    <w:rsid w:val="00F641C3"/>
    <w:rsid w:val="00F6775A"/>
    <w:rsid w:val="00F71321"/>
    <w:rsid w:val="00F721DF"/>
    <w:rsid w:val="00F80073"/>
    <w:rsid w:val="00F824B9"/>
    <w:rsid w:val="00F83E8B"/>
    <w:rsid w:val="00F84B75"/>
    <w:rsid w:val="00F9328A"/>
    <w:rsid w:val="00FA1FCE"/>
    <w:rsid w:val="00FA27B9"/>
    <w:rsid w:val="00FA636E"/>
    <w:rsid w:val="00FA7440"/>
    <w:rsid w:val="00FB3B97"/>
    <w:rsid w:val="00FD5657"/>
    <w:rsid w:val="00FE1D48"/>
    <w:rsid w:val="00FF4106"/>
    <w:rsid w:val="00FF4990"/>
    <w:rsid w:val="00FF4D94"/>
    <w:rsid w:val="00FF7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7A2FF8D"/>
  <w15:docId w15:val="{CB39BEAF-B4F7-4E21-85CB-B1FC3C373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7285F"/>
    <w:pPr>
      <w:spacing w:after="240"/>
      <w:jc w:val="both"/>
    </w:pPr>
    <w:rPr>
      <w:rFonts w:ascii="Arial" w:hAnsi="Arial"/>
      <w:sz w:val="22"/>
      <w:szCs w:val="24"/>
      <w:lang w:eastAsia="en-US"/>
    </w:rPr>
  </w:style>
  <w:style w:type="paragraph" w:styleId="Heading1">
    <w:name w:val="heading 1"/>
    <w:basedOn w:val="HHHeading1"/>
    <w:next w:val="Normal"/>
    <w:qFormat/>
    <w:rPr>
      <w:rFonts w:cs="Arial"/>
      <w:bCs/>
    </w:rPr>
  </w:style>
  <w:style w:type="paragraph" w:styleId="Heading2">
    <w:name w:val="heading 2"/>
    <w:basedOn w:val="HHHeading2"/>
    <w:next w:val="Normal"/>
    <w:qFormat/>
    <w:rPr>
      <w:rFonts w:cs="Arial"/>
      <w:bCs/>
      <w:iCs/>
      <w:szCs w:val="28"/>
    </w:rPr>
  </w:style>
  <w:style w:type="paragraph" w:styleId="Heading3">
    <w:name w:val="heading 3"/>
    <w:basedOn w:val="HHHeading3"/>
    <w:next w:val="Normal"/>
    <w:qFormat/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HHeading1">
    <w:name w:val="HHHeading1"/>
    <w:aliases w:val="H1"/>
    <w:basedOn w:val="NormalSingle"/>
    <w:next w:val="Normal"/>
    <w:pPr>
      <w:keepNext/>
      <w:spacing w:before="120" w:after="120"/>
      <w:jc w:val="left"/>
      <w:outlineLvl w:val="0"/>
    </w:pPr>
    <w:rPr>
      <w:b/>
      <w:szCs w:val="24"/>
    </w:rPr>
  </w:style>
  <w:style w:type="paragraph" w:customStyle="1" w:styleId="NormalSingle">
    <w:name w:val="Normal Single"/>
    <w:rsid w:val="00D7285F"/>
    <w:pPr>
      <w:spacing w:after="240"/>
      <w:jc w:val="both"/>
    </w:pPr>
    <w:rPr>
      <w:rFonts w:ascii="Arial" w:hAnsi="Arial"/>
      <w:sz w:val="22"/>
      <w:lang w:eastAsia="en-US"/>
    </w:rPr>
  </w:style>
  <w:style w:type="paragraph" w:customStyle="1" w:styleId="HHHeading2">
    <w:name w:val="HHHeading2"/>
    <w:aliases w:val="H2"/>
    <w:basedOn w:val="NormalSingle"/>
    <w:next w:val="Normal"/>
    <w:pPr>
      <w:keepNext/>
      <w:spacing w:before="120" w:after="120"/>
      <w:jc w:val="left"/>
      <w:outlineLvl w:val="1"/>
    </w:pPr>
    <w:rPr>
      <w:b/>
    </w:rPr>
  </w:style>
  <w:style w:type="paragraph" w:customStyle="1" w:styleId="HHHeading3">
    <w:name w:val="HHHeading3"/>
    <w:aliases w:val="H3"/>
    <w:basedOn w:val="NormalSingle"/>
    <w:next w:val="Normal"/>
    <w:pPr>
      <w:keepNext/>
      <w:spacing w:before="120" w:after="120"/>
      <w:jc w:val="left"/>
      <w:outlineLvl w:val="2"/>
    </w:pPr>
    <w:rPr>
      <w:b/>
    </w:rPr>
  </w:style>
  <w:style w:type="paragraph" w:customStyle="1" w:styleId="HHIndent">
    <w:name w:val="HHIndent"/>
    <w:aliases w:val="In"/>
    <w:basedOn w:val="Normal"/>
    <w:pPr>
      <w:ind w:left="720"/>
    </w:pPr>
    <w:rPr>
      <w:szCs w:val="20"/>
    </w:rPr>
  </w:style>
  <w:style w:type="paragraph" w:styleId="Footer">
    <w:name w:val="footer"/>
    <w:basedOn w:val="NormalSingle"/>
    <w:pPr>
      <w:tabs>
        <w:tab w:val="center" w:pos="4680"/>
        <w:tab w:val="right" w:pos="9360"/>
      </w:tabs>
      <w:spacing w:after="0"/>
      <w:jc w:val="left"/>
    </w:pPr>
  </w:style>
  <w:style w:type="paragraph" w:styleId="Header">
    <w:name w:val="header"/>
    <w:basedOn w:val="NormalSingle"/>
    <w:pPr>
      <w:tabs>
        <w:tab w:val="center" w:pos="4680"/>
        <w:tab w:val="right" w:pos="9360"/>
      </w:tabs>
      <w:jc w:val="left"/>
    </w:pPr>
  </w:style>
  <w:style w:type="paragraph" w:customStyle="1" w:styleId="HHBullet">
    <w:name w:val="HHBullet"/>
    <w:aliases w:val="BL"/>
    <w:basedOn w:val="Normal"/>
    <w:pPr>
      <w:numPr>
        <w:numId w:val="1"/>
      </w:numPr>
    </w:pPr>
    <w:rPr>
      <w:szCs w:val="20"/>
    </w:rPr>
  </w:style>
  <w:style w:type="paragraph" w:customStyle="1" w:styleId="HHBlock">
    <w:name w:val="HHBlock"/>
    <w:aliases w:val="B"/>
    <w:basedOn w:val="Normal"/>
    <w:pPr>
      <w:ind w:left="720" w:right="720"/>
    </w:pPr>
    <w:rPr>
      <w:szCs w:val="20"/>
    </w:rPr>
  </w:style>
  <w:style w:type="paragraph" w:customStyle="1" w:styleId="HHBlock1">
    <w:name w:val="HHBlock1"/>
    <w:aliases w:val="B1"/>
    <w:basedOn w:val="HHBlock"/>
    <w:pPr>
      <w:ind w:left="1440" w:right="1440"/>
    </w:pPr>
  </w:style>
  <w:style w:type="paragraph" w:customStyle="1" w:styleId="HHCentre">
    <w:name w:val="HHCentre"/>
    <w:aliases w:val="C"/>
    <w:basedOn w:val="Normal"/>
    <w:pPr>
      <w:jc w:val="center"/>
    </w:pPr>
    <w:rPr>
      <w:b/>
      <w:szCs w:val="20"/>
    </w:rPr>
  </w:style>
  <w:style w:type="paragraph" w:customStyle="1" w:styleId="HHHanging">
    <w:name w:val="HHHanging"/>
    <w:aliases w:val="H"/>
    <w:basedOn w:val="Normal"/>
    <w:pPr>
      <w:ind w:left="720" w:hanging="720"/>
    </w:pPr>
    <w:rPr>
      <w:szCs w:val="20"/>
    </w:rPr>
  </w:style>
  <w:style w:type="paragraph" w:customStyle="1" w:styleId="HHIndent1">
    <w:name w:val="HHIndent1"/>
    <w:aliases w:val="I1"/>
    <w:basedOn w:val="HHIndent"/>
    <w:pPr>
      <w:ind w:left="1440"/>
    </w:pPr>
  </w:style>
  <w:style w:type="paragraph" w:customStyle="1" w:styleId="HHIndent2">
    <w:name w:val="HHIndent2"/>
    <w:aliases w:val="I2"/>
    <w:basedOn w:val="HHIndent"/>
    <w:pPr>
      <w:ind w:left="2160"/>
    </w:pPr>
  </w:style>
  <w:style w:type="paragraph" w:customStyle="1" w:styleId="HHLeft">
    <w:name w:val="HHLeft"/>
    <w:aliases w:val="L"/>
    <w:basedOn w:val="Normal"/>
    <w:pPr>
      <w:jc w:val="left"/>
    </w:pPr>
    <w:rPr>
      <w:szCs w:val="20"/>
    </w:rPr>
  </w:style>
  <w:style w:type="paragraph" w:customStyle="1" w:styleId="Plain">
    <w:name w:val="Plain"/>
    <w:aliases w:val="P"/>
    <w:basedOn w:val="Normal"/>
    <w:pPr>
      <w:spacing w:after="0"/>
      <w:jc w:val="left"/>
    </w:pPr>
    <w:rPr>
      <w:szCs w:val="20"/>
    </w:rPr>
  </w:style>
  <w:style w:type="character" w:customStyle="1" w:styleId="Reference">
    <w:name w:val="Reference"/>
    <w:aliases w:val="Ref"/>
    <w:basedOn w:val="DefaultParagraphFont"/>
    <w:rPr>
      <w:b/>
      <w:sz w:val="16"/>
      <w:szCs w:val="16"/>
    </w:rPr>
  </w:style>
  <w:style w:type="paragraph" w:customStyle="1" w:styleId="HHRight">
    <w:name w:val="HHRight"/>
    <w:aliases w:val="R"/>
    <w:basedOn w:val="Normal"/>
    <w:pPr>
      <w:jc w:val="right"/>
    </w:pPr>
    <w:rPr>
      <w:szCs w:val="20"/>
    </w:rPr>
  </w:style>
  <w:style w:type="paragraph" w:customStyle="1" w:styleId="HHHeading1Centre">
    <w:name w:val="HHHeading1Centre"/>
    <w:aliases w:val="H1C"/>
    <w:basedOn w:val="HHHeading1"/>
    <w:next w:val="Normal"/>
    <w:pPr>
      <w:spacing w:after="480"/>
      <w:jc w:val="center"/>
      <w:outlineLvl w:val="9"/>
    </w:pPr>
    <w:rPr>
      <w:sz w:val="28"/>
      <w:szCs w:val="28"/>
    </w:rPr>
  </w:style>
  <w:style w:type="paragraph" w:customStyle="1" w:styleId="HHHeading2NoToc">
    <w:name w:val="HHHeading2NoToc"/>
    <w:aliases w:val="H2NT"/>
    <w:basedOn w:val="HHHeading2"/>
    <w:next w:val="Normal"/>
    <w:pPr>
      <w:outlineLvl w:val="9"/>
    </w:pPr>
  </w:style>
  <w:style w:type="paragraph" w:customStyle="1" w:styleId="HHTab">
    <w:name w:val="HHTab"/>
    <w:aliases w:val="T"/>
    <w:basedOn w:val="Normal"/>
    <w:pPr>
      <w:ind w:firstLine="720"/>
    </w:pPr>
    <w:rPr>
      <w:szCs w:val="20"/>
    </w:rPr>
  </w:style>
  <w:style w:type="paragraph" w:customStyle="1" w:styleId="HHTableHeading">
    <w:name w:val="HHTableHeading"/>
    <w:aliases w:val="TH"/>
    <w:basedOn w:val="NormalSingle"/>
    <w:pPr>
      <w:keepNext/>
      <w:keepLines/>
      <w:spacing w:before="120" w:after="120"/>
      <w:jc w:val="center"/>
    </w:pPr>
    <w:rPr>
      <w:b/>
    </w:rPr>
  </w:style>
  <w:style w:type="paragraph" w:customStyle="1" w:styleId="HHTableText">
    <w:name w:val="HHTableText"/>
    <w:aliases w:val="TT"/>
    <w:basedOn w:val="Normal"/>
    <w:pPr>
      <w:spacing w:before="60" w:after="60"/>
      <w:jc w:val="left"/>
    </w:pPr>
  </w:style>
  <w:style w:type="character" w:styleId="PageNumber">
    <w:name w:val="page number"/>
    <w:basedOn w:val="DefaultParagraphFont"/>
    <w:rPr>
      <w:sz w:val="24"/>
      <w:szCs w:val="24"/>
    </w:rPr>
  </w:style>
  <w:style w:type="character" w:customStyle="1" w:styleId="Prompt">
    <w:name w:val="Prompt"/>
    <w:aliases w:val="Pr"/>
    <w:basedOn w:val="DefaultParagraphFont"/>
    <w:rPr>
      <w:color w:val="0000FF"/>
    </w:rPr>
  </w:style>
  <w:style w:type="paragraph" w:styleId="TOC1">
    <w:name w:val="toc 1"/>
    <w:basedOn w:val="Normal"/>
    <w:next w:val="Normal"/>
    <w:semiHidden/>
    <w:pPr>
      <w:tabs>
        <w:tab w:val="left" w:pos="720"/>
        <w:tab w:val="right" w:leader="dot" w:pos="9360"/>
      </w:tabs>
    </w:pPr>
  </w:style>
  <w:style w:type="paragraph" w:styleId="TOC2">
    <w:name w:val="toc 2"/>
    <w:basedOn w:val="Normal"/>
    <w:next w:val="Normal"/>
    <w:semiHidden/>
    <w:pPr>
      <w:tabs>
        <w:tab w:val="left" w:pos="1440"/>
        <w:tab w:val="right" w:leader="dot" w:pos="9360"/>
      </w:tabs>
      <w:ind w:left="720"/>
    </w:pPr>
  </w:style>
  <w:style w:type="paragraph" w:customStyle="1" w:styleId="PlainSingle">
    <w:name w:val="Plain Single"/>
    <w:basedOn w:val="NormalSingle"/>
    <w:pPr>
      <w:spacing w:after="0"/>
      <w:jc w:val="left"/>
    </w:pPr>
  </w:style>
  <w:style w:type="paragraph" w:customStyle="1" w:styleId="HHTab1">
    <w:name w:val="HHTab1"/>
    <w:aliases w:val="T1"/>
    <w:basedOn w:val="HHTab"/>
    <w:pPr>
      <w:ind w:firstLine="1440"/>
    </w:pPr>
  </w:style>
  <w:style w:type="paragraph" w:customStyle="1" w:styleId="HHBlock2">
    <w:name w:val="HHBlock2"/>
    <w:aliases w:val="B2"/>
    <w:basedOn w:val="HHBlock"/>
    <w:pPr>
      <w:ind w:left="2160" w:right="2160"/>
    </w:pPr>
  </w:style>
  <w:style w:type="paragraph" w:customStyle="1" w:styleId="HHBlock3">
    <w:name w:val="HHBlock3"/>
    <w:aliases w:val="B3"/>
    <w:basedOn w:val="HHBlock"/>
    <w:pPr>
      <w:ind w:left="2880" w:right="2880"/>
    </w:pPr>
  </w:style>
  <w:style w:type="paragraph" w:styleId="FootnoteText">
    <w:name w:val="footnote text"/>
    <w:basedOn w:val="PlainSingle"/>
    <w:semiHidden/>
    <w:pPr>
      <w:ind w:left="720" w:hanging="720"/>
      <w:jc w:val="both"/>
    </w:pPr>
    <w:rPr>
      <w:sz w:val="20"/>
    </w:rPr>
  </w:style>
  <w:style w:type="paragraph" w:styleId="BalloonText">
    <w:name w:val="Balloon Text"/>
    <w:basedOn w:val="Normal"/>
    <w:semiHidden/>
    <w:rPr>
      <w:rFonts w:ascii="Tahoma" w:hAnsi="Tahoma"/>
      <w:sz w:val="16"/>
      <w:szCs w:val="16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customStyle="1" w:styleId="HHIndent3">
    <w:name w:val="HHIndent3"/>
    <w:aliases w:val="I3"/>
    <w:basedOn w:val="HHIndent"/>
    <w:pPr>
      <w:ind w:left="2880"/>
    </w:pPr>
  </w:style>
  <w:style w:type="paragraph" w:customStyle="1" w:styleId="HHDocumentHeading">
    <w:name w:val="HHDocumentHeading"/>
    <w:basedOn w:val="Normal"/>
    <w:rsid w:val="00D7285F"/>
    <w:pPr>
      <w:spacing w:after="480"/>
      <w:jc w:val="center"/>
    </w:pPr>
    <w:rPr>
      <w:sz w:val="28"/>
      <w:u w:val="single"/>
    </w:rPr>
  </w:style>
  <w:style w:type="paragraph" w:customStyle="1" w:styleId="HHTitles">
    <w:name w:val="HHTitles"/>
    <w:basedOn w:val="Normal"/>
    <w:rsid w:val="0021509A"/>
    <w:pPr>
      <w:keepNext/>
      <w:spacing w:before="120" w:after="120"/>
    </w:pPr>
    <w:rPr>
      <w:b/>
      <w:u w:val="single"/>
    </w:rPr>
  </w:style>
  <w:style w:type="paragraph" w:styleId="BodyTextIndent">
    <w:name w:val="Body Text Indent"/>
    <w:basedOn w:val="Normal"/>
    <w:link w:val="BodyTextIndentChar"/>
    <w:rsid w:val="0043237F"/>
    <w:pPr>
      <w:spacing w:after="120"/>
      <w:ind w:left="283"/>
    </w:pPr>
    <w:rPr>
      <w:rFonts w:ascii="Times New Roman" w:hAnsi="Times New Roman"/>
      <w:sz w:val="24"/>
    </w:rPr>
  </w:style>
  <w:style w:type="character" w:customStyle="1" w:styleId="BodyTextIndentChar">
    <w:name w:val="Body Text Indent Char"/>
    <w:basedOn w:val="DefaultParagraphFont"/>
    <w:link w:val="BodyTextIndent"/>
    <w:rsid w:val="0043237F"/>
    <w:rPr>
      <w:sz w:val="24"/>
      <w:szCs w:val="24"/>
      <w:lang w:eastAsia="en-US"/>
    </w:rPr>
  </w:style>
  <w:style w:type="paragraph" w:customStyle="1" w:styleId="DocsID">
    <w:name w:val="DocsID"/>
    <w:basedOn w:val="NormalSingle"/>
    <w:rsid w:val="00E9390E"/>
    <w:pPr>
      <w:spacing w:before="20" w:after="0"/>
      <w:jc w:val="left"/>
    </w:pPr>
    <w:rPr>
      <w:rFonts w:ascii="Times New Roman" w:hAnsi="Times New Roman"/>
      <w:color w:val="000080"/>
      <w:sz w:val="12"/>
    </w:rPr>
  </w:style>
  <w:style w:type="paragraph" w:customStyle="1" w:styleId="IFDNumL1">
    <w:name w:val="IFDNum L1"/>
    <w:basedOn w:val="Normal"/>
    <w:rsid w:val="00F7569F"/>
    <w:pPr>
      <w:numPr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2">
    <w:name w:val="IFDNum L2"/>
    <w:basedOn w:val="Normal"/>
    <w:rsid w:val="00F7569F"/>
    <w:pPr>
      <w:numPr>
        <w:ilvl w:val="1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3">
    <w:name w:val="IFDNum L3"/>
    <w:basedOn w:val="Normal"/>
    <w:rsid w:val="00F7569F"/>
    <w:pPr>
      <w:numPr>
        <w:ilvl w:val="2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4">
    <w:name w:val="IFDNum L4"/>
    <w:basedOn w:val="Normal"/>
    <w:rsid w:val="00F7569F"/>
    <w:pPr>
      <w:numPr>
        <w:ilvl w:val="3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5">
    <w:name w:val="IFDNum L5"/>
    <w:basedOn w:val="Normal"/>
    <w:rsid w:val="00F7569F"/>
    <w:pPr>
      <w:numPr>
        <w:ilvl w:val="4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6">
    <w:name w:val="IFDNum L6"/>
    <w:basedOn w:val="Normal"/>
    <w:rsid w:val="00F7569F"/>
    <w:pPr>
      <w:numPr>
        <w:ilvl w:val="5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7">
    <w:name w:val="IFDNum L7"/>
    <w:basedOn w:val="Normal"/>
    <w:rsid w:val="00F7569F"/>
    <w:pPr>
      <w:numPr>
        <w:ilvl w:val="6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8">
    <w:name w:val="IFDNum L8"/>
    <w:basedOn w:val="Normal"/>
    <w:rsid w:val="00F7569F"/>
    <w:pPr>
      <w:numPr>
        <w:ilvl w:val="7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paragraph" w:customStyle="1" w:styleId="IFDNumL9">
    <w:name w:val="IFDNum L9"/>
    <w:basedOn w:val="Normal"/>
    <w:rsid w:val="00F7569F"/>
    <w:pPr>
      <w:numPr>
        <w:ilvl w:val="8"/>
        <w:numId w:val="16"/>
      </w:numPr>
      <w:spacing w:line="360" w:lineRule="auto"/>
    </w:pPr>
    <w:rPr>
      <w:rFonts w:ascii="Times New Roman" w:hAnsi="Times New Roman"/>
      <w:sz w:val="24"/>
      <w:szCs w:val="20"/>
    </w:rPr>
  </w:style>
  <w:style w:type="character" w:customStyle="1" w:styleId="reflex3-block">
    <w:name w:val="reflex3-block"/>
    <w:basedOn w:val="DefaultParagraphFont"/>
    <w:rsid w:val="00774251"/>
  </w:style>
  <w:style w:type="character" w:styleId="Hyperlink">
    <w:name w:val="Hyperlink"/>
    <w:basedOn w:val="DefaultParagraphFont"/>
    <w:uiPriority w:val="99"/>
    <w:unhideWhenUsed/>
    <w:rsid w:val="00774251"/>
    <w:rPr>
      <w:color w:val="0000FF"/>
      <w:u w:val="single"/>
    </w:rPr>
  </w:style>
  <w:style w:type="character" w:customStyle="1" w:styleId="reflex3-alt">
    <w:name w:val="reflex3-alt"/>
    <w:basedOn w:val="DefaultParagraphFont"/>
    <w:rsid w:val="00774251"/>
  </w:style>
  <w:style w:type="character" w:customStyle="1" w:styleId="solext3">
    <w:name w:val="solext3"/>
    <w:basedOn w:val="DefaultParagraphFont"/>
    <w:rsid w:val="00774251"/>
  </w:style>
  <w:style w:type="character" w:customStyle="1" w:styleId="solext4">
    <w:name w:val="solext4"/>
    <w:basedOn w:val="DefaultParagraphFont"/>
    <w:rsid w:val="00774251"/>
  </w:style>
  <w:style w:type="character" w:styleId="CommentReference">
    <w:name w:val="annotation reference"/>
    <w:basedOn w:val="DefaultParagraphFont"/>
    <w:semiHidden/>
    <w:unhideWhenUsed/>
    <w:rsid w:val="0089132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9132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9132F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9132F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9132F"/>
    <w:rPr>
      <w:rFonts w:ascii="Arial" w:hAnsi="Arial"/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0D7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bplawyers.com/wp-content/uploads/2020/04/Tab-02B-Procope-The-Ongoing-History-of-Section-3-Counsel.pd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9A613-2C8F-493E-97E3-3917EEF59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2924</Words>
  <Characters>16667</Characters>
  <Application>Microsoft Office Word</Application>
  <DocSecurity>0</DocSecurity>
  <Lines>138</Lines>
  <Paragraphs>39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Paperny</dc:creator>
  <cp:lastModifiedBy>Tantsis, Sophie (JUD)</cp:lastModifiedBy>
  <cp:revision>5</cp:revision>
  <cp:lastPrinted>1901-01-01T05:00:00Z</cp:lastPrinted>
  <dcterms:created xsi:type="dcterms:W3CDTF">2021-02-12T18:52:00Z</dcterms:created>
  <dcterms:modified xsi:type="dcterms:W3CDTF">2021-03-09T20:11:00Z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34a106e-6316-442c-ad35-738afd673d2b_Enabled">
    <vt:lpwstr>True</vt:lpwstr>
  </property>
  <property fmtid="{D5CDD505-2E9C-101B-9397-08002B2CF9AE}" pid="3" name="MSIP_Label_034a106e-6316-442c-ad35-738afd673d2b_SiteId">
    <vt:lpwstr>cddc1229-ac2a-4b97-b78a-0e5cacb5865c</vt:lpwstr>
  </property>
  <property fmtid="{D5CDD505-2E9C-101B-9397-08002B2CF9AE}" pid="4" name="MSIP_Label_034a106e-6316-442c-ad35-738afd673d2b_Owner">
    <vt:lpwstr>Sophie.Tantsis@ontario.ca</vt:lpwstr>
  </property>
  <property fmtid="{D5CDD505-2E9C-101B-9397-08002B2CF9AE}" pid="5" name="MSIP_Label_034a106e-6316-442c-ad35-738afd673d2b_SetDate">
    <vt:lpwstr>2021-03-09T20:11:53.9292814Z</vt:lpwstr>
  </property>
  <property fmtid="{D5CDD505-2E9C-101B-9397-08002B2CF9AE}" pid="6" name="MSIP_Label_034a106e-6316-442c-ad35-738afd673d2b_Name">
    <vt:lpwstr>OPS - Unclassified Information</vt:lpwstr>
  </property>
  <property fmtid="{D5CDD505-2E9C-101B-9397-08002B2CF9AE}" pid="7" name="MSIP_Label_034a106e-6316-442c-ad35-738afd673d2b_Application">
    <vt:lpwstr>Microsoft Azure Information Protection</vt:lpwstr>
  </property>
  <property fmtid="{D5CDD505-2E9C-101B-9397-08002B2CF9AE}" pid="8" name="MSIP_Label_034a106e-6316-442c-ad35-738afd673d2b_ActionId">
    <vt:lpwstr>5cdfac22-21e8-4c2e-94e8-61bbdac0acde</vt:lpwstr>
  </property>
  <property fmtid="{D5CDD505-2E9C-101B-9397-08002B2CF9AE}" pid="9" name="MSIP_Label_034a106e-6316-442c-ad35-738afd673d2b_Extended_MSFT_Method">
    <vt:lpwstr>Automatic</vt:lpwstr>
  </property>
  <property fmtid="{D5CDD505-2E9C-101B-9397-08002B2CF9AE}" pid="10" name="Sensitivity">
    <vt:lpwstr>OPS - Unclassified Information</vt:lpwstr>
  </property>
</Properties>
</file>