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B4A9" w14:textId="2BE4140F" w:rsidR="004D454D" w:rsidRPr="009A017B" w:rsidRDefault="004D454D" w:rsidP="004D454D">
      <w:pPr>
        <w:spacing w:line="240" w:lineRule="auto"/>
        <w:jc w:val="right"/>
        <w:rPr>
          <w:b/>
          <w:bCs/>
          <w:szCs w:val="24"/>
          <w:lang w:val="fr-CA"/>
        </w:rPr>
      </w:pPr>
      <w:r w:rsidRPr="009A017B">
        <w:rPr>
          <w:b/>
          <w:bCs/>
          <w:color w:val="000000"/>
          <w:lang w:val="fr-CA"/>
        </w:rPr>
        <w:t>N</w:t>
      </w:r>
      <w:r w:rsidRPr="009A017B">
        <w:rPr>
          <w:b/>
          <w:bCs/>
          <w:color w:val="000000"/>
          <w:vertAlign w:val="superscript"/>
          <w:lang w:val="fr-CA"/>
        </w:rPr>
        <w:t>o</w:t>
      </w:r>
      <w:r w:rsidRPr="009A017B">
        <w:rPr>
          <w:b/>
          <w:bCs/>
          <w:color w:val="000000"/>
          <w:lang w:val="fr-CA"/>
        </w:rPr>
        <w:t xml:space="preserve"> du dossier de la cour </w:t>
      </w:r>
      <w:r w:rsidRPr="009A017B">
        <w:rPr>
          <w:color w:val="000000"/>
          <w:lang w:val="fr-CA"/>
        </w:rPr>
        <w:t>:</w:t>
      </w:r>
    </w:p>
    <w:p w14:paraId="22CE7E21" w14:textId="77777777" w:rsidR="004D454D" w:rsidRPr="009A017B" w:rsidRDefault="004D454D" w:rsidP="004D454D">
      <w:pPr>
        <w:spacing w:line="240" w:lineRule="auto"/>
        <w:jc w:val="center"/>
        <w:rPr>
          <w:b/>
          <w:bCs/>
          <w:szCs w:val="24"/>
          <w:lang w:val="fr-CA"/>
        </w:rPr>
      </w:pPr>
    </w:p>
    <w:p w14:paraId="66C97D72" w14:textId="77777777" w:rsidR="004D454D" w:rsidRPr="009A017B" w:rsidRDefault="004D454D" w:rsidP="004D454D">
      <w:pPr>
        <w:spacing w:line="240" w:lineRule="auto"/>
        <w:jc w:val="center"/>
        <w:rPr>
          <w:b/>
          <w:bCs/>
          <w:szCs w:val="24"/>
          <w:lang w:val="fr-CA"/>
        </w:rPr>
      </w:pPr>
      <w:r w:rsidRPr="009A017B">
        <w:rPr>
          <w:b/>
          <w:bCs/>
          <w:szCs w:val="24"/>
          <w:lang w:val="fr-CA"/>
        </w:rPr>
        <w:t xml:space="preserve">ONTARIO </w:t>
      </w:r>
    </w:p>
    <w:p w14:paraId="5ADE66DD" w14:textId="77777777" w:rsidR="004D454D" w:rsidRPr="009A017B" w:rsidRDefault="004D454D" w:rsidP="004D454D">
      <w:pPr>
        <w:spacing w:after="80"/>
        <w:jc w:val="center"/>
        <w:rPr>
          <w:szCs w:val="24"/>
          <w:lang w:val="fr-CA"/>
        </w:rPr>
      </w:pPr>
      <w:r w:rsidRPr="009A017B">
        <w:rPr>
          <w:b/>
          <w:bCs/>
          <w:szCs w:val="24"/>
          <w:lang w:val="fr-CA"/>
        </w:rPr>
        <w:t>COUR SUPÉRIEURE DE JUSTICE</w:t>
      </w:r>
    </w:p>
    <w:tbl>
      <w:tblPr>
        <w:tblStyle w:val="TableGrid"/>
        <w:tblpPr w:leftFromText="180" w:rightFromText="180" w:vertAnchor="text" w:tblpX="36"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5956"/>
        <w:gridCol w:w="206"/>
        <w:gridCol w:w="4908"/>
      </w:tblGrid>
      <w:tr w:rsidR="004D454D" w:rsidRPr="005D0C4E" w14:paraId="12808FCC" w14:textId="77777777" w:rsidTr="00FE148B">
        <w:trPr>
          <w:trHeight w:val="403"/>
        </w:trPr>
        <w:tc>
          <w:tcPr>
            <w:tcW w:w="2690" w:type="pct"/>
            <w:vAlign w:val="center"/>
          </w:tcPr>
          <w:p w14:paraId="211D0E12" w14:textId="77777777" w:rsidR="004D454D" w:rsidRPr="009A017B" w:rsidRDefault="004D454D" w:rsidP="00FE148B">
            <w:pPr>
              <w:pStyle w:val="TableHeading"/>
              <w:spacing w:after="0" w:line="257" w:lineRule="auto"/>
              <w:jc w:val="left"/>
              <w:rPr>
                <w:bCs/>
                <w:lang w:val="fr-CA"/>
              </w:rPr>
            </w:pPr>
            <w:r w:rsidRPr="009A017B">
              <w:rPr>
                <w:lang w:val="fr-CA"/>
              </w:rPr>
              <w:t>L’HONORABLE JUGE</w:t>
            </w:r>
          </w:p>
        </w:tc>
        <w:tc>
          <w:tcPr>
            <w:tcW w:w="93" w:type="pct"/>
            <w:vAlign w:val="center"/>
          </w:tcPr>
          <w:p w14:paraId="72B17D96" w14:textId="77777777" w:rsidR="004D454D" w:rsidRPr="009A017B" w:rsidRDefault="004D454D" w:rsidP="00FE148B">
            <w:pPr>
              <w:spacing w:line="240" w:lineRule="auto"/>
              <w:rPr>
                <w:rFonts w:asciiTheme="minorHAnsi" w:eastAsia="Arial" w:hAnsiTheme="minorHAnsi" w:cstheme="minorHAnsi"/>
                <w:bCs/>
                <w:sz w:val="22"/>
                <w:lang w:val="fr-CA"/>
              </w:rPr>
            </w:pPr>
            <w:r w:rsidRPr="009A017B">
              <w:rPr>
                <w:rFonts w:asciiTheme="minorHAnsi" w:eastAsia="Arial" w:hAnsiTheme="minorHAnsi" w:cstheme="minorHAnsi"/>
                <w:bCs/>
                <w:sz w:val="22"/>
                <w:lang w:val="fr-CA"/>
              </w:rPr>
              <w:t>)</w:t>
            </w:r>
          </w:p>
        </w:tc>
        <w:tc>
          <w:tcPr>
            <w:tcW w:w="2217" w:type="pct"/>
            <w:vAlign w:val="center"/>
          </w:tcPr>
          <w:p w14:paraId="1E2BD469" w14:textId="4EC0112B" w:rsidR="004D454D" w:rsidRPr="009A017B" w:rsidRDefault="005D0C4E" w:rsidP="00FE148B">
            <w:pPr>
              <w:jc w:val="right"/>
              <w:rPr>
                <w:rFonts w:asciiTheme="minorHAnsi" w:eastAsia="Arial" w:hAnsiTheme="minorHAnsi" w:cstheme="minorHAnsi"/>
                <w:bCs/>
                <w:sz w:val="22"/>
                <w:szCs w:val="22"/>
                <w:lang w:val="fr-CA"/>
              </w:rPr>
            </w:pPr>
            <w:r w:rsidRPr="005D0C4E">
              <w:rPr>
                <w:rFonts w:eastAsia="Arial" w:cstheme="minorHAnsi"/>
                <w:bCs/>
                <w:lang w:val="fr-CA"/>
              </w:rPr>
              <w:t>[</w:t>
            </w:r>
            <w:r>
              <w:rPr>
                <w:rFonts w:eastAsia="Arial" w:cstheme="minorHAnsi"/>
                <w:bCs/>
                <w:lang w:val="fr-CA"/>
              </w:rPr>
              <w:t>jour de la semaine</w:t>
            </w:r>
            <w:r w:rsidRPr="005D0C4E">
              <w:rPr>
                <w:rFonts w:eastAsia="Arial" w:cstheme="minorHAnsi"/>
                <w:bCs/>
                <w:lang w:val="fr-CA"/>
              </w:rPr>
              <w:t>]</w:t>
            </w:r>
            <w:r>
              <w:rPr>
                <w:rFonts w:eastAsia="Arial" w:cstheme="minorHAnsi"/>
                <w:bCs/>
                <w:lang w:val="fr-CA"/>
              </w:rPr>
              <w:t>, le</w:t>
            </w:r>
            <w:r w:rsidR="004D454D" w:rsidRPr="009A017B">
              <w:rPr>
                <w:rFonts w:eastAsia="Arial" w:cstheme="minorHAnsi"/>
                <w:bCs/>
                <w:lang w:val="fr-CA"/>
              </w:rPr>
              <w:t xml:space="preserve"> </w:t>
            </w:r>
            <w:r w:rsidRPr="005D0C4E">
              <w:rPr>
                <w:rFonts w:eastAsia="Arial" w:cstheme="minorHAnsi"/>
                <w:bCs/>
                <w:lang w:val="fr-CA"/>
              </w:rPr>
              <w:t>[#]</w:t>
            </w:r>
            <w:r w:rsidR="004D454D" w:rsidRPr="009A017B">
              <w:rPr>
                <w:rFonts w:eastAsia="Arial" w:cstheme="minorHAnsi"/>
                <w:bCs/>
                <w:lang w:val="fr-CA"/>
              </w:rPr>
              <w:t xml:space="preserve"> </w:t>
            </w:r>
          </w:p>
        </w:tc>
      </w:tr>
      <w:tr w:rsidR="004D454D" w:rsidRPr="009A017B" w14:paraId="5153FF40" w14:textId="77777777" w:rsidTr="00FE148B">
        <w:trPr>
          <w:trHeight w:val="403"/>
        </w:trPr>
        <w:tc>
          <w:tcPr>
            <w:tcW w:w="2690" w:type="pct"/>
            <w:vAlign w:val="center"/>
          </w:tcPr>
          <w:p w14:paraId="69193BCE" w14:textId="6E6AA127" w:rsidR="004D454D" w:rsidRPr="009A017B" w:rsidRDefault="004D454D" w:rsidP="00FE148B">
            <w:pPr>
              <w:pStyle w:val="TableCells"/>
              <w:rPr>
                <w:lang w:val="fr-CA"/>
              </w:rPr>
            </w:pPr>
          </w:p>
        </w:tc>
        <w:tc>
          <w:tcPr>
            <w:tcW w:w="93" w:type="pct"/>
            <w:vAlign w:val="center"/>
          </w:tcPr>
          <w:p w14:paraId="08183E9B" w14:textId="77777777" w:rsidR="004D454D" w:rsidRPr="009A017B" w:rsidRDefault="004D454D" w:rsidP="00FE148B">
            <w:pPr>
              <w:spacing w:line="240" w:lineRule="auto"/>
              <w:rPr>
                <w:rFonts w:asciiTheme="minorHAnsi" w:eastAsia="Arial" w:hAnsiTheme="minorHAnsi" w:cstheme="minorHAnsi"/>
                <w:bCs/>
                <w:sz w:val="22"/>
                <w:lang w:val="fr-CA"/>
              </w:rPr>
            </w:pPr>
            <w:r w:rsidRPr="009A017B">
              <w:rPr>
                <w:rFonts w:asciiTheme="minorHAnsi" w:eastAsia="Arial" w:hAnsiTheme="minorHAnsi" w:cstheme="minorHAnsi"/>
                <w:bCs/>
                <w:sz w:val="22"/>
                <w:lang w:val="fr-CA"/>
              </w:rPr>
              <w:t>)</w:t>
            </w:r>
          </w:p>
        </w:tc>
        <w:tc>
          <w:tcPr>
            <w:tcW w:w="2217" w:type="pct"/>
            <w:vAlign w:val="center"/>
          </w:tcPr>
          <w:p w14:paraId="252681F3" w14:textId="395F8B91" w:rsidR="004D454D" w:rsidRPr="009A017B" w:rsidRDefault="004D454D" w:rsidP="00FE148B">
            <w:pPr>
              <w:jc w:val="right"/>
              <w:rPr>
                <w:rFonts w:asciiTheme="minorHAnsi" w:eastAsia="Arial" w:hAnsiTheme="minorHAnsi" w:cstheme="minorHAnsi"/>
                <w:bCs/>
                <w:sz w:val="22"/>
                <w:szCs w:val="22"/>
                <w:lang w:val="fr-CA"/>
              </w:rPr>
            </w:pPr>
            <w:r w:rsidRPr="009A017B">
              <w:rPr>
                <w:rFonts w:eastAsia="Arial" w:cstheme="minorHAnsi"/>
                <w:bCs/>
                <w:lang w:val="fr-CA"/>
              </w:rPr>
              <w:t xml:space="preserve"> </w:t>
            </w:r>
            <w:r w:rsidR="005D0C4E" w:rsidRPr="005D0C4E">
              <w:rPr>
                <w:rFonts w:eastAsia="Arial"/>
                <w:bCs/>
                <w:lang w:val="fr-CA"/>
              </w:rPr>
              <w:t>[</w:t>
            </w:r>
            <w:r w:rsidR="005D0C4E">
              <w:rPr>
                <w:rFonts w:eastAsia="Arial"/>
                <w:bCs/>
                <w:lang w:val="fr-CA"/>
              </w:rPr>
              <w:t>mois</w:t>
            </w:r>
            <w:r w:rsidR="005D0C4E" w:rsidRPr="005D0C4E">
              <w:rPr>
                <w:rFonts w:eastAsia="Arial"/>
                <w:bCs/>
                <w:lang w:val="fr-CA"/>
              </w:rPr>
              <w:t>]</w:t>
            </w:r>
            <w:r w:rsidRPr="009A017B">
              <w:rPr>
                <w:rFonts w:eastAsia="Arial"/>
                <w:bCs/>
                <w:lang w:val="fr-CA"/>
              </w:rPr>
              <w:t xml:space="preserve"> 20</w:t>
            </w:r>
            <w:r w:rsidR="005D0C4E" w:rsidRPr="005D0C4E">
              <w:rPr>
                <w:rFonts w:eastAsia="Arial" w:cstheme="minorHAnsi"/>
                <w:bCs/>
                <w:lang w:val="fr-CA"/>
              </w:rPr>
              <w:t>[</w:t>
            </w:r>
            <w:r w:rsidR="005D0C4E">
              <w:rPr>
                <w:rFonts w:eastAsia="Arial" w:cstheme="minorHAnsi"/>
                <w:bCs/>
                <w:lang w:val="fr-CA"/>
              </w:rPr>
              <w:t>an</w:t>
            </w:r>
            <w:r w:rsidR="005D0C4E" w:rsidRPr="005D0C4E">
              <w:rPr>
                <w:rFonts w:eastAsia="Arial" w:cstheme="minorHAnsi"/>
                <w:bCs/>
                <w:lang w:val="fr-CA"/>
              </w:rPr>
              <w:t>]</w:t>
            </w:r>
          </w:p>
        </w:tc>
      </w:tr>
      <w:tr w:rsidR="004D454D" w:rsidRPr="009A017B" w14:paraId="6464BCD9" w14:textId="77777777" w:rsidTr="00FE148B">
        <w:trPr>
          <w:trHeight w:val="403"/>
        </w:trPr>
        <w:tc>
          <w:tcPr>
            <w:tcW w:w="5000" w:type="pct"/>
            <w:gridSpan w:val="3"/>
            <w:vAlign w:val="bottom"/>
          </w:tcPr>
          <w:p w14:paraId="1E740807" w14:textId="77777777" w:rsidR="004D454D" w:rsidRPr="009A017B" w:rsidRDefault="004D454D" w:rsidP="00FE148B">
            <w:pPr>
              <w:spacing w:before="360" w:line="240" w:lineRule="auto"/>
              <w:rPr>
                <w:lang w:val="fr-CA"/>
              </w:rPr>
            </w:pPr>
            <w:r w:rsidRPr="009A017B">
              <w:rPr>
                <w:lang w:val="fr-CA"/>
              </w:rPr>
              <w:t>ENTRE</w:t>
            </w:r>
          </w:p>
        </w:tc>
      </w:tr>
      <w:tr w:rsidR="004D454D" w:rsidRPr="009A017B" w14:paraId="2E1A2768" w14:textId="77777777" w:rsidTr="00FE148B">
        <w:trPr>
          <w:trHeight w:val="403"/>
        </w:trPr>
        <w:tc>
          <w:tcPr>
            <w:tcW w:w="5000" w:type="pct"/>
            <w:gridSpan w:val="3"/>
            <w:vAlign w:val="bottom"/>
          </w:tcPr>
          <w:p w14:paraId="07ADB58A" w14:textId="54B3A820" w:rsidR="004D454D" w:rsidRPr="009A017B" w:rsidRDefault="005D0C4E" w:rsidP="00FE148B">
            <w:pPr>
              <w:spacing w:before="120" w:after="120" w:line="240" w:lineRule="auto"/>
              <w:jc w:val="center"/>
              <w:rPr>
                <w:lang w:val="fr-CA"/>
              </w:rPr>
            </w:pPr>
            <w:r w:rsidRPr="005D0C4E">
              <w:rPr>
                <w:rFonts w:eastAsia="Arial" w:cstheme="minorHAnsi"/>
                <w:b/>
                <w:lang w:val="fr-CA"/>
              </w:rPr>
              <w:t>[Demandeur(s)]</w:t>
            </w:r>
          </w:p>
        </w:tc>
      </w:tr>
      <w:tr w:rsidR="004D454D" w:rsidRPr="009A017B" w14:paraId="43E55E5C" w14:textId="77777777" w:rsidTr="00FE148B">
        <w:trPr>
          <w:trHeight w:val="403"/>
        </w:trPr>
        <w:tc>
          <w:tcPr>
            <w:tcW w:w="5000" w:type="pct"/>
            <w:gridSpan w:val="3"/>
            <w:vAlign w:val="bottom"/>
          </w:tcPr>
          <w:p w14:paraId="3C668411" w14:textId="77777777" w:rsidR="004D454D" w:rsidRPr="009A017B" w:rsidRDefault="004D454D" w:rsidP="00FE148B">
            <w:pPr>
              <w:spacing w:before="80" w:after="80" w:line="240" w:lineRule="auto"/>
              <w:jc w:val="center"/>
              <w:rPr>
                <w:lang w:val="fr-CA"/>
              </w:rPr>
            </w:pPr>
            <w:r w:rsidRPr="009A017B">
              <w:rPr>
                <w:rFonts w:eastAsia="Arial" w:cstheme="minorHAnsi"/>
                <w:bCs/>
                <w:lang w:val="fr-CA"/>
              </w:rPr>
              <w:t xml:space="preserve">- </w:t>
            </w:r>
            <w:r>
              <w:rPr>
                <w:rFonts w:eastAsia="Arial" w:cstheme="minorHAnsi"/>
                <w:bCs/>
                <w:lang w:val="fr-CA"/>
              </w:rPr>
              <w:t xml:space="preserve">et </w:t>
            </w:r>
            <w:r w:rsidRPr="009A017B">
              <w:rPr>
                <w:rFonts w:eastAsia="Arial" w:cstheme="minorHAnsi"/>
                <w:bCs/>
                <w:lang w:val="fr-CA"/>
              </w:rPr>
              <w:t>-</w:t>
            </w:r>
          </w:p>
        </w:tc>
      </w:tr>
      <w:tr w:rsidR="004D454D" w:rsidRPr="009A017B" w14:paraId="314D2BAD" w14:textId="77777777" w:rsidTr="00FE148B">
        <w:trPr>
          <w:trHeight w:val="403"/>
        </w:trPr>
        <w:tc>
          <w:tcPr>
            <w:tcW w:w="5000" w:type="pct"/>
            <w:gridSpan w:val="3"/>
            <w:vAlign w:val="bottom"/>
          </w:tcPr>
          <w:p w14:paraId="5161D5A0" w14:textId="0047FD16" w:rsidR="004D454D" w:rsidRPr="009A017B" w:rsidRDefault="005D0C4E" w:rsidP="00FE148B">
            <w:pPr>
              <w:spacing w:before="120" w:after="120" w:line="240" w:lineRule="auto"/>
              <w:jc w:val="center"/>
              <w:rPr>
                <w:rFonts w:eastAsia="Arial" w:cstheme="minorHAnsi"/>
                <w:bCs/>
                <w:lang w:val="fr-CA"/>
              </w:rPr>
            </w:pPr>
            <w:r w:rsidRPr="005D0C4E">
              <w:rPr>
                <w:rFonts w:eastAsia="Arial" w:cstheme="minorHAnsi"/>
                <w:b/>
                <w:lang w:val="fr-CA"/>
              </w:rPr>
              <w:t>[Défendeur(s)]</w:t>
            </w:r>
          </w:p>
        </w:tc>
      </w:tr>
    </w:tbl>
    <w:p w14:paraId="78914970" w14:textId="77777777" w:rsidR="004D454D" w:rsidRPr="009A017B" w:rsidRDefault="004D454D" w:rsidP="004D454D">
      <w:pPr>
        <w:jc w:val="center"/>
        <w:rPr>
          <w:lang w:val="fr-CA"/>
        </w:rPr>
      </w:pPr>
    </w:p>
    <w:p w14:paraId="78BB335D" w14:textId="77777777" w:rsidR="004D454D" w:rsidRPr="009A017B" w:rsidRDefault="004D454D" w:rsidP="004D454D">
      <w:pPr>
        <w:jc w:val="center"/>
        <w:rPr>
          <w:lang w:val="fr-CA"/>
        </w:rPr>
      </w:pPr>
    </w:p>
    <w:p w14:paraId="008C13AD" w14:textId="18632F50" w:rsidR="007C2D36" w:rsidRPr="004D454D" w:rsidRDefault="004D454D" w:rsidP="007C2D36">
      <w:pPr>
        <w:jc w:val="center"/>
        <w:rPr>
          <w:lang w:val="fr-CA"/>
        </w:rPr>
      </w:pPr>
      <w:r>
        <w:rPr>
          <w:lang w:val="fr"/>
        </w:rPr>
        <w:t xml:space="preserve">Instance relevant de la </w:t>
      </w:r>
      <w:r>
        <w:rPr>
          <w:i/>
          <w:iCs/>
          <w:lang w:val="fr"/>
        </w:rPr>
        <w:t>Loi de 1992 sur les recours collectifs</w:t>
      </w:r>
    </w:p>
    <w:p w14:paraId="6A5961C9" w14:textId="5D512D8E" w:rsidR="007C2D36" w:rsidRPr="004D454D" w:rsidRDefault="002A3F8E" w:rsidP="00245ACF">
      <w:pPr>
        <w:pStyle w:val="Title"/>
        <w:spacing w:before="240" w:after="60" w:line="240" w:lineRule="auto"/>
        <w:jc w:val="center"/>
        <w:rPr>
          <w:lang w:val="fr-CA"/>
        </w:rPr>
      </w:pPr>
      <w:r w:rsidRPr="004D454D">
        <w:rPr>
          <w:lang w:val="fr-CA"/>
        </w:rPr>
        <w:t>ORD</w:t>
      </w:r>
      <w:r w:rsidR="004D454D">
        <w:rPr>
          <w:lang w:val="fr-CA"/>
        </w:rPr>
        <w:t>ONNANCE</w:t>
      </w:r>
      <w:r w:rsidRPr="004D454D">
        <w:rPr>
          <w:rStyle w:val="FootnoteReference"/>
          <w:lang w:val="fr-CA"/>
        </w:rPr>
        <w:footnoteReference w:id="1"/>
      </w:r>
    </w:p>
    <w:p w14:paraId="3D0DCFA7" w14:textId="77777777" w:rsidR="00DA1FD6" w:rsidRDefault="007C2D36" w:rsidP="007C2D36">
      <w:pPr>
        <w:pStyle w:val="Heading2"/>
        <w:spacing w:before="0"/>
        <w:jc w:val="center"/>
        <w:rPr>
          <w:lang w:val="fr-CA"/>
        </w:rPr>
        <w:sectPr w:rsidR="00DA1FD6" w:rsidSect="00D37B9A">
          <w:headerReference w:type="even" r:id="rId11"/>
          <w:headerReference w:type="default" r:id="rId12"/>
          <w:footerReference w:type="even" r:id="rId13"/>
          <w:footerReference w:type="default" r:id="rId14"/>
          <w:headerReference w:type="first" r:id="rId15"/>
          <w:footerReference w:type="first" r:id="rId16"/>
          <w:pgSz w:w="12240" w:h="15840"/>
          <w:pgMar w:top="630" w:right="630" w:bottom="540" w:left="540" w:header="540" w:footer="534" w:gutter="0"/>
          <w:cols w:space="708"/>
          <w:docGrid w:linePitch="360"/>
        </w:sectPr>
      </w:pPr>
      <w:r w:rsidRPr="004D454D">
        <w:rPr>
          <w:lang w:val="fr-CA"/>
        </w:rPr>
        <w:t>(</w:t>
      </w:r>
      <w:r w:rsidR="004D454D" w:rsidRPr="004D454D">
        <w:rPr>
          <w:rFonts w:cstheme="majorHAnsi"/>
          <w:lang w:val="fr-CA"/>
        </w:rPr>
        <w:t>Financement de l’instance</w:t>
      </w:r>
      <w:r w:rsidRPr="004D454D">
        <w:rPr>
          <w:lang w:val="fr-CA"/>
        </w:rPr>
        <w:t>)</w:t>
      </w:r>
    </w:p>
    <w:p w14:paraId="2F3BB72C" w14:textId="034E745C" w:rsidR="007C2D36" w:rsidRPr="004D454D" w:rsidRDefault="004D454D" w:rsidP="00552408">
      <w:pPr>
        <w:spacing w:before="360"/>
        <w:ind w:firstLine="720"/>
        <w:jc w:val="both"/>
        <w:rPr>
          <w:lang w:val="fr-CA"/>
        </w:rPr>
      </w:pPr>
      <w:r w:rsidRPr="004D454D">
        <w:rPr>
          <w:b/>
          <w:bCs/>
          <w:lang w:val="fr"/>
        </w:rPr>
        <w:t>LA PRÉSENTE MOTION</w:t>
      </w:r>
      <w:r w:rsidRPr="004D454D">
        <w:rPr>
          <w:lang w:val="fr"/>
        </w:rPr>
        <w:t>, présentée par le demandeur en vue d’obtenir une ordonnance approuvant les conditions d’un accord de financement de l’instance (l</w:t>
      </w:r>
      <w:proofErr w:type="gramStart"/>
      <w:r w:rsidRPr="004D454D">
        <w:rPr>
          <w:lang w:val="fr"/>
        </w:rPr>
        <w:t>’«</w:t>
      </w:r>
      <w:proofErr w:type="gramEnd"/>
      <w:r w:rsidRPr="004D454D">
        <w:rPr>
          <w:lang w:val="fr"/>
        </w:rPr>
        <w:t xml:space="preserve"> accord ») conclu avec </w:t>
      </w:r>
      <w:r w:rsidRPr="004D454D">
        <w:rPr>
          <w:rStyle w:val="Prompt"/>
          <w:color w:val="auto"/>
          <w:lang w:val="fr"/>
        </w:rPr>
        <w:t>[</w:t>
      </w:r>
      <w:r w:rsidRPr="004D454D">
        <w:rPr>
          <w:rStyle w:val="Prompt"/>
          <w:i/>
          <w:iCs/>
          <w:color w:val="auto"/>
          <w:lang w:val="fr"/>
        </w:rPr>
        <w:t>nom du bailleur de fonds</w:t>
      </w:r>
      <w:r w:rsidRPr="004D454D">
        <w:rPr>
          <w:lang w:val="fr"/>
        </w:rPr>
        <w:t xml:space="preserve">] (le « bailleur de fonds »), </w:t>
      </w:r>
      <w:r w:rsidRPr="004D454D">
        <w:rPr>
          <w:szCs w:val="24"/>
          <w:lang w:val="fr"/>
        </w:rPr>
        <w:t>a été entendue aujourd’hui [par vidéoconférence judiciaire à (</w:t>
      </w:r>
      <w:r w:rsidRPr="004D454D">
        <w:rPr>
          <w:i/>
          <w:iCs/>
          <w:szCs w:val="24"/>
          <w:lang w:val="fr"/>
        </w:rPr>
        <w:t>ville</w:t>
      </w:r>
      <w:r w:rsidRPr="004D454D">
        <w:rPr>
          <w:szCs w:val="24"/>
          <w:lang w:val="fr"/>
        </w:rPr>
        <w:t>)], [au (</w:t>
      </w:r>
      <w:r w:rsidRPr="004D454D">
        <w:rPr>
          <w:i/>
          <w:iCs/>
          <w:szCs w:val="24"/>
          <w:lang w:val="fr"/>
        </w:rPr>
        <w:t>adresse du palais de justice</w:t>
      </w:r>
      <w:r w:rsidRPr="004D454D">
        <w:rPr>
          <w:szCs w:val="24"/>
          <w:lang w:val="fr"/>
        </w:rPr>
        <w:t>)], en Ontario.</w:t>
      </w:r>
    </w:p>
    <w:p w14:paraId="088E4B4C" w14:textId="6AD431F2" w:rsidR="007C2D36" w:rsidRPr="004D454D" w:rsidRDefault="004D454D" w:rsidP="00552408">
      <w:pPr>
        <w:spacing w:before="240"/>
        <w:ind w:firstLine="720"/>
        <w:jc w:val="both"/>
        <w:rPr>
          <w:lang w:val="fr-CA"/>
        </w:rPr>
      </w:pPr>
      <w:r>
        <w:rPr>
          <w:b/>
          <w:bCs/>
          <w:lang w:val="fr"/>
        </w:rPr>
        <w:t>APRÈS AVOIR LU</w:t>
      </w:r>
      <w:r>
        <w:rPr>
          <w:lang w:val="fr"/>
        </w:rPr>
        <w:t xml:space="preserve"> les documents déposés par le demandeur et l’accord complet et non expurgé, et après avoir entendu les observations de l’avocat(e) du demandeur et de l’avocat(e) des </w:t>
      </w:r>
      <w:proofErr w:type="gramStart"/>
      <w:r>
        <w:rPr>
          <w:lang w:val="fr"/>
        </w:rPr>
        <w:t>défendeurs;</w:t>
      </w:r>
      <w:proofErr w:type="gramEnd"/>
    </w:p>
    <w:p w14:paraId="3BE25840" w14:textId="63EB9C46" w:rsidR="00552408" w:rsidRPr="004D454D" w:rsidRDefault="004D454D" w:rsidP="00552408">
      <w:pPr>
        <w:spacing w:before="240"/>
        <w:ind w:firstLine="720"/>
        <w:jc w:val="both"/>
        <w:rPr>
          <w:lang w:val="fr-CA"/>
        </w:rPr>
      </w:pPr>
      <w:r>
        <w:rPr>
          <w:b/>
          <w:bCs/>
          <w:szCs w:val="24"/>
          <w:lang w:val="fr"/>
        </w:rPr>
        <w:t xml:space="preserve">ET AYANT ÉTÉ AVISÉ(E) </w:t>
      </w:r>
      <w:r>
        <w:rPr>
          <w:szCs w:val="24"/>
          <w:lang w:val="fr"/>
        </w:rPr>
        <w:t xml:space="preserve">que les défendeurs ne s’opposent pas à cette </w:t>
      </w:r>
      <w:proofErr w:type="gramStart"/>
      <w:r>
        <w:rPr>
          <w:szCs w:val="24"/>
          <w:lang w:val="fr"/>
        </w:rPr>
        <w:t>ordonnance;</w:t>
      </w:r>
      <w:proofErr w:type="gramEnd"/>
    </w:p>
    <w:p w14:paraId="0FE2DB10" w14:textId="540D887C" w:rsidR="00552408" w:rsidRPr="004D454D" w:rsidRDefault="00552408" w:rsidP="00D37B9A">
      <w:pPr>
        <w:spacing w:line="480" w:lineRule="auto"/>
        <w:rPr>
          <w:lang w:val="fr-CA"/>
        </w:rPr>
      </w:pPr>
    </w:p>
    <w:p w14:paraId="2639D145" w14:textId="63FC0CB6" w:rsidR="00552408" w:rsidRPr="004D454D" w:rsidRDefault="004D454D" w:rsidP="00552408">
      <w:pPr>
        <w:pStyle w:val="ListParagraph"/>
        <w:numPr>
          <w:ilvl w:val="0"/>
          <w:numId w:val="4"/>
        </w:numPr>
        <w:ind w:left="360"/>
        <w:jc w:val="both"/>
        <w:rPr>
          <w:lang w:val="fr-CA"/>
        </w:rPr>
      </w:pPr>
      <w:r>
        <w:rPr>
          <w:b/>
          <w:bCs/>
          <w:lang w:val="fr"/>
        </w:rPr>
        <w:t>LE TRIBUNAL DÉCLARE</w:t>
      </w:r>
      <w:r>
        <w:rPr>
          <w:lang w:val="fr"/>
        </w:rPr>
        <w:t xml:space="preserve"> que l’accord est juste et raisonnable, qu’il ne diminuera pas les droits du demandeur de prendre le contrôle du litige et qu’il ne nuira d’aucune autre façon aux rapports entre l’avocat et le client.</w:t>
      </w:r>
    </w:p>
    <w:p w14:paraId="0C81B62A" w14:textId="5548A98B" w:rsidR="00552408" w:rsidRPr="004D454D" w:rsidRDefault="004D454D" w:rsidP="00E210CB">
      <w:pPr>
        <w:pStyle w:val="ListParagraph"/>
        <w:numPr>
          <w:ilvl w:val="0"/>
          <w:numId w:val="4"/>
        </w:numPr>
        <w:spacing w:before="240"/>
        <w:ind w:left="360"/>
        <w:contextualSpacing w:val="0"/>
        <w:jc w:val="both"/>
        <w:rPr>
          <w:lang w:val="fr-CA"/>
        </w:rPr>
      </w:pPr>
      <w:r>
        <w:rPr>
          <w:b/>
          <w:bCs/>
          <w:lang w:val="fr"/>
        </w:rPr>
        <w:t>LE TRIBUNAL DÉCLARE</w:t>
      </w:r>
      <w:r>
        <w:rPr>
          <w:lang w:val="fr"/>
        </w:rPr>
        <w:t xml:space="preserve"> que l’accord est approuvé, sous réserve des conditions suivantes :</w:t>
      </w:r>
    </w:p>
    <w:p w14:paraId="26EE9D07" w14:textId="0B010130" w:rsidR="002A3F8E" w:rsidRPr="004D454D" w:rsidRDefault="000926C1" w:rsidP="002A3F8E">
      <w:pPr>
        <w:pStyle w:val="ListParagraph"/>
        <w:numPr>
          <w:ilvl w:val="1"/>
          <w:numId w:val="4"/>
        </w:numPr>
        <w:spacing w:before="240"/>
        <w:contextualSpacing w:val="0"/>
        <w:jc w:val="both"/>
        <w:rPr>
          <w:lang w:val="fr-CA"/>
        </w:rPr>
      </w:pPr>
      <w:r w:rsidRPr="000926C1">
        <w:rPr>
          <w:lang w:val="fr"/>
        </w:rPr>
        <w:lastRenderedPageBreak/>
        <w:t>[*</w:t>
      </w:r>
      <w:r w:rsidRPr="000926C1">
        <w:rPr>
          <w:i/>
          <w:iCs/>
          <w:lang w:val="fr"/>
        </w:rPr>
        <w:t>si un cautionnement pour dépens est requis</w:t>
      </w:r>
      <w:r w:rsidRPr="000926C1">
        <w:rPr>
          <w:lang w:val="fr"/>
        </w:rPr>
        <w:t>]</w:t>
      </w:r>
      <w:r>
        <w:rPr>
          <w:rStyle w:val="FootnoteReference"/>
          <w:b/>
          <w:bCs/>
          <w:i/>
          <w:iCs/>
          <w:lang w:val="fr"/>
        </w:rPr>
        <w:footnoteReference w:id="2"/>
      </w:r>
      <w:r>
        <w:rPr>
          <w:b/>
          <w:bCs/>
          <w:i/>
          <w:iCs/>
          <w:lang w:val="fr"/>
        </w:rPr>
        <w:t xml:space="preserve"> </w:t>
      </w:r>
      <w:r>
        <w:rPr>
          <w:lang w:val="fr"/>
        </w:rPr>
        <w:t>Le bailleur de fonds doit, aux dates précisées, verser au tribunal les montants suivants, en dollars canadiens ou au moyen d’une lettre de crédit irrévocable</w:t>
      </w:r>
      <w:r>
        <w:rPr>
          <w:rStyle w:val="FootnoteReference"/>
          <w:lang w:val="fr"/>
        </w:rPr>
        <w:footnoteReference w:id="3"/>
      </w:r>
      <w:r>
        <w:rPr>
          <w:lang w:val="fr"/>
        </w:rPr>
        <w:t xml:space="preserve">, sous une forme acceptable pour les défendeurs et pour le comptable de la Cour supérieure de justice, et conformément à la règle 72.02 des </w:t>
      </w:r>
      <w:r>
        <w:rPr>
          <w:i/>
          <w:iCs/>
          <w:lang w:val="fr"/>
        </w:rPr>
        <w:t>Règles de procédure civile</w:t>
      </w:r>
      <w:r>
        <w:rPr>
          <w:lang w:val="fr"/>
        </w:rPr>
        <w:t>, à titre de cautionnement pour les dépens des défendeurs :</w:t>
      </w:r>
    </w:p>
    <w:p w14:paraId="2C7DBEB4" w14:textId="3F61534C" w:rsidR="002A3F8E" w:rsidRPr="000926C1" w:rsidRDefault="000926C1" w:rsidP="002A3F8E">
      <w:pPr>
        <w:pStyle w:val="ListParagraph"/>
        <w:numPr>
          <w:ilvl w:val="2"/>
          <w:numId w:val="4"/>
        </w:numPr>
        <w:spacing w:before="240"/>
        <w:contextualSpacing w:val="0"/>
        <w:jc w:val="both"/>
        <w:rPr>
          <w:lang w:val="fr-CA"/>
        </w:rPr>
      </w:pPr>
      <w:r w:rsidRPr="000926C1">
        <w:rPr>
          <w:rStyle w:val="Prompt"/>
          <w:color w:val="auto"/>
          <w:lang w:val="fr"/>
        </w:rPr>
        <w:t>[</w:t>
      </w:r>
      <w:proofErr w:type="gramStart"/>
      <w:r w:rsidRPr="000926C1">
        <w:rPr>
          <w:rStyle w:val="Prompt"/>
          <w:rFonts w:asciiTheme="minorHAnsi" w:hAnsiTheme="minorHAnsi" w:cstheme="minorHAnsi"/>
          <w:i/>
          <w:iCs/>
          <w:color w:val="auto"/>
          <w:lang w:val="fr"/>
        </w:rPr>
        <w:t>montant</w:t>
      </w:r>
      <w:proofErr w:type="gramEnd"/>
      <w:r w:rsidRPr="000926C1">
        <w:rPr>
          <w:rStyle w:val="Prompt"/>
          <w:color w:val="auto"/>
          <w:lang w:val="fr"/>
        </w:rPr>
        <w:t>]</w:t>
      </w:r>
      <w:r w:rsidRPr="000926C1">
        <w:rPr>
          <w:lang w:val="fr"/>
        </w:rPr>
        <w:t xml:space="preserve"> $ CA au plus tard le </w:t>
      </w:r>
      <w:r w:rsidRPr="000926C1">
        <w:rPr>
          <w:rStyle w:val="Prompt"/>
          <w:color w:val="auto"/>
          <w:lang w:val="fr"/>
        </w:rPr>
        <w:t>[</w:t>
      </w:r>
      <w:r>
        <w:rPr>
          <w:rStyle w:val="Prompt"/>
          <w:rFonts w:asciiTheme="minorHAnsi" w:hAnsiTheme="minorHAnsi" w:cstheme="minorHAnsi"/>
          <w:i/>
          <w:iCs/>
          <w:color w:val="auto"/>
          <w:lang w:val="fr"/>
        </w:rPr>
        <w:t>date</w:t>
      </w:r>
      <w:r w:rsidRPr="000926C1">
        <w:rPr>
          <w:rStyle w:val="Prompt"/>
          <w:color w:val="auto"/>
          <w:lang w:val="fr"/>
        </w:rPr>
        <w:t>]</w:t>
      </w:r>
      <w:r w:rsidRPr="000926C1">
        <w:rPr>
          <w:lang w:val="fr"/>
        </w:rPr>
        <w:t xml:space="preserve"> 20</w:t>
      </w:r>
      <w:r w:rsidRPr="000926C1">
        <w:rPr>
          <w:rStyle w:val="Prompt"/>
          <w:color w:val="auto"/>
          <w:lang w:val="fr"/>
        </w:rPr>
        <w:t>[</w:t>
      </w:r>
      <w:r w:rsidRPr="000926C1">
        <w:rPr>
          <w:rStyle w:val="Prompt"/>
          <w:i/>
          <w:iCs/>
          <w:color w:val="auto"/>
          <w:lang w:val="fr"/>
        </w:rPr>
        <w:t>année</w:t>
      </w:r>
      <w:r w:rsidRPr="000926C1">
        <w:rPr>
          <w:rStyle w:val="Prompt"/>
          <w:color w:val="auto"/>
          <w:lang w:val="fr"/>
        </w:rPr>
        <w:t>]</w:t>
      </w:r>
      <w:r w:rsidRPr="000926C1">
        <w:rPr>
          <w:lang w:val="fr"/>
        </w:rPr>
        <w:t>;</w:t>
      </w:r>
    </w:p>
    <w:p w14:paraId="5017022D" w14:textId="62B18EF1" w:rsidR="002A3F8E" w:rsidRPr="000926C1" w:rsidRDefault="000926C1" w:rsidP="002A3F8E">
      <w:pPr>
        <w:pStyle w:val="ListParagraph"/>
        <w:numPr>
          <w:ilvl w:val="2"/>
          <w:numId w:val="4"/>
        </w:numPr>
        <w:spacing w:before="240"/>
        <w:contextualSpacing w:val="0"/>
        <w:jc w:val="both"/>
        <w:rPr>
          <w:lang w:val="fr-CA"/>
        </w:rPr>
      </w:pPr>
      <w:proofErr w:type="gramStart"/>
      <w:r w:rsidRPr="000926C1">
        <w:rPr>
          <w:lang w:val="fr"/>
        </w:rPr>
        <w:t>un</w:t>
      </w:r>
      <w:proofErr w:type="gramEnd"/>
      <w:r w:rsidRPr="000926C1">
        <w:rPr>
          <w:lang w:val="fr"/>
        </w:rPr>
        <w:t xml:space="preserve"> montant supplémentaire de </w:t>
      </w:r>
      <w:r w:rsidRPr="000926C1">
        <w:rPr>
          <w:rStyle w:val="Prompt"/>
          <w:color w:val="auto"/>
          <w:lang w:val="fr"/>
        </w:rPr>
        <w:t>[</w:t>
      </w:r>
      <w:r w:rsidRPr="000926C1">
        <w:rPr>
          <w:rStyle w:val="Prompt"/>
          <w:i/>
          <w:iCs/>
          <w:color w:val="auto"/>
          <w:lang w:val="fr"/>
        </w:rPr>
        <w:t>montant</w:t>
      </w:r>
      <w:r w:rsidRPr="000926C1">
        <w:rPr>
          <w:rStyle w:val="Prompt"/>
          <w:color w:val="auto"/>
          <w:lang w:val="fr"/>
        </w:rPr>
        <w:t>]</w:t>
      </w:r>
      <w:r w:rsidRPr="000926C1">
        <w:rPr>
          <w:lang w:val="fr"/>
        </w:rPr>
        <w:t xml:space="preserve"> $ CA au plus tard 30 jours après toute ordonnance certifiant la présente action comme un recours collectif en vertu de la </w:t>
      </w:r>
      <w:r w:rsidRPr="000926C1">
        <w:rPr>
          <w:i/>
          <w:iCs/>
          <w:lang w:val="fr"/>
        </w:rPr>
        <w:t>Loi de 1992 sur les recours collectifs</w:t>
      </w:r>
      <w:r w:rsidRPr="000926C1">
        <w:rPr>
          <w:lang w:val="fr"/>
        </w:rPr>
        <w:t>;</w:t>
      </w:r>
    </w:p>
    <w:p w14:paraId="5563173C" w14:textId="0117D989" w:rsidR="000B2850" w:rsidRPr="000926C1" w:rsidRDefault="000926C1" w:rsidP="002A3F8E">
      <w:pPr>
        <w:pStyle w:val="ListParagraph"/>
        <w:numPr>
          <w:ilvl w:val="2"/>
          <w:numId w:val="4"/>
        </w:numPr>
        <w:spacing w:before="240"/>
        <w:contextualSpacing w:val="0"/>
        <w:jc w:val="both"/>
        <w:rPr>
          <w:lang w:val="fr-CA"/>
        </w:rPr>
      </w:pPr>
      <w:proofErr w:type="gramStart"/>
      <w:r w:rsidRPr="000926C1">
        <w:rPr>
          <w:lang w:val="fr"/>
        </w:rPr>
        <w:t>un</w:t>
      </w:r>
      <w:proofErr w:type="gramEnd"/>
      <w:r w:rsidRPr="000926C1">
        <w:rPr>
          <w:lang w:val="fr"/>
        </w:rPr>
        <w:t xml:space="preserve"> montant supplémentaire de </w:t>
      </w:r>
      <w:r w:rsidRPr="000926C1">
        <w:rPr>
          <w:rStyle w:val="Prompt"/>
          <w:color w:val="auto"/>
          <w:lang w:val="fr"/>
        </w:rPr>
        <w:t>[</w:t>
      </w:r>
      <w:r w:rsidRPr="000926C1">
        <w:rPr>
          <w:rStyle w:val="Prompt"/>
          <w:i/>
          <w:iCs/>
          <w:color w:val="auto"/>
          <w:lang w:val="fr"/>
        </w:rPr>
        <w:t>montant</w:t>
      </w:r>
      <w:r w:rsidRPr="000926C1">
        <w:rPr>
          <w:rStyle w:val="Prompt"/>
          <w:color w:val="auto"/>
          <w:lang w:val="fr"/>
        </w:rPr>
        <w:t>]</w:t>
      </w:r>
      <w:r w:rsidRPr="000926C1">
        <w:rPr>
          <w:lang w:val="fr"/>
        </w:rPr>
        <w:t xml:space="preserve"> $ CA au plus tard 90 jours avant la date prévue du procès;</w:t>
      </w:r>
    </w:p>
    <w:p w14:paraId="4958202A" w14:textId="0409E040" w:rsidR="00B241C8" w:rsidRPr="004D454D" w:rsidRDefault="000926C1" w:rsidP="00B241C8">
      <w:pPr>
        <w:pStyle w:val="ListParagraph"/>
        <w:numPr>
          <w:ilvl w:val="1"/>
          <w:numId w:val="4"/>
        </w:numPr>
        <w:spacing w:before="240"/>
        <w:contextualSpacing w:val="0"/>
        <w:jc w:val="both"/>
        <w:rPr>
          <w:lang w:val="fr-CA"/>
        </w:rPr>
      </w:pPr>
      <w:r w:rsidRPr="000926C1">
        <w:rPr>
          <w:lang w:val="fr"/>
        </w:rPr>
        <w:t>[</w:t>
      </w:r>
      <w:r w:rsidRPr="000926C1">
        <w:rPr>
          <w:i/>
          <w:iCs/>
          <w:lang w:val="fr"/>
        </w:rPr>
        <w:t>*si un cautionnement pour dépens est requis</w:t>
      </w:r>
      <w:r w:rsidRPr="000926C1">
        <w:rPr>
          <w:lang w:val="fr"/>
        </w:rPr>
        <w:t>]</w:t>
      </w:r>
      <w:r>
        <w:rPr>
          <w:b/>
          <w:bCs/>
          <w:i/>
          <w:iCs/>
          <w:lang w:val="fr"/>
        </w:rPr>
        <w:t xml:space="preserve"> </w:t>
      </w:r>
      <w:r>
        <w:rPr>
          <w:lang w:val="fr"/>
        </w:rPr>
        <w:t xml:space="preserve">L’avocat(e) du demandeur doit informer l’avocat(e) des défendeurs dès que le cautionnement pour dépens a été déposé conformément aux conditions de la présente </w:t>
      </w:r>
      <w:proofErr w:type="gramStart"/>
      <w:r>
        <w:rPr>
          <w:lang w:val="fr"/>
        </w:rPr>
        <w:t>ordonnance;</w:t>
      </w:r>
      <w:proofErr w:type="gramEnd"/>
    </w:p>
    <w:p w14:paraId="3E8C757B" w14:textId="7FC1D2F2" w:rsidR="00B241C8" w:rsidRPr="004D454D" w:rsidRDefault="000926C1" w:rsidP="00B241C8">
      <w:pPr>
        <w:pStyle w:val="ListParagraph"/>
        <w:numPr>
          <w:ilvl w:val="1"/>
          <w:numId w:val="4"/>
        </w:numPr>
        <w:spacing w:before="240"/>
        <w:contextualSpacing w:val="0"/>
        <w:jc w:val="both"/>
        <w:rPr>
          <w:lang w:val="fr-CA"/>
        </w:rPr>
      </w:pPr>
      <w:r w:rsidRPr="000926C1">
        <w:rPr>
          <w:lang w:val="fr"/>
        </w:rPr>
        <w:t>[</w:t>
      </w:r>
      <w:r w:rsidRPr="000926C1">
        <w:rPr>
          <w:i/>
          <w:iCs/>
          <w:lang w:val="fr"/>
        </w:rPr>
        <w:t>*si un cautionnement pour dépens est requis</w:t>
      </w:r>
      <w:r w:rsidRPr="000926C1">
        <w:rPr>
          <w:lang w:val="fr"/>
        </w:rPr>
        <w:t>]</w:t>
      </w:r>
      <w:r>
        <w:rPr>
          <w:b/>
          <w:bCs/>
          <w:i/>
          <w:iCs/>
          <w:lang w:val="fr"/>
        </w:rPr>
        <w:t xml:space="preserve"> </w:t>
      </w:r>
      <w:r>
        <w:rPr>
          <w:lang w:val="fr"/>
        </w:rPr>
        <w:t xml:space="preserve">Si le bailleur de fonds ne fournit pas un cautionnement conformément aux conditions de la présente ordonnance, telle qu’elle a été initialement rendue ou modifiée par la suite, les défendeurs, ou l’un ou l’autre d’entre eux, peuvent déposer une motion demandant que l’action soit suspendue ou </w:t>
      </w:r>
      <w:proofErr w:type="gramStart"/>
      <w:r>
        <w:rPr>
          <w:lang w:val="fr"/>
        </w:rPr>
        <w:t>rejetée;</w:t>
      </w:r>
      <w:proofErr w:type="gramEnd"/>
    </w:p>
    <w:p w14:paraId="1633030A" w14:textId="661E2CB7" w:rsidR="00B241C8" w:rsidRPr="004D454D" w:rsidRDefault="000926C1" w:rsidP="00B241C8">
      <w:pPr>
        <w:pStyle w:val="ListParagraph"/>
        <w:numPr>
          <w:ilvl w:val="1"/>
          <w:numId w:val="4"/>
        </w:numPr>
        <w:spacing w:before="240"/>
        <w:contextualSpacing w:val="0"/>
        <w:jc w:val="both"/>
        <w:rPr>
          <w:lang w:val="fr-CA"/>
        </w:rPr>
      </w:pPr>
      <w:r>
        <w:rPr>
          <w:lang w:val="fr"/>
        </w:rPr>
        <w:t xml:space="preserve">Le bailleur de fonds se soumet à la compétence de la Cour supérieure de justice de l’Ontario et reconnaît sa compétence pour toutes les fins liées au litige, y compris en ce qui concerne l’exécution de toute ordonnance sur les dépens rendue en faveur des défendeurs ou de l’un ou l’autre d’entre </w:t>
      </w:r>
      <w:proofErr w:type="gramStart"/>
      <w:r>
        <w:rPr>
          <w:lang w:val="fr"/>
        </w:rPr>
        <w:t>eux;</w:t>
      </w:r>
      <w:proofErr w:type="gramEnd"/>
    </w:p>
    <w:p w14:paraId="7E17489B" w14:textId="39EF4400" w:rsidR="00B241C8" w:rsidRPr="000926C1" w:rsidRDefault="000926C1" w:rsidP="00B241C8">
      <w:pPr>
        <w:pStyle w:val="ListParagraph"/>
        <w:numPr>
          <w:ilvl w:val="1"/>
          <w:numId w:val="4"/>
        </w:numPr>
        <w:spacing w:before="240"/>
        <w:contextualSpacing w:val="0"/>
        <w:jc w:val="both"/>
        <w:rPr>
          <w:lang w:val="fr-CA"/>
        </w:rPr>
      </w:pPr>
      <w:r w:rsidRPr="000926C1">
        <w:rPr>
          <w:lang w:val="fr"/>
        </w:rPr>
        <w:t>[</w:t>
      </w:r>
      <w:r w:rsidRPr="000926C1">
        <w:rPr>
          <w:i/>
          <w:iCs/>
          <w:lang w:val="fr"/>
        </w:rPr>
        <w:t>*si un cautionnement pour dépens est requis</w:t>
      </w:r>
      <w:r w:rsidRPr="000926C1">
        <w:rPr>
          <w:lang w:val="fr"/>
        </w:rPr>
        <w:t>]</w:t>
      </w:r>
      <w:r>
        <w:rPr>
          <w:b/>
          <w:bCs/>
          <w:i/>
          <w:iCs/>
          <w:lang w:val="fr"/>
        </w:rPr>
        <w:t xml:space="preserve"> </w:t>
      </w:r>
      <w:r>
        <w:rPr>
          <w:lang w:val="fr"/>
        </w:rPr>
        <w:t xml:space="preserve">Les défendeurs, ou l’un ou l’autre d’entre eux, sont libres de demander à tout moment que la présente ordonnance soit modifiée de </w:t>
      </w:r>
      <w:r>
        <w:rPr>
          <w:lang w:val="fr"/>
        </w:rPr>
        <w:lastRenderedPageBreak/>
        <w:t xml:space="preserve">sorte à augmenter le montant du cautionnement requis du bailleur de fonds, après en avoir informé le demandeur et le bailleur de fonds, lesquels peuvent s’opposer à la </w:t>
      </w:r>
      <w:proofErr w:type="gramStart"/>
      <w:r>
        <w:rPr>
          <w:lang w:val="fr"/>
        </w:rPr>
        <w:t>demande;</w:t>
      </w:r>
      <w:proofErr w:type="gramEnd"/>
    </w:p>
    <w:p w14:paraId="6DDBE559" w14:textId="55EB09B8" w:rsidR="009A6158" w:rsidRPr="000926C1" w:rsidRDefault="000926C1" w:rsidP="00B241C8">
      <w:pPr>
        <w:pStyle w:val="ListParagraph"/>
        <w:numPr>
          <w:ilvl w:val="1"/>
          <w:numId w:val="4"/>
        </w:numPr>
        <w:spacing w:before="240"/>
        <w:contextualSpacing w:val="0"/>
        <w:jc w:val="both"/>
        <w:rPr>
          <w:spacing w:val="-3"/>
          <w:lang w:val="fr-CA"/>
        </w:rPr>
      </w:pPr>
      <w:r w:rsidRPr="000926C1">
        <w:rPr>
          <w:spacing w:val="-3"/>
          <w:lang w:val="fr"/>
        </w:rPr>
        <w:t xml:space="preserve">Aucune disposition de la présente ordonnance ne doit être interprétée comme limitant la capacité des défendeurs ou de l’un d’entre eux à demander l’exécution de toute condamnation aux dépens contre le demandeur ou le bailleur de </w:t>
      </w:r>
      <w:proofErr w:type="gramStart"/>
      <w:r w:rsidRPr="000926C1">
        <w:rPr>
          <w:spacing w:val="-3"/>
          <w:lang w:val="fr"/>
        </w:rPr>
        <w:t>fonds;</w:t>
      </w:r>
      <w:proofErr w:type="gramEnd"/>
    </w:p>
    <w:p w14:paraId="6D7EB714" w14:textId="6212D5F6" w:rsidR="009A6158" w:rsidRPr="000926C1" w:rsidRDefault="000926C1" w:rsidP="00B241C8">
      <w:pPr>
        <w:pStyle w:val="ListParagraph"/>
        <w:numPr>
          <w:ilvl w:val="1"/>
          <w:numId w:val="4"/>
        </w:numPr>
        <w:spacing w:before="240"/>
        <w:contextualSpacing w:val="0"/>
        <w:jc w:val="both"/>
        <w:rPr>
          <w:spacing w:val="-2"/>
          <w:lang w:val="fr-CA"/>
        </w:rPr>
      </w:pPr>
      <w:r w:rsidRPr="000926C1">
        <w:rPr>
          <w:lang w:val="fr"/>
        </w:rPr>
        <w:t xml:space="preserve">Le demandeur peut communiquer au bailleur de fonds toute offre de règlement officielle faite par les défendeurs, ou l’un ou l’autre d’entre eux, et ces communications et leur contenu sont considérés comme confidentiels, comme le prévoit la clause </w:t>
      </w:r>
      <w:proofErr w:type="gramStart"/>
      <w:r w:rsidRPr="000926C1">
        <w:rPr>
          <w:rStyle w:val="Prompt"/>
          <w:color w:val="auto"/>
          <w:lang w:val="fr"/>
        </w:rPr>
        <w:t>[</w:t>
      </w:r>
      <w:r>
        <w:rPr>
          <w:rStyle w:val="Prompt"/>
          <w:color w:val="auto"/>
          <w:lang w:val="fr"/>
        </w:rPr>
        <w:t xml:space="preserve">  </w:t>
      </w:r>
      <w:r w:rsidRPr="000926C1">
        <w:rPr>
          <w:rStyle w:val="Prompt"/>
          <w:color w:val="auto"/>
          <w:lang w:val="fr"/>
        </w:rPr>
        <w:t>]</w:t>
      </w:r>
      <w:proofErr w:type="gramEnd"/>
      <w:r w:rsidRPr="000926C1">
        <w:rPr>
          <w:lang w:val="fr"/>
        </w:rPr>
        <w:t xml:space="preserve"> de l’accord;</w:t>
      </w:r>
    </w:p>
    <w:p w14:paraId="406058C4" w14:textId="6F79D2FE" w:rsidR="009A6158" w:rsidRPr="004D454D" w:rsidRDefault="000926C1" w:rsidP="00B241C8">
      <w:pPr>
        <w:pStyle w:val="ListParagraph"/>
        <w:numPr>
          <w:ilvl w:val="1"/>
          <w:numId w:val="4"/>
        </w:numPr>
        <w:spacing w:before="240"/>
        <w:contextualSpacing w:val="0"/>
        <w:jc w:val="both"/>
        <w:rPr>
          <w:lang w:val="fr-CA"/>
        </w:rPr>
      </w:pPr>
      <w:r>
        <w:rPr>
          <w:lang w:val="fr"/>
        </w:rPr>
        <w:t xml:space="preserve">Le bailleur de fonds est lié en vertu de la règle 30.1.01 des </w:t>
      </w:r>
      <w:r>
        <w:rPr>
          <w:i/>
          <w:iCs/>
          <w:lang w:val="fr"/>
        </w:rPr>
        <w:t xml:space="preserve">Règles de procédure </w:t>
      </w:r>
      <w:proofErr w:type="gramStart"/>
      <w:r>
        <w:rPr>
          <w:i/>
          <w:iCs/>
          <w:lang w:val="fr"/>
        </w:rPr>
        <w:t>civile</w:t>
      </w:r>
      <w:r>
        <w:rPr>
          <w:lang w:val="fr"/>
        </w:rPr>
        <w:t>;</w:t>
      </w:r>
      <w:proofErr w:type="gramEnd"/>
    </w:p>
    <w:p w14:paraId="56F82CFB" w14:textId="2FB540BC" w:rsidR="00E210CB" w:rsidRPr="000926C1" w:rsidRDefault="000926C1" w:rsidP="00E210CB">
      <w:pPr>
        <w:pStyle w:val="ListParagraph"/>
        <w:numPr>
          <w:ilvl w:val="0"/>
          <w:numId w:val="4"/>
        </w:numPr>
        <w:spacing w:before="240"/>
        <w:ind w:left="360"/>
        <w:contextualSpacing w:val="0"/>
        <w:jc w:val="both"/>
        <w:rPr>
          <w:spacing w:val="-2"/>
          <w:lang w:val="fr-CA"/>
        </w:rPr>
      </w:pPr>
      <w:r w:rsidRPr="000926C1">
        <w:rPr>
          <w:b/>
          <w:bCs/>
          <w:spacing w:val="-2"/>
          <w:lang w:val="fr"/>
        </w:rPr>
        <w:t xml:space="preserve">LE TRIBUNAL DÉCLARE </w:t>
      </w:r>
      <w:r w:rsidRPr="000926C1">
        <w:rPr>
          <w:spacing w:val="-2"/>
          <w:lang w:val="fr"/>
        </w:rPr>
        <w:t xml:space="preserve">que la présente ordonnance ne porte pas atteinte au droit des défendeurs [défendeurs étrangers] de soulever des arguments de compétence, y compris le </w:t>
      </w:r>
      <w:r w:rsidRPr="000926C1">
        <w:rPr>
          <w:i/>
          <w:iCs/>
          <w:spacing w:val="-2"/>
          <w:lang w:val="fr"/>
        </w:rPr>
        <w:t xml:space="preserve">forum non </w:t>
      </w:r>
      <w:proofErr w:type="spellStart"/>
      <w:r w:rsidRPr="000926C1">
        <w:rPr>
          <w:i/>
          <w:iCs/>
          <w:spacing w:val="-2"/>
          <w:lang w:val="fr"/>
        </w:rPr>
        <w:t>conveniens</w:t>
      </w:r>
      <w:proofErr w:type="spellEnd"/>
      <w:r w:rsidRPr="000926C1">
        <w:rPr>
          <w:spacing w:val="-2"/>
          <w:lang w:val="fr"/>
        </w:rPr>
        <w:t>, dans l’instance</w:t>
      </w:r>
      <w:r w:rsidRPr="000926C1">
        <w:rPr>
          <w:rStyle w:val="FootnoteReference"/>
          <w:spacing w:val="-2"/>
          <w:lang w:val="fr"/>
        </w:rPr>
        <w:footnoteReference w:id="4"/>
      </w:r>
      <w:r w:rsidRPr="000926C1">
        <w:rPr>
          <w:spacing w:val="-2"/>
          <w:lang w:val="fr"/>
        </w:rPr>
        <w:t>.</w:t>
      </w:r>
    </w:p>
    <w:p w14:paraId="2818478F" w14:textId="77777777" w:rsidR="00DA1FD6" w:rsidRDefault="000926C1" w:rsidP="00E210CB">
      <w:pPr>
        <w:pStyle w:val="ListParagraph"/>
        <w:numPr>
          <w:ilvl w:val="0"/>
          <w:numId w:val="4"/>
        </w:numPr>
        <w:spacing w:before="240"/>
        <w:ind w:left="360"/>
        <w:contextualSpacing w:val="0"/>
        <w:jc w:val="both"/>
        <w:rPr>
          <w:lang w:val="fr"/>
        </w:rPr>
        <w:sectPr w:rsidR="00DA1FD6" w:rsidSect="00DA1FD6">
          <w:type w:val="continuous"/>
          <w:pgSz w:w="12240" w:h="15840"/>
          <w:pgMar w:top="630" w:right="630" w:bottom="540" w:left="540" w:header="540" w:footer="534" w:gutter="0"/>
          <w:cols w:space="708"/>
          <w:docGrid w:linePitch="360"/>
        </w:sectPr>
      </w:pPr>
      <w:r>
        <w:rPr>
          <w:b/>
          <w:bCs/>
          <w:lang w:val="fr"/>
        </w:rPr>
        <w:t xml:space="preserve">LE TRIBUNAL ORDONNE </w:t>
      </w:r>
      <w:r>
        <w:rPr>
          <w:lang w:val="fr"/>
        </w:rPr>
        <w:t>que la présente ordonnance soit rendue sans dépens.</w:t>
      </w:r>
    </w:p>
    <w:p w14:paraId="009FD64F" w14:textId="0EED46D4" w:rsidR="00552408" w:rsidRPr="004D454D" w:rsidRDefault="00552408" w:rsidP="0008363D">
      <w:pPr>
        <w:spacing w:after="360"/>
        <w:rPr>
          <w:lang w:val="fr-CA"/>
        </w:rPr>
      </w:pPr>
    </w:p>
    <w:tbl>
      <w:tblPr>
        <w:tblStyle w:val="TableGrid"/>
        <w:tblW w:w="0" w:type="auto"/>
        <w:tblCellMar>
          <w:left w:w="58" w:type="dxa"/>
          <w:right w:w="58" w:type="dxa"/>
        </w:tblCellMar>
        <w:tblLook w:val="04A0" w:firstRow="1" w:lastRow="0" w:firstColumn="1" w:lastColumn="0" w:noHBand="0" w:noVBand="1"/>
      </w:tblPr>
      <w:tblGrid>
        <w:gridCol w:w="4341"/>
        <w:gridCol w:w="211"/>
        <w:gridCol w:w="6518"/>
      </w:tblGrid>
      <w:tr w:rsidR="002564DF" w:rsidRPr="005D0C4E" w14:paraId="36669385" w14:textId="77777777" w:rsidTr="002564DF">
        <w:trPr>
          <w:trHeight w:val="359"/>
        </w:trPr>
        <w:tc>
          <w:tcPr>
            <w:tcW w:w="4378" w:type="dxa"/>
            <w:tcBorders>
              <w:top w:val="nil"/>
              <w:left w:val="nil"/>
              <w:bottom w:val="nil"/>
              <w:right w:val="nil"/>
            </w:tcBorders>
            <w:vAlign w:val="center"/>
          </w:tcPr>
          <w:p w14:paraId="08DB52C6" w14:textId="779A4A50" w:rsidR="002564DF" w:rsidRPr="004D454D" w:rsidRDefault="002564DF" w:rsidP="002564DF">
            <w:pPr>
              <w:spacing w:line="240" w:lineRule="auto"/>
              <w:rPr>
                <w:lang w:val="fr-CA"/>
              </w:rPr>
            </w:pPr>
          </w:p>
        </w:tc>
        <w:tc>
          <w:tcPr>
            <w:tcW w:w="212" w:type="dxa"/>
            <w:tcBorders>
              <w:top w:val="nil"/>
              <w:left w:val="nil"/>
              <w:bottom w:val="nil"/>
              <w:right w:val="nil"/>
            </w:tcBorders>
            <w:vAlign w:val="center"/>
          </w:tcPr>
          <w:p w14:paraId="6C3E28B8" w14:textId="4263C723" w:rsidR="002564DF" w:rsidRPr="004D454D" w:rsidRDefault="002564DF" w:rsidP="002564DF">
            <w:pPr>
              <w:spacing w:line="240" w:lineRule="auto"/>
              <w:jc w:val="left"/>
              <w:rPr>
                <w:lang w:val="fr-CA"/>
              </w:rPr>
            </w:pPr>
          </w:p>
        </w:tc>
        <w:tc>
          <w:tcPr>
            <w:tcW w:w="6560" w:type="dxa"/>
            <w:tcBorders>
              <w:top w:val="nil"/>
              <w:left w:val="nil"/>
              <w:bottom w:val="single" w:sz="4" w:space="0" w:color="auto"/>
              <w:right w:val="nil"/>
            </w:tcBorders>
          </w:tcPr>
          <w:p w14:paraId="27AD1760" w14:textId="77777777" w:rsidR="002564DF" w:rsidRPr="004D454D" w:rsidRDefault="002564DF" w:rsidP="0008363D">
            <w:pPr>
              <w:spacing w:line="240" w:lineRule="auto"/>
              <w:rPr>
                <w:lang w:val="fr-CA"/>
              </w:rPr>
            </w:pPr>
          </w:p>
        </w:tc>
      </w:tr>
      <w:tr w:rsidR="002564DF" w:rsidRPr="005D0C4E" w14:paraId="035F280E" w14:textId="77777777" w:rsidTr="002564DF">
        <w:trPr>
          <w:trHeight w:val="359"/>
        </w:trPr>
        <w:tc>
          <w:tcPr>
            <w:tcW w:w="4378" w:type="dxa"/>
            <w:tcBorders>
              <w:top w:val="nil"/>
              <w:left w:val="nil"/>
              <w:bottom w:val="nil"/>
              <w:right w:val="nil"/>
            </w:tcBorders>
            <w:vAlign w:val="center"/>
          </w:tcPr>
          <w:p w14:paraId="19007A62" w14:textId="77777777" w:rsidR="002564DF" w:rsidRPr="004D454D" w:rsidRDefault="002564DF" w:rsidP="002564DF">
            <w:pPr>
              <w:spacing w:line="240" w:lineRule="auto"/>
              <w:rPr>
                <w:lang w:val="fr-CA"/>
              </w:rPr>
            </w:pPr>
          </w:p>
        </w:tc>
        <w:tc>
          <w:tcPr>
            <w:tcW w:w="212" w:type="dxa"/>
            <w:tcBorders>
              <w:top w:val="nil"/>
              <w:left w:val="nil"/>
              <w:bottom w:val="nil"/>
              <w:right w:val="nil"/>
            </w:tcBorders>
            <w:vAlign w:val="center"/>
          </w:tcPr>
          <w:p w14:paraId="1D22EFA5" w14:textId="46612CCC" w:rsidR="002564DF" w:rsidRPr="004D454D" w:rsidRDefault="002564DF" w:rsidP="002564DF">
            <w:pPr>
              <w:spacing w:line="240" w:lineRule="auto"/>
              <w:rPr>
                <w:lang w:val="fr-CA"/>
              </w:rPr>
            </w:pPr>
          </w:p>
        </w:tc>
        <w:tc>
          <w:tcPr>
            <w:tcW w:w="6560" w:type="dxa"/>
            <w:tcBorders>
              <w:left w:val="nil"/>
              <w:bottom w:val="nil"/>
              <w:right w:val="nil"/>
            </w:tcBorders>
          </w:tcPr>
          <w:p w14:paraId="60504B21" w14:textId="0706BFCF" w:rsidR="002564DF" w:rsidRPr="000926C1" w:rsidRDefault="000926C1" w:rsidP="002564DF">
            <w:pPr>
              <w:spacing w:line="240" w:lineRule="auto"/>
              <w:jc w:val="center"/>
              <w:rPr>
                <w:lang w:val="fr-CA"/>
              </w:rPr>
            </w:pPr>
            <w:r w:rsidRPr="000926C1">
              <w:rPr>
                <w:bCs/>
                <w:lang w:val="fr-CA"/>
              </w:rPr>
              <w:t>L’HONORABLE JUGE</w:t>
            </w:r>
            <w:r w:rsidR="002564DF" w:rsidRPr="000926C1">
              <w:rPr>
                <w:bCs/>
                <w:lang w:val="fr-CA"/>
              </w:rPr>
              <w:t xml:space="preserve"> </w:t>
            </w:r>
            <w:r w:rsidR="005D0C4E" w:rsidRPr="005D0C4E">
              <w:rPr>
                <w:rFonts w:eastAsia="Arial" w:cstheme="minorHAnsi"/>
                <w:bCs/>
                <w:lang w:val="fr-CA"/>
              </w:rPr>
              <w:t>[NOM DE FAMILLE]</w:t>
            </w:r>
          </w:p>
        </w:tc>
      </w:tr>
    </w:tbl>
    <w:p w14:paraId="31305ECD" w14:textId="50D29874" w:rsidR="00552408" w:rsidRPr="000926C1" w:rsidRDefault="00552408" w:rsidP="007C2D36">
      <w:pPr>
        <w:rPr>
          <w:lang w:val="fr-CA"/>
        </w:rPr>
      </w:pPr>
    </w:p>
    <w:sectPr w:rsidR="00552408" w:rsidRPr="000926C1" w:rsidSect="00DA1FD6">
      <w:type w:val="continuous"/>
      <w:pgSz w:w="12240" w:h="15840"/>
      <w:pgMar w:top="630" w:right="630" w:bottom="540" w:left="540" w:header="540"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9F1E8" w14:textId="77777777" w:rsidR="004C038B" w:rsidRDefault="004C038B" w:rsidP="00F72078">
      <w:pPr>
        <w:spacing w:line="240" w:lineRule="auto"/>
      </w:pPr>
      <w:r>
        <w:separator/>
      </w:r>
    </w:p>
  </w:endnote>
  <w:endnote w:type="continuationSeparator" w:id="0">
    <w:p w14:paraId="7633B379" w14:textId="77777777" w:rsidR="004C038B" w:rsidRDefault="004C038B" w:rsidP="00F720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D148" w14:textId="77777777" w:rsidR="005D0C4E" w:rsidRDefault="005D0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50A22" w14:textId="7200F54B" w:rsidR="00F72078" w:rsidRPr="000926C1" w:rsidRDefault="00E210CB" w:rsidP="005903EA">
    <w:pPr>
      <w:pStyle w:val="Footer"/>
      <w:jc w:val="right"/>
      <w:rPr>
        <w:lang w:val="fr-CA"/>
      </w:rPr>
    </w:pPr>
    <w:r w:rsidRPr="000926C1">
      <w:rPr>
        <w:lang w:val="fr-CA"/>
      </w:rPr>
      <w:t xml:space="preserve">Page </w:t>
    </w:r>
    <w:r w:rsidRPr="000926C1">
      <w:rPr>
        <w:b/>
        <w:bCs/>
        <w:lang w:val="fr-CA"/>
      </w:rPr>
      <w:fldChar w:fldCharType="begin"/>
    </w:r>
    <w:r w:rsidRPr="000926C1">
      <w:rPr>
        <w:b/>
        <w:bCs/>
        <w:lang w:val="fr-CA"/>
      </w:rPr>
      <w:instrText xml:space="preserve"> PAGE  \* Arabic  \* MERGEFORMAT </w:instrText>
    </w:r>
    <w:r w:rsidRPr="000926C1">
      <w:rPr>
        <w:b/>
        <w:bCs/>
        <w:lang w:val="fr-CA"/>
      </w:rPr>
      <w:fldChar w:fldCharType="separate"/>
    </w:r>
    <w:r w:rsidRPr="000926C1">
      <w:rPr>
        <w:b/>
        <w:bCs/>
        <w:noProof/>
        <w:lang w:val="fr-CA"/>
      </w:rPr>
      <w:t>1</w:t>
    </w:r>
    <w:r w:rsidRPr="000926C1">
      <w:rPr>
        <w:b/>
        <w:bCs/>
        <w:lang w:val="fr-CA"/>
      </w:rPr>
      <w:fldChar w:fldCharType="end"/>
    </w:r>
    <w:r w:rsidRPr="000926C1">
      <w:rPr>
        <w:lang w:val="fr-CA"/>
      </w:rPr>
      <w:t xml:space="preserve"> </w:t>
    </w:r>
    <w:r w:rsidR="000926C1" w:rsidRPr="000926C1">
      <w:rPr>
        <w:lang w:val="fr-CA"/>
      </w:rPr>
      <w:t>de</w:t>
    </w:r>
    <w:r w:rsidRPr="000926C1">
      <w:rPr>
        <w:lang w:val="fr-CA"/>
      </w:rPr>
      <w:t xml:space="preserve"> </w:t>
    </w:r>
    <w:r w:rsidRPr="000926C1">
      <w:rPr>
        <w:b/>
        <w:bCs/>
        <w:lang w:val="fr-CA"/>
      </w:rPr>
      <w:fldChar w:fldCharType="begin"/>
    </w:r>
    <w:r w:rsidRPr="000926C1">
      <w:rPr>
        <w:b/>
        <w:bCs/>
        <w:lang w:val="fr-CA"/>
      </w:rPr>
      <w:instrText xml:space="preserve"> NUMPAGES  \* Arabic  \* MERGEFORMAT </w:instrText>
    </w:r>
    <w:r w:rsidRPr="000926C1">
      <w:rPr>
        <w:b/>
        <w:bCs/>
        <w:lang w:val="fr-CA"/>
      </w:rPr>
      <w:fldChar w:fldCharType="separate"/>
    </w:r>
    <w:r w:rsidRPr="000926C1">
      <w:rPr>
        <w:b/>
        <w:bCs/>
        <w:noProof/>
        <w:lang w:val="fr-CA"/>
      </w:rPr>
      <w:t>2</w:t>
    </w:r>
    <w:r w:rsidRPr="000926C1">
      <w:rPr>
        <w:b/>
        <w:bCs/>
        <w:lang w:val="fr-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90086" w14:textId="77777777" w:rsidR="005D0C4E" w:rsidRDefault="005D0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547F" w14:textId="77777777" w:rsidR="004C038B" w:rsidRDefault="004C038B" w:rsidP="00F72078">
      <w:pPr>
        <w:spacing w:line="240" w:lineRule="auto"/>
      </w:pPr>
      <w:r>
        <w:separator/>
      </w:r>
    </w:p>
  </w:footnote>
  <w:footnote w:type="continuationSeparator" w:id="0">
    <w:p w14:paraId="0B4A4726" w14:textId="77777777" w:rsidR="004C038B" w:rsidRDefault="004C038B" w:rsidP="00F72078">
      <w:pPr>
        <w:spacing w:line="240" w:lineRule="auto"/>
      </w:pPr>
      <w:r>
        <w:continuationSeparator/>
      </w:r>
    </w:p>
  </w:footnote>
  <w:footnote w:id="1">
    <w:p w14:paraId="7A6A4C52" w14:textId="1A0923A7" w:rsidR="002A3F8E" w:rsidRPr="004D454D" w:rsidRDefault="002A3F8E" w:rsidP="002A3F8E">
      <w:pPr>
        <w:pStyle w:val="FootnoteText"/>
        <w:rPr>
          <w:lang w:val="fr-CA"/>
        </w:rPr>
      </w:pPr>
      <w:r>
        <w:rPr>
          <w:rStyle w:val="FootnoteReference"/>
        </w:rPr>
        <w:footnoteRef/>
      </w:r>
      <w:r w:rsidRPr="004D454D">
        <w:rPr>
          <w:lang w:val="fr-CA"/>
        </w:rPr>
        <w:t xml:space="preserve"> </w:t>
      </w:r>
      <w:r w:rsidR="004D454D">
        <w:rPr>
          <w:lang w:val="fr"/>
        </w:rPr>
        <w:t>Préparé par le Comité ontarien de la magistrature et du barreau pour la liaison en matière de recours collectifs à titre de modèle pour les tribunaux et les praticiens. Ce modèle devrait être adapté pour refléter les circonstances particulières de chaque affaire.</w:t>
      </w:r>
    </w:p>
  </w:footnote>
  <w:footnote w:id="2">
    <w:p w14:paraId="72A18A65" w14:textId="77777777" w:rsidR="000926C1" w:rsidRPr="000926C1" w:rsidRDefault="000926C1" w:rsidP="000926C1">
      <w:pPr>
        <w:pStyle w:val="FootnoteText"/>
        <w:rPr>
          <w:lang w:val="fr-CA"/>
        </w:rPr>
      </w:pPr>
      <w:r w:rsidRPr="000926C1">
        <w:rPr>
          <w:rStyle w:val="FootnoteReference"/>
          <w:lang w:val="fr-CA"/>
        </w:rPr>
        <w:footnoteRef/>
      </w:r>
      <w:r w:rsidRPr="005D0C4E">
        <w:rPr>
          <w:lang w:val="en-CA"/>
        </w:rPr>
        <w:t xml:space="preserve"> </w:t>
      </w:r>
      <w:r w:rsidRPr="005D0C4E">
        <w:rPr>
          <w:lang w:val="en-CA"/>
        </w:rPr>
        <w:t>Voir</w:t>
      </w:r>
      <w:r w:rsidRPr="005D0C4E">
        <w:rPr>
          <w:i/>
          <w:iCs/>
          <w:lang w:val="en-CA"/>
        </w:rPr>
        <w:t xml:space="preserve"> Drynan v. Bausch Health Companies Inc.</w:t>
      </w:r>
      <w:r w:rsidRPr="005D0C4E">
        <w:rPr>
          <w:lang w:val="en-CA"/>
        </w:rPr>
        <w:t xml:space="preserve">, 2020 ONSC 4379, paras. 22-47; voir aussi </w:t>
      </w:r>
      <w:r w:rsidRPr="005D0C4E">
        <w:rPr>
          <w:i/>
          <w:iCs/>
          <w:lang w:val="en-CA"/>
        </w:rPr>
        <w:t>Musicians’ Pension Fund of Canada (Trustee of) v. Kinross Gold Corp.</w:t>
      </w:r>
      <w:r w:rsidRPr="005D0C4E">
        <w:rPr>
          <w:lang w:val="en-CA"/>
        </w:rPr>
        <w:t xml:space="preserve">, 2013 ONSC 4974, para. </w:t>
      </w:r>
      <w:r w:rsidRPr="000926C1">
        <w:rPr>
          <w:lang w:val="fr-CA"/>
        </w:rPr>
        <w:t>41.</w:t>
      </w:r>
    </w:p>
  </w:footnote>
  <w:footnote w:id="3">
    <w:p w14:paraId="3A4744D2" w14:textId="77777777" w:rsidR="000926C1" w:rsidRPr="009E08B3" w:rsidRDefault="000926C1" w:rsidP="000926C1">
      <w:pPr>
        <w:pStyle w:val="FootnoteText"/>
        <w:rPr>
          <w:lang w:val="fr-CA"/>
        </w:rPr>
      </w:pPr>
      <w:r>
        <w:rPr>
          <w:rStyle w:val="FootnoteReference"/>
          <w:lang w:val="fr"/>
        </w:rPr>
        <w:footnoteRef/>
      </w:r>
      <w:r>
        <w:rPr>
          <w:lang w:val="fr"/>
        </w:rPr>
        <w:t xml:space="preserve"> Puisque les lettres de crédit peuvent expirer, les avocats devraient incorporer une disposition pour parer à cette éventualité, s’ils le jugent nécessaire. En voici un exemple : « Si la lettre de crédit mentionnée ci-dessus expire et n’est pas renouvelée, et que le recours collectif est toujours en instance, le bailleur de fonds doit immédiatement verser au tribunal, en dollars canadiens ou au moyen d’une lettre de crédit irrévocable, sous une forme jugée acceptable pour les défendeurs et pour le comptable de la Cour supérieure de justice, un montant correspondant au montant de la lettre de crédit qui a expiré et qui n’a pas été renouvelée ».</w:t>
      </w:r>
    </w:p>
  </w:footnote>
  <w:footnote w:id="4">
    <w:p w14:paraId="57813580" w14:textId="77777777" w:rsidR="000926C1" w:rsidRPr="009E08B3" w:rsidRDefault="000926C1" w:rsidP="000926C1">
      <w:pPr>
        <w:pStyle w:val="FootnoteText"/>
        <w:rPr>
          <w:lang w:val="fr-CA"/>
        </w:rPr>
      </w:pPr>
      <w:r>
        <w:rPr>
          <w:rStyle w:val="FootnoteReference"/>
          <w:lang w:val="fr"/>
        </w:rPr>
        <w:footnoteRef/>
      </w:r>
      <w:r>
        <w:rPr>
          <w:lang w:val="fr"/>
        </w:rPr>
        <w:t xml:space="preserve"> Vous devriez envisager cette disposition si des défendeurs non canadiens sont parties à l’instance.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9D18" w14:textId="77777777" w:rsidR="005D0C4E" w:rsidRDefault="005D0C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CB7BB" w14:textId="77777777" w:rsidR="005D0C4E" w:rsidRDefault="005D0C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9ED4" w14:textId="77777777" w:rsidR="005D0C4E" w:rsidRDefault="005D0C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191"/>
    <w:multiLevelType w:val="hybridMultilevel"/>
    <w:tmpl w:val="43B02A56"/>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BDA6AAE"/>
    <w:multiLevelType w:val="hybridMultilevel"/>
    <w:tmpl w:val="D436A09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69246847"/>
    <w:multiLevelType w:val="hybridMultilevel"/>
    <w:tmpl w:val="84C03CB4"/>
    <w:lvl w:ilvl="0" w:tplc="32B2640C">
      <w:start w:val="1"/>
      <w:numFmt w:val="lowerRoman"/>
      <w:lvlText w:val="%1."/>
      <w:lvlJc w:val="left"/>
      <w:pPr>
        <w:ind w:left="1080" w:hanging="72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725E586E"/>
    <w:multiLevelType w:val="hybridMultilevel"/>
    <w:tmpl w:val="BA1C6C86"/>
    <w:lvl w:ilvl="0" w:tplc="F6E09064">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E83966"/>
    <w:multiLevelType w:val="hybridMultilevel"/>
    <w:tmpl w:val="1C986B40"/>
    <w:lvl w:ilvl="0" w:tplc="BB309A7C">
      <w:start w:val="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E4"/>
    <w:rsid w:val="000109F8"/>
    <w:rsid w:val="0008363D"/>
    <w:rsid w:val="000926C1"/>
    <w:rsid w:val="000A0119"/>
    <w:rsid w:val="000A511A"/>
    <w:rsid w:val="000B2850"/>
    <w:rsid w:val="000C4AD7"/>
    <w:rsid w:val="000E178A"/>
    <w:rsid w:val="001800DC"/>
    <w:rsid w:val="00191F30"/>
    <w:rsid w:val="001C37B4"/>
    <w:rsid w:val="001E281A"/>
    <w:rsid w:val="001F129E"/>
    <w:rsid w:val="00214076"/>
    <w:rsid w:val="00225BE4"/>
    <w:rsid w:val="00245ACF"/>
    <w:rsid w:val="00251089"/>
    <w:rsid w:val="00252CF1"/>
    <w:rsid w:val="002564DF"/>
    <w:rsid w:val="002A3F8E"/>
    <w:rsid w:val="002C42E6"/>
    <w:rsid w:val="002E6FF6"/>
    <w:rsid w:val="00306635"/>
    <w:rsid w:val="00317F1F"/>
    <w:rsid w:val="00356500"/>
    <w:rsid w:val="0036413B"/>
    <w:rsid w:val="00372B4F"/>
    <w:rsid w:val="003A3B0F"/>
    <w:rsid w:val="00404C1A"/>
    <w:rsid w:val="00415D68"/>
    <w:rsid w:val="0048428F"/>
    <w:rsid w:val="00487378"/>
    <w:rsid w:val="004A2238"/>
    <w:rsid w:val="004A392D"/>
    <w:rsid w:val="004B347D"/>
    <w:rsid w:val="004B69F7"/>
    <w:rsid w:val="004C038B"/>
    <w:rsid w:val="004D35BD"/>
    <w:rsid w:val="004D454D"/>
    <w:rsid w:val="004E6065"/>
    <w:rsid w:val="004F1B03"/>
    <w:rsid w:val="004F20C3"/>
    <w:rsid w:val="00552408"/>
    <w:rsid w:val="0056619E"/>
    <w:rsid w:val="0057735C"/>
    <w:rsid w:val="005903EA"/>
    <w:rsid w:val="0059090D"/>
    <w:rsid w:val="005D0C4E"/>
    <w:rsid w:val="006066FA"/>
    <w:rsid w:val="00613611"/>
    <w:rsid w:val="00617930"/>
    <w:rsid w:val="006233E4"/>
    <w:rsid w:val="00623700"/>
    <w:rsid w:val="00624B02"/>
    <w:rsid w:val="0063131D"/>
    <w:rsid w:val="00695E04"/>
    <w:rsid w:val="006C0C56"/>
    <w:rsid w:val="006C7751"/>
    <w:rsid w:val="006D0AAE"/>
    <w:rsid w:val="006D72AA"/>
    <w:rsid w:val="007001DF"/>
    <w:rsid w:val="00744B83"/>
    <w:rsid w:val="00760C16"/>
    <w:rsid w:val="007611DF"/>
    <w:rsid w:val="00767151"/>
    <w:rsid w:val="007707B1"/>
    <w:rsid w:val="00780273"/>
    <w:rsid w:val="00794C32"/>
    <w:rsid w:val="007C2D36"/>
    <w:rsid w:val="007D1EB2"/>
    <w:rsid w:val="007D6DDD"/>
    <w:rsid w:val="007E14E4"/>
    <w:rsid w:val="00880C4F"/>
    <w:rsid w:val="008911FF"/>
    <w:rsid w:val="00895671"/>
    <w:rsid w:val="008A2543"/>
    <w:rsid w:val="008B5ECB"/>
    <w:rsid w:val="009126FB"/>
    <w:rsid w:val="00934502"/>
    <w:rsid w:val="00945107"/>
    <w:rsid w:val="0095376E"/>
    <w:rsid w:val="00960A53"/>
    <w:rsid w:val="009976DE"/>
    <w:rsid w:val="009A5F1B"/>
    <w:rsid w:val="009A6158"/>
    <w:rsid w:val="009B1D63"/>
    <w:rsid w:val="009B65DE"/>
    <w:rsid w:val="00A4736E"/>
    <w:rsid w:val="00A65835"/>
    <w:rsid w:val="00A70FB8"/>
    <w:rsid w:val="00A963FC"/>
    <w:rsid w:val="00AC25A0"/>
    <w:rsid w:val="00AD71CE"/>
    <w:rsid w:val="00AF0BE6"/>
    <w:rsid w:val="00B027EF"/>
    <w:rsid w:val="00B02851"/>
    <w:rsid w:val="00B02BBA"/>
    <w:rsid w:val="00B11014"/>
    <w:rsid w:val="00B241C8"/>
    <w:rsid w:val="00B93223"/>
    <w:rsid w:val="00C029AC"/>
    <w:rsid w:val="00C442F5"/>
    <w:rsid w:val="00C80C4C"/>
    <w:rsid w:val="00C93AB7"/>
    <w:rsid w:val="00CC034D"/>
    <w:rsid w:val="00CE678C"/>
    <w:rsid w:val="00D25E4E"/>
    <w:rsid w:val="00D37B9A"/>
    <w:rsid w:val="00D650CD"/>
    <w:rsid w:val="00D83F89"/>
    <w:rsid w:val="00DA1FD6"/>
    <w:rsid w:val="00DB7691"/>
    <w:rsid w:val="00DB77E3"/>
    <w:rsid w:val="00E075B4"/>
    <w:rsid w:val="00E210CB"/>
    <w:rsid w:val="00E2366F"/>
    <w:rsid w:val="00E30699"/>
    <w:rsid w:val="00E67524"/>
    <w:rsid w:val="00EB3B25"/>
    <w:rsid w:val="00EE5445"/>
    <w:rsid w:val="00F0075F"/>
    <w:rsid w:val="00F154C7"/>
    <w:rsid w:val="00F17B57"/>
    <w:rsid w:val="00F61F85"/>
    <w:rsid w:val="00F717C8"/>
    <w:rsid w:val="00F72078"/>
    <w:rsid w:val="00F85186"/>
    <w:rsid w:val="00FA62DB"/>
    <w:rsid w:val="00FB11EB"/>
    <w:rsid w:val="00FC728F"/>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91950A"/>
  <w15:chartTrackingRefBased/>
  <w15:docId w15:val="{DCFC0E19-ACD0-42D2-B2C2-5D8C5983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08"/>
    <w:pPr>
      <w:spacing w:after="0" w:line="360" w:lineRule="auto"/>
    </w:pPr>
    <w:rPr>
      <w:rFonts w:ascii="Arial" w:hAnsi="Arial"/>
      <w:sz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678C"/>
    <w:pPr>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CE678C"/>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qFormat/>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95376E"/>
    <w:pPr>
      <w:tabs>
        <w:tab w:val="center" w:pos="4680"/>
        <w:tab w:val="right" w:pos="9360"/>
      </w:tabs>
      <w:spacing w:line="240" w:lineRule="auto"/>
    </w:pPr>
    <w:rPr>
      <w:sz w:val="2"/>
    </w:rPr>
  </w:style>
  <w:style w:type="character" w:customStyle="1" w:styleId="HeaderChar">
    <w:name w:val="Header Char"/>
    <w:basedOn w:val="DefaultParagraphFont"/>
    <w:link w:val="Header"/>
    <w:uiPriority w:val="99"/>
    <w:rsid w:val="0095376E"/>
    <w:rPr>
      <w:sz w:val="2"/>
    </w:rPr>
  </w:style>
  <w:style w:type="paragraph" w:styleId="Footer">
    <w:name w:val="footer"/>
    <w:basedOn w:val="Normal"/>
    <w:link w:val="FooterChar"/>
    <w:uiPriority w:val="99"/>
    <w:unhideWhenUsed/>
    <w:rsid w:val="00F72078"/>
    <w:pPr>
      <w:tabs>
        <w:tab w:val="center" w:pos="4680"/>
        <w:tab w:val="right" w:pos="9360"/>
      </w:tabs>
      <w:spacing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DB77E3"/>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autoRedefine/>
    <w:unhideWhenUsed/>
    <w:rsid w:val="002564DF"/>
    <w:pPr>
      <w:pBdr>
        <w:top w:val="nil"/>
        <w:left w:val="nil"/>
        <w:bottom w:val="nil"/>
        <w:right w:val="nil"/>
        <w:between w:val="nil"/>
        <w:bar w:val="nil"/>
      </w:pBdr>
      <w:spacing w:before="120" w:line="240" w:lineRule="auto"/>
      <w:jc w:val="both"/>
    </w:pPr>
    <w:rPr>
      <w:rFonts w:eastAsia="Arial Unicode MS" w:cs="Arial"/>
      <w:sz w:val="18"/>
      <w:szCs w:val="18"/>
      <w:bdr w:val="nil"/>
      <w:lang w:val="en-US"/>
    </w:rPr>
  </w:style>
  <w:style w:type="character" w:customStyle="1" w:styleId="FootnoteTextChar">
    <w:name w:val="Footnote Text Char"/>
    <w:basedOn w:val="DefaultParagraphFont"/>
    <w:link w:val="FootnoteText"/>
    <w:rsid w:val="002564DF"/>
    <w:rPr>
      <w:rFonts w:ascii="Arial" w:eastAsia="Arial Unicode MS" w:hAnsi="Arial" w:cs="Arial"/>
      <w:sz w:val="18"/>
      <w:szCs w:val="18"/>
      <w:bdr w:val="nil"/>
      <w:lang w:val="en-US"/>
    </w:rPr>
  </w:style>
  <w:style w:type="character" w:styleId="FootnoteReference">
    <w:name w:val="footnote reference"/>
    <w:basedOn w:val="DefaultParagraphFont"/>
    <w:unhideWhenUsed/>
    <w:rsid w:val="006066FA"/>
    <w:rPr>
      <w:vertAlign w:val="superscript"/>
    </w:rPr>
  </w:style>
  <w:style w:type="paragraph" w:customStyle="1" w:styleId="TableHeading">
    <w:name w:val="Table Heading"/>
    <w:basedOn w:val="Normal"/>
    <w:qFormat/>
    <w:rsid w:val="00CE678C"/>
    <w:pPr>
      <w:spacing w:after="160" w:line="256" w:lineRule="auto"/>
      <w:jc w:val="center"/>
    </w:pPr>
    <w:rPr>
      <w:rFonts w:eastAsia="Arial" w:cstheme="minorHAnsi"/>
      <w:b/>
      <w:szCs w:val="24"/>
    </w:rPr>
  </w:style>
  <w:style w:type="paragraph" w:customStyle="1" w:styleId="TableCells">
    <w:name w:val="Table Cells"/>
    <w:basedOn w:val="Normal"/>
    <w:qFormat/>
    <w:rsid w:val="007C2D36"/>
    <w:pPr>
      <w:spacing w:line="240" w:lineRule="auto"/>
      <w:jc w:val="both"/>
    </w:pPr>
    <w:rPr>
      <w:rFonts w:eastAsia="Arial" w:cs="Arial"/>
      <w:bCs/>
    </w:rPr>
  </w:style>
  <w:style w:type="character" w:styleId="CommentReference">
    <w:name w:val="annotation reference"/>
    <w:basedOn w:val="DefaultParagraphFont"/>
    <w:uiPriority w:val="99"/>
    <w:semiHidden/>
    <w:unhideWhenUsed/>
    <w:rsid w:val="00CE678C"/>
    <w:rPr>
      <w:sz w:val="16"/>
      <w:szCs w:val="16"/>
    </w:rPr>
  </w:style>
  <w:style w:type="paragraph" w:styleId="CommentText">
    <w:name w:val="annotation text"/>
    <w:basedOn w:val="Normal"/>
    <w:link w:val="CommentTextChar"/>
    <w:uiPriority w:val="99"/>
    <w:semiHidden/>
    <w:unhideWhenUsed/>
    <w:rsid w:val="00CE678C"/>
    <w:pPr>
      <w:spacing w:line="240" w:lineRule="auto"/>
    </w:pPr>
    <w:rPr>
      <w:sz w:val="20"/>
      <w:szCs w:val="20"/>
    </w:rPr>
  </w:style>
  <w:style w:type="character" w:customStyle="1" w:styleId="CommentTextChar">
    <w:name w:val="Comment Text Char"/>
    <w:basedOn w:val="DefaultParagraphFont"/>
    <w:link w:val="CommentText"/>
    <w:uiPriority w:val="99"/>
    <w:semiHidden/>
    <w:rsid w:val="00CE678C"/>
    <w:rPr>
      <w:sz w:val="20"/>
      <w:szCs w:val="20"/>
    </w:rPr>
  </w:style>
  <w:style w:type="paragraph" w:styleId="CommentSubject">
    <w:name w:val="annotation subject"/>
    <w:basedOn w:val="CommentText"/>
    <w:next w:val="CommentText"/>
    <w:link w:val="CommentSubjectChar"/>
    <w:uiPriority w:val="99"/>
    <w:semiHidden/>
    <w:unhideWhenUsed/>
    <w:rsid w:val="00CE678C"/>
    <w:rPr>
      <w:b/>
      <w:bCs/>
    </w:rPr>
  </w:style>
  <w:style w:type="character" w:customStyle="1" w:styleId="CommentSubjectChar">
    <w:name w:val="Comment Subject Char"/>
    <w:basedOn w:val="CommentTextChar"/>
    <w:link w:val="CommentSubject"/>
    <w:uiPriority w:val="99"/>
    <w:semiHidden/>
    <w:rsid w:val="00CE678C"/>
    <w:rPr>
      <w:b/>
      <w:bCs/>
      <w:sz w:val="20"/>
      <w:szCs w:val="20"/>
    </w:rPr>
  </w:style>
  <w:style w:type="character" w:styleId="Hyperlink">
    <w:name w:val="Hyperlink"/>
    <w:basedOn w:val="DefaultParagraphFont"/>
    <w:uiPriority w:val="99"/>
    <w:unhideWhenUsed/>
    <w:rsid w:val="00372B4F"/>
    <w:rPr>
      <w:color w:val="5F5F5F" w:themeColor="hyperlink"/>
      <w:u w:val="single"/>
    </w:rPr>
  </w:style>
  <w:style w:type="character" w:styleId="UnresolvedMention">
    <w:name w:val="Unresolved Mention"/>
    <w:basedOn w:val="DefaultParagraphFont"/>
    <w:uiPriority w:val="99"/>
    <w:semiHidden/>
    <w:unhideWhenUsed/>
    <w:rsid w:val="00372B4F"/>
    <w:rPr>
      <w:color w:val="605E5C"/>
      <w:shd w:val="clear" w:color="auto" w:fill="E1DFDD"/>
    </w:rPr>
  </w:style>
  <w:style w:type="paragraph" w:styleId="EndnoteText">
    <w:name w:val="endnote text"/>
    <w:basedOn w:val="Normal"/>
    <w:link w:val="EndnoteTextChar"/>
    <w:uiPriority w:val="99"/>
    <w:semiHidden/>
    <w:unhideWhenUsed/>
    <w:rsid w:val="00E210CB"/>
    <w:pPr>
      <w:spacing w:line="240" w:lineRule="auto"/>
    </w:pPr>
    <w:rPr>
      <w:sz w:val="20"/>
      <w:szCs w:val="20"/>
    </w:rPr>
  </w:style>
  <w:style w:type="character" w:customStyle="1" w:styleId="EndnoteTextChar">
    <w:name w:val="Endnote Text Char"/>
    <w:basedOn w:val="DefaultParagraphFont"/>
    <w:link w:val="EndnoteText"/>
    <w:uiPriority w:val="99"/>
    <w:semiHidden/>
    <w:rsid w:val="00E210CB"/>
    <w:rPr>
      <w:rFonts w:ascii="Arial" w:hAnsi="Arial"/>
      <w:sz w:val="20"/>
      <w:szCs w:val="20"/>
    </w:rPr>
  </w:style>
  <w:style w:type="character" w:styleId="EndnoteReference">
    <w:name w:val="endnote reference"/>
    <w:basedOn w:val="DefaultParagraphFont"/>
    <w:uiPriority w:val="99"/>
    <w:semiHidden/>
    <w:unhideWhenUsed/>
    <w:rsid w:val="00E210CB"/>
    <w:rPr>
      <w:vertAlign w:val="superscript"/>
    </w:rPr>
  </w:style>
  <w:style w:type="character" w:customStyle="1" w:styleId="Prompt">
    <w:name w:val="Prompt"/>
    <w:aliases w:val="PR,Pr"/>
    <w:basedOn w:val="DefaultParagraphFont"/>
    <w:rsid w:val="00E210C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192595">
      <w:bodyDiv w:val="1"/>
      <w:marLeft w:val="0"/>
      <w:marRight w:val="0"/>
      <w:marTop w:val="0"/>
      <w:marBottom w:val="0"/>
      <w:divBdr>
        <w:top w:val="none" w:sz="0" w:space="0" w:color="auto"/>
        <w:left w:val="none" w:sz="0" w:space="0" w:color="auto"/>
        <w:bottom w:val="none" w:sz="0" w:space="0" w:color="auto"/>
        <w:right w:val="none" w:sz="0" w:space="0" w:color="auto"/>
      </w:divBdr>
    </w:div>
    <w:div w:id="212573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FB56CC48A3C5640A73567317D0FE497" ma:contentTypeVersion="13" ma:contentTypeDescription="Create a new document." ma:contentTypeScope="" ma:versionID="88d02cdf057d2d891822cb7c9fd2c9bf">
  <xsd:schema xmlns:xsd="http://www.w3.org/2001/XMLSchema" xmlns:xs="http://www.w3.org/2001/XMLSchema" xmlns:p="http://schemas.microsoft.com/office/2006/metadata/properties" xmlns:ns3="0a7d2919-ea8a-4715-9269-5a5ff0794665" xmlns:ns4="721b8bf2-f702-4f86-b787-fa2b0955a374" targetNamespace="http://schemas.microsoft.com/office/2006/metadata/properties" ma:root="true" ma:fieldsID="a4c8dadb73ba11a2bf476759512fd9cc" ns3:_="" ns4:_="">
    <xsd:import namespace="0a7d2919-ea8a-4715-9269-5a5ff0794665"/>
    <xsd:import namespace="721b8bf2-f702-4f86-b787-fa2b0955a3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7d2919-ea8a-4715-9269-5a5ff07946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b8bf2-f702-4f86-b787-fa2b0955a3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158296-0A59-4588-A716-9E5A3F369F1C}">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721b8bf2-f702-4f86-b787-fa2b0955a374"/>
    <ds:schemaRef ds:uri="0a7d2919-ea8a-4715-9269-5a5ff0794665"/>
    <ds:schemaRef ds:uri="http://www.w3.org/XML/1998/namespace"/>
    <ds:schemaRef ds:uri="http://purl.org/dc/dcmitype/"/>
  </ds:schemaRefs>
</ds:datastoreItem>
</file>

<file path=customXml/itemProps2.xml><?xml version="1.0" encoding="utf-8"?>
<ds:datastoreItem xmlns:ds="http://schemas.openxmlformats.org/officeDocument/2006/customXml" ds:itemID="{B73E34B8-7EE3-4DF2-BAF5-E2F8FC141F30}">
  <ds:schemaRefs>
    <ds:schemaRef ds:uri="http://schemas.microsoft.com/sharepoint/v3/contenttype/forms"/>
  </ds:schemaRefs>
</ds:datastoreItem>
</file>

<file path=customXml/itemProps3.xml><?xml version="1.0" encoding="utf-8"?>
<ds:datastoreItem xmlns:ds="http://schemas.openxmlformats.org/officeDocument/2006/customXml" ds:itemID="{A0347721-468E-48AA-8D57-1AF565912D36}">
  <ds:schemaRefs>
    <ds:schemaRef ds:uri="http://schemas.openxmlformats.org/officeDocument/2006/bibliography"/>
  </ds:schemaRefs>
</ds:datastoreItem>
</file>

<file path=customXml/itemProps4.xml><?xml version="1.0" encoding="utf-8"?>
<ds:datastoreItem xmlns:ds="http://schemas.openxmlformats.org/officeDocument/2006/customXml" ds:itemID="{8ADF47F2-209B-4734-998E-25401D5986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7d2919-ea8a-4715-9269-5a5ff0794665"/>
    <ds:schemaRef ds:uri="721b8bf2-f702-4f86-b787-fa2b0955a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Ordonnance (Financement de l’instance)</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Ordonnance (Financement de l’instance)</dc:title>
  <dc:subject>Formulaire</dc:subject>
  <dc:creator>Cour supérieure de justice</dc:creator>
  <cp:keywords/>
  <dc:description/>
  <cp:lastModifiedBy>Rottman, Mike (MAG)</cp:lastModifiedBy>
  <cp:revision>6</cp:revision>
  <dcterms:created xsi:type="dcterms:W3CDTF">2022-04-04T15:04:00Z</dcterms:created>
  <dcterms:modified xsi:type="dcterms:W3CDTF">2022-04-11T15:47:00Z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0x0101007FB56CC48A3C5640A73567317D0FE497</vt:lpwstr>
  </property>
  <property fmtid="{D5CDD505-2E9C-101B-9397-08002B2CF9AE}" pid="3" name="MSIP_Label_034a106e-6316-442c-ad35-738afd673d2b_Enabled">
    <vt:lpwstr>true</vt:lpwstr>
  </property>
  <property fmtid="{D5CDD505-2E9C-101B-9397-08002B2CF9AE}" pid="4" name="MSIP_Label_034a106e-6316-442c-ad35-738afd673d2b_SetDate">
    <vt:lpwstr>2022-03-30T22:04:34Z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d749d6bb-fe1f-49be-9765-97bf4bd98190</vt:lpwstr>
  </property>
  <property fmtid="{D5CDD505-2E9C-101B-9397-08002B2CF9AE}" pid="9" name="MSIP_Label_034a106e-6316-442c-ad35-738afd673d2b_ContentBits">
    <vt:lpwstr>0</vt:lpwstr>
  </property>
</Properties>
</file>