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61B0" w14:textId="3EF1081B" w:rsidR="007C2D36" w:rsidRDefault="007C2D36" w:rsidP="007C2D36">
      <w:pPr>
        <w:spacing w:line="240" w:lineRule="auto"/>
        <w:jc w:val="right"/>
        <w:rPr>
          <w:b/>
          <w:bCs/>
          <w:szCs w:val="24"/>
        </w:rPr>
      </w:pPr>
      <w:r>
        <w:rPr>
          <w:b/>
          <w:bCs/>
          <w:szCs w:val="24"/>
        </w:rPr>
        <w:t xml:space="preserve">Court File No.: </w:t>
      </w:r>
    </w:p>
    <w:p w14:paraId="5FB82099" w14:textId="60AEFB9D" w:rsidR="007C2D36" w:rsidRDefault="007C2D36" w:rsidP="007C2D36">
      <w:pPr>
        <w:spacing w:line="240" w:lineRule="auto"/>
        <w:jc w:val="center"/>
        <w:rPr>
          <w:b/>
          <w:bCs/>
          <w:szCs w:val="24"/>
        </w:rPr>
      </w:pPr>
    </w:p>
    <w:p w14:paraId="33F7B20B" w14:textId="77777777" w:rsidR="00D37B9A" w:rsidRDefault="00D37B9A" w:rsidP="007C2D36">
      <w:pPr>
        <w:spacing w:line="240" w:lineRule="auto"/>
        <w:jc w:val="center"/>
        <w:rPr>
          <w:b/>
          <w:bCs/>
          <w:szCs w:val="24"/>
        </w:rPr>
      </w:pPr>
    </w:p>
    <w:p w14:paraId="25C63B2A" w14:textId="5E4D8A1B" w:rsidR="007C2D36" w:rsidRDefault="00DB77E3" w:rsidP="007C2D36">
      <w:pPr>
        <w:spacing w:line="240" w:lineRule="auto"/>
        <w:jc w:val="center"/>
        <w:rPr>
          <w:b/>
          <w:bCs/>
          <w:szCs w:val="24"/>
        </w:rPr>
      </w:pPr>
      <w:r>
        <w:rPr>
          <w:b/>
          <w:bCs/>
          <w:szCs w:val="24"/>
        </w:rPr>
        <w:t xml:space="preserve">ONTARIO </w:t>
      </w:r>
    </w:p>
    <w:p w14:paraId="23D38F8D" w14:textId="3B7F82B5" w:rsidR="000109F8" w:rsidRDefault="00356500" w:rsidP="007C2D36">
      <w:pPr>
        <w:spacing w:after="80"/>
        <w:jc w:val="center"/>
        <w:rPr>
          <w:szCs w:val="24"/>
        </w:rPr>
      </w:pPr>
      <w:r>
        <w:rPr>
          <w:b/>
          <w:bCs/>
          <w:szCs w:val="24"/>
        </w:rPr>
        <w:t>SUPERIOR COURT OF JUSTICE</w:t>
      </w:r>
    </w:p>
    <w:tbl>
      <w:tblPr>
        <w:tblStyle w:val="TableGrid"/>
        <w:tblpPr w:leftFromText="180" w:rightFromText="180" w:vertAnchor="text" w:tblpX="36"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5956"/>
        <w:gridCol w:w="206"/>
        <w:gridCol w:w="4908"/>
      </w:tblGrid>
      <w:tr w:rsidR="00552408" w:rsidRPr="005903EA" w14:paraId="7DA4DA08" w14:textId="77777777" w:rsidTr="00552408">
        <w:trPr>
          <w:trHeight w:val="403"/>
        </w:trPr>
        <w:tc>
          <w:tcPr>
            <w:tcW w:w="2690" w:type="pct"/>
            <w:vAlign w:val="center"/>
          </w:tcPr>
          <w:p w14:paraId="55EB4C91" w14:textId="378756C3" w:rsidR="007C2D36" w:rsidRPr="00E075B4" w:rsidRDefault="007C2D36" w:rsidP="00552408">
            <w:pPr>
              <w:pStyle w:val="TableHeading"/>
              <w:spacing w:after="0" w:line="257" w:lineRule="auto"/>
              <w:jc w:val="left"/>
              <w:rPr>
                <w:bCs/>
                <w:sz w:val="22"/>
                <w:szCs w:val="22"/>
              </w:rPr>
            </w:pPr>
            <w:r>
              <w:rPr>
                <w:sz w:val="22"/>
                <w:szCs w:val="22"/>
              </w:rPr>
              <w:t>THE HONOURABLE JUSTICE</w:t>
            </w:r>
          </w:p>
        </w:tc>
        <w:tc>
          <w:tcPr>
            <w:tcW w:w="93" w:type="pct"/>
            <w:vAlign w:val="center"/>
          </w:tcPr>
          <w:p w14:paraId="4DDC7E54" w14:textId="7EBAE0D8" w:rsidR="007C2D36" w:rsidRPr="005903EA" w:rsidRDefault="007C2D36" w:rsidP="00552408">
            <w:pPr>
              <w:spacing w:line="240" w:lineRule="auto"/>
              <w:rPr>
                <w:rFonts w:asciiTheme="minorHAnsi" w:eastAsia="Arial" w:hAnsiTheme="minorHAnsi" w:cstheme="minorHAnsi"/>
                <w:bCs/>
                <w:sz w:val="22"/>
              </w:rPr>
            </w:pPr>
            <w:r>
              <w:rPr>
                <w:rFonts w:asciiTheme="minorHAnsi" w:eastAsia="Arial" w:hAnsiTheme="minorHAnsi" w:cstheme="minorHAnsi"/>
                <w:bCs/>
                <w:sz w:val="22"/>
              </w:rPr>
              <w:t>)</w:t>
            </w:r>
          </w:p>
        </w:tc>
        <w:tc>
          <w:tcPr>
            <w:tcW w:w="2217" w:type="pct"/>
            <w:vAlign w:val="center"/>
          </w:tcPr>
          <w:p w14:paraId="3EE54C17" w14:textId="375D416D" w:rsidR="007C2D36" w:rsidRPr="005903EA" w:rsidRDefault="00E5140E" w:rsidP="00552408">
            <w:pPr>
              <w:jc w:val="right"/>
              <w:rPr>
                <w:rFonts w:asciiTheme="minorHAnsi" w:eastAsia="Arial" w:hAnsiTheme="minorHAnsi" w:cstheme="minorHAnsi"/>
                <w:bCs/>
                <w:sz w:val="22"/>
                <w:szCs w:val="22"/>
              </w:rPr>
            </w:pPr>
            <w:r w:rsidRPr="00E5140E">
              <w:rPr>
                <w:rFonts w:eastAsia="Arial" w:cstheme="minorHAnsi"/>
                <w:bCs/>
              </w:rPr>
              <w:t>[weekday]</w:t>
            </w:r>
            <w:r w:rsidR="007C2D36">
              <w:rPr>
                <w:rFonts w:eastAsia="Arial" w:cstheme="minorHAnsi"/>
                <w:bCs/>
              </w:rPr>
              <w:t xml:space="preserve">, the </w:t>
            </w:r>
            <w:r w:rsidRPr="00E5140E">
              <w:rPr>
                <w:rFonts w:eastAsia="Arial" w:cstheme="minorHAnsi"/>
                <w:bCs/>
              </w:rPr>
              <w:t>[#]</w:t>
            </w:r>
            <w:r w:rsidR="007C2D36">
              <w:rPr>
                <w:rFonts w:eastAsia="Arial" w:cstheme="minorHAnsi"/>
                <w:bCs/>
              </w:rPr>
              <w:t xml:space="preserve"> day </w:t>
            </w:r>
          </w:p>
        </w:tc>
      </w:tr>
      <w:tr w:rsidR="007C2D36" w:rsidRPr="005903EA" w14:paraId="69AE7E1F" w14:textId="77777777" w:rsidTr="00552408">
        <w:trPr>
          <w:trHeight w:val="403"/>
        </w:trPr>
        <w:tc>
          <w:tcPr>
            <w:tcW w:w="2690" w:type="pct"/>
            <w:vAlign w:val="center"/>
          </w:tcPr>
          <w:p w14:paraId="384D5047" w14:textId="3FD0CB53" w:rsidR="007C2D36" w:rsidRPr="00E075B4" w:rsidRDefault="007C2D36" w:rsidP="00552408">
            <w:pPr>
              <w:pStyle w:val="TableCells"/>
            </w:pPr>
          </w:p>
        </w:tc>
        <w:tc>
          <w:tcPr>
            <w:tcW w:w="93" w:type="pct"/>
            <w:vAlign w:val="center"/>
          </w:tcPr>
          <w:p w14:paraId="6749C1DB" w14:textId="6250B933" w:rsidR="007C2D36" w:rsidRPr="005903EA" w:rsidRDefault="007C2D36" w:rsidP="00552408">
            <w:pPr>
              <w:spacing w:line="240" w:lineRule="auto"/>
              <w:rPr>
                <w:rFonts w:asciiTheme="minorHAnsi" w:eastAsia="Arial" w:hAnsiTheme="minorHAnsi" w:cstheme="minorHAnsi"/>
                <w:bCs/>
                <w:sz w:val="22"/>
              </w:rPr>
            </w:pPr>
            <w:r>
              <w:rPr>
                <w:rFonts w:asciiTheme="minorHAnsi" w:eastAsia="Arial" w:hAnsiTheme="minorHAnsi" w:cstheme="minorHAnsi"/>
                <w:bCs/>
                <w:sz w:val="22"/>
              </w:rPr>
              <w:t>)</w:t>
            </w:r>
          </w:p>
        </w:tc>
        <w:tc>
          <w:tcPr>
            <w:tcW w:w="2217" w:type="pct"/>
            <w:vAlign w:val="center"/>
          </w:tcPr>
          <w:p w14:paraId="090D98E0" w14:textId="4492D6A9" w:rsidR="007C2D36" w:rsidRPr="005903EA" w:rsidRDefault="007C2D36" w:rsidP="00552408">
            <w:pPr>
              <w:jc w:val="right"/>
              <w:rPr>
                <w:rFonts w:asciiTheme="minorHAnsi" w:eastAsia="Arial" w:hAnsiTheme="minorHAnsi" w:cstheme="minorHAnsi"/>
                <w:bCs/>
                <w:sz w:val="22"/>
                <w:szCs w:val="22"/>
              </w:rPr>
            </w:pPr>
            <w:r>
              <w:rPr>
                <w:rFonts w:eastAsia="Arial" w:cstheme="minorHAnsi"/>
                <w:bCs/>
              </w:rPr>
              <w:t xml:space="preserve">of </w:t>
            </w:r>
            <w:r w:rsidR="00E5140E" w:rsidRPr="00E5140E">
              <w:rPr>
                <w:rFonts w:eastAsia="Arial"/>
                <w:bCs/>
              </w:rPr>
              <w:t>[month]</w:t>
            </w:r>
            <w:r>
              <w:rPr>
                <w:rFonts w:eastAsia="Arial"/>
                <w:bCs/>
              </w:rPr>
              <w:t>, 20</w:t>
            </w:r>
            <w:r w:rsidR="00B01D1E">
              <w:rPr>
                <w:rFonts w:eastAsia="Arial"/>
                <w:bCs/>
              </w:rPr>
              <w:t>[year]</w:t>
            </w:r>
          </w:p>
        </w:tc>
      </w:tr>
      <w:tr w:rsidR="00552408" w:rsidRPr="005903EA" w14:paraId="40B6E8BE" w14:textId="77777777" w:rsidTr="00552408">
        <w:trPr>
          <w:trHeight w:val="403"/>
        </w:trPr>
        <w:tc>
          <w:tcPr>
            <w:tcW w:w="5000" w:type="pct"/>
            <w:gridSpan w:val="3"/>
            <w:vAlign w:val="bottom"/>
          </w:tcPr>
          <w:p w14:paraId="63C2BC19" w14:textId="16A22EBF" w:rsidR="00552408" w:rsidRPr="00552408" w:rsidRDefault="00552408" w:rsidP="00552408">
            <w:pPr>
              <w:spacing w:before="360" w:line="240" w:lineRule="auto"/>
            </w:pPr>
            <w:r>
              <w:t>BETWEEN</w:t>
            </w:r>
          </w:p>
        </w:tc>
      </w:tr>
      <w:tr w:rsidR="00552408" w:rsidRPr="005903EA" w14:paraId="0C07E818" w14:textId="77777777" w:rsidTr="00552408">
        <w:trPr>
          <w:trHeight w:val="403"/>
        </w:trPr>
        <w:tc>
          <w:tcPr>
            <w:tcW w:w="5000" w:type="pct"/>
            <w:gridSpan w:val="3"/>
            <w:vAlign w:val="bottom"/>
          </w:tcPr>
          <w:p w14:paraId="232CE2DC" w14:textId="5AEDA5AF" w:rsidR="00552408" w:rsidRDefault="00E5140E" w:rsidP="00552408">
            <w:pPr>
              <w:spacing w:before="120" w:after="120" w:line="240" w:lineRule="auto"/>
              <w:jc w:val="center"/>
            </w:pPr>
            <w:r w:rsidRPr="00E5140E">
              <w:rPr>
                <w:rFonts w:eastAsia="Arial" w:cstheme="minorHAnsi"/>
                <w:b/>
              </w:rPr>
              <w:t>[Plaintiff(s)]</w:t>
            </w:r>
          </w:p>
        </w:tc>
      </w:tr>
      <w:tr w:rsidR="00552408" w:rsidRPr="005903EA" w14:paraId="16A2D47A" w14:textId="77777777" w:rsidTr="00552408">
        <w:trPr>
          <w:trHeight w:val="403"/>
        </w:trPr>
        <w:tc>
          <w:tcPr>
            <w:tcW w:w="5000" w:type="pct"/>
            <w:gridSpan w:val="3"/>
            <w:vAlign w:val="bottom"/>
          </w:tcPr>
          <w:p w14:paraId="3B1E5B56" w14:textId="18362908" w:rsidR="00552408" w:rsidRDefault="00552408" w:rsidP="00552408">
            <w:pPr>
              <w:spacing w:before="80" w:after="80" w:line="240" w:lineRule="auto"/>
              <w:jc w:val="center"/>
            </w:pPr>
            <w:r w:rsidRPr="007C2D36">
              <w:rPr>
                <w:rFonts w:eastAsia="Arial" w:cstheme="minorHAnsi"/>
                <w:bCs/>
              </w:rPr>
              <w:t>-</w:t>
            </w:r>
            <w:r>
              <w:rPr>
                <w:rFonts w:eastAsia="Arial" w:cstheme="minorHAnsi"/>
                <w:bCs/>
              </w:rPr>
              <w:t xml:space="preserve"> a</w:t>
            </w:r>
            <w:r w:rsidRPr="007C2D36">
              <w:rPr>
                <w:rFonts w:eastAsia="Arial" w:cstheme="minorHAnsi"/>
                <w:bCs/>
              </w:rPr>
              <w:t>nd-</w:t>
            </w:r>
          </w:p>
        </w:tc>
      </w:tr>
      <w:tr w:rsidR="00552408" w:rsidRPr="005903EA" w14:paraId="5B004E9C" w14:textId="77777777" w:rsidTr="00552408">
        <w:trPr>
          <w:trHeight w:val="403"/>
        </w:trPr>
        <w:tc>
          <w:tcPr>
            <w:tcW w:w="5000" w:type="pct"/>
            <w:gridSpan w:val="3"/>
            <w:vAlign w:val="bottom"/>
          </w:tcPr>
          <w:p w14:paraId="17FCDEE9" w14:textId="5F5969CC" w:rsidR="00552408" w:rsidRPr="007C2D36" w:rsidRDefault="00E5140E" w:rsidP="00552408">
            <w:pPr>
              <w:spacing w:before="120" w:after="120" w:line="240" w:lineRule="auto"/>
              <w:jc w:val="center"/>
              <w:rPr>
                <w:rFonts w:eastAsia="Arial" w:cstheme="minorHAnsi"/>
                <w:bCs/>
              </w:rPr>
            </w:pPr>
            <w:r w:rsidRPr="00E5140E">
              <w:rPr>
                <w:rFonts w:eastAsia="Arial" w:cstheme="minorHAnsi"/>
                <w:b/>
              </w:rPr>
              <w:t>[Defendant(s)]</w:t>
            </w:r>
          </w:p>
        </w:tc>
      </w:tr>
    </w:tbl>
    <w:p w14:paraId="24EE3F31" w14:textId="7D8E4E7E" w:rsidR="007C2D36" w:rsidRDefault="007C2D36" w:rsidP="007C2D36">
      <w:pPr>
        <w:jc w:val="center"/>
      </w:pPr>
    </w:p>
    <w:p w14:paraId="5766344E" w14:textId="77777777" w:rsidR="00D37B9A" w:rsidRDefault="00D37B9A" w:rsidP="007C2D36">
      <w:pPr>
        <w:jc w:val="center"/>
      </w:pPr>
    </w:p>
    <w:p w14:paraId="008C13AD" w14:textId="432212B9" w:rsidR="007C2D36" w:rsidRDefault="007C2D36" w:rsidP="007C2D36">
      <w:pPr>
        <w:jc w:val="center"/>
      </w:pPr>
      <w:r w:rsidRPr="007C2D36">
        <w:t xml:space="preserve">Proceeding under the </w:t>
      </w:r>
      <w:r w:rsidRPr="007C2D36">
        <w:rPr>
          <w:i/>
          <w:iCs/>
        </w:rPr>
        <w:t>Class Proceedings Act</w:t>
      </w:r>
      <w:r w:rsidRPr="007C2D36">
        <w:t>, 1992</w:t>
      </w:r>
    </w:p>
    <w:p w14:paraId="6A5961C9" w14:textId="45F59BE4" w:rsidR="007C2D36" w:rsidRDefault="002A3F8E" w:rsidP="00245ACF">
      <w:pPr>
        <w:pStyle w:val="Title"/>
        <w:spacing w:before="240" w:after="60" w:line="240" w:lineRule="auto"/>
        <w:jc w:val="center"/>
      </w:pPr>
      <w:r>
        <w:t>ORDER</w:t>
      </w:r>
      <w:r>
        <w:rPr>
          <w:rStyle w:val="FootnoteReference"/>
        </w:rPr>
        <w:footnoteReference w:id="1"/>
      </w:r>
    </w:p>
    <w:p w14:paraId="13C10350" w14:textId="64492203" w:rsidR="007C2D36" w:rsidRPr="007C2D36" w:rsidRDefault="007C2D36" w:rsidP="007C2D36">
      <w:pPr>
        <w:pStyle w:val="Heading2"/>
        <w:spacing w:before="0"/>
        <w:jc w:val="center"/>
      </w:pPr>
      <w:r>
        <w:t>(</w:t>
      </w:r>
      <w:r w:rsidR="007001DF">
        <w:t>Litigation Funding</w:t>
      </w:r>
      <w:r>
        <w:t>)</w:t>
      </w:r>
    </w:p>
    <w:p w14:paraId="2F3BB72C" w14:textId="0B96241A" w:rsidR="007C2D36" w:rsidRDefault="007001DF" w:rsidP="00552408">
      <w:pPr>
        <w:spacing w:before="360"/>
        <w:ind w:firstLine="720"/>
        <w:jc w:val="both"/>
      </w:pPr>
      <w:r>
        <w:rPr>
          <w:b/>
        </w:rPr>
        <w:t>THIS MOTION</w:t>
      </w:r>
      <w:r>
        <w:t xml:space="preserve"> made by the Plaintiff for an Order approving the terms of a litigation funding agreement (the “Agreement”) entered into with </w:t>
      </w:r>
      <w:r w:rsidRPr="007001DF">
        <w:rPr>
          <w:i/>
          <w:iCs/>
        </w:rPr>
        <w:t>[name of funder]</w:t>
      </w:r>
      <w:r w:rsidRPr="007001DF">
        <w:t xml:space="preserve"> (the “Funder”),</w:t>
      </w:r>
      <w:r>
        <w:rPr>
          <w:rStyle w:val="Prompt"/>
        </w:rPr>
        <w:t xml:space="preserve"> </w:t>
      </w:r>
      <w:r w:rsidRPr="000D012B">
        <w:rPr>
          <w:iCs/>
          <w:szCs w:val="24"/>
        </w:rPr>
        <w:t xml:space="preserve">heard this day [by judicial videoconference at </w:t>
      </w:r>
      <w:r w:rsidRPr="007001DF">
        <w:rPr>
          <w:i/>
          <w:iCs/>
          <w:szCs w:val="24"/>
        </w:rPr>
        <w:t>(City)</w:t>
      </w:r>
      <w:r w:rsidRPr="000D012B">
        <w:rPr>
          <w:szCs w:val="24"/>
        </w:rPr>
        <w:t>] [at (address of courthouse)</w:t>
      </w:r>
      <w:r w:rsidRPr="000D012B">
        <w:rPr>
          <w:spacing w:val="-1"/>
          <w:szCs w:val="24"/>
          <w:lang w:val="en-US"/>
        </w:rPr>
        <w:t>], Ontario</w:t>
      </w:r>
      <w:r w:rsidRPr="000D012B">
        <w:rPr>
          <w:szCs w:val="24"/>
        </w:rPr>
        <w:t>.</w:t>
      </w:r>
    </w:p>
    <w:p w14:paraId="088E4B4C" w14:textId="4CF34507" w:rsidR="007C2D36" w:rsidRDefault="002A3F8E" w:rsidP="00552408">
      <w:pPr>
        <w:spacing w:before="240"/>
        <w:ind w:firstLine="720"/>
        <w:jc w:val="both"/>
      </w:pPr>
      <w:r>
        <w:rPr>
          <w:b/>
        </w:rPr>
        <w:t>ON READING</w:t>
      </w:r>
      <w:r>
        <w:t xml:space="preserve"> the materials filed by the Plaintiff and the complete and unredacted Agreement, and on hearing the submissions of counsel for the Plaintiff and counsel for the Defendants;</w:t>
      </w:r>
    </w:p>
    <w:p w14:paraId="3BE25840" w14:textId="4AC123B7" w:rsidR="00552408" w:rsidRDefault="002A3F8E" w:rsidP="00552408">
      <w:pPr>
        <w:spacing w:before="240"/>
        <w:ind w:firstLine="720"/>
        <w:jc w:val="both"/>
      </w:pPr>
      <w:r>
        <w:rPr>
          <w:b/>
          <w:szCs w:val="24"/>
        </w:rPr>
        <w:t xml:space="preserve">AND ON BEING ADVISED </w:t>
      </w:r>
      <w:r>
        <w:rPr>
          <w:szCs w:val="24"/>
        </w:rPr>
        <w:t>that the Defendants do not oppose this Order;</w:t>
      </w:r>
    </w:p>
    <w:p w14:paraId="0FE2DB10" w14:textId="540D887C" w:rsidR="00552408" w:rsidRDefault="00552408" w:rsidP="00D37B9A">
      <w:pPr>
        <w:spacing w:line="480" w:lineRule="auto"/>
      </w:pPr>
    </w:p>
    <w:p w14:paraId="2639D145" w14:textId="7F99C831" w:rsidR="00552408" w:rsidRDefault="002A3F8E" w:rsidP="00552408">
      <w:pPr>
        <w:pStyle w:val="ListParagraph"/>
        <w:numPr>
          <w:ilvl w:val="0"/>
          <w:numId w:val="4"/>
        </w:numPr>
        <w:ind w:left="360"/>
        <w:jc w:val="both"/>
      </w:pPr>
      <w:r w:rsidRPr="008E7C45">
        <w:rPr>
          <w:b/>
        </w:rPr>
        <w:t>THIS COURT ORDERS</w:t>
      </w:r>
      <w:r w:rsidRPr="00B118CB">
        <w:t xml:space="preserve"> that</w:t>
      </w:r>
      <w:r>
        <w:t xml:space="preserve"> the Agreement is fair and reasonable, and will not diminish the rights of the plaintiff to control the litigation or otherwise impair the solicitor-client relationship.</w:t>
      </w:r>
    </w:p>
    <w:p w14:paraId="0C81B62A" w14:textId="51077A60" w:rsidR="00552408" w:rsidRDefault="002A3F8E" w:rsidP="00E210CB">
      <w:pPr>
        <w:pStyle w:val="ListParagraph"/>
        <w:numPr>
          <w:ilvl w:val="0"/>
          <w:numId w:val="4"/>
        </w:numPr>
        <w:spacing w:before="240"/>
        <w:ind w:left="360"/>
        <w:contextualSpacing w:val="0"/>
        <w:jc w:val="both"/>
      </w:pPr>
      <w:r w:rsidRPr="008E7C45">
        <w:rPr>
          <w:b/>
        </w:rPr>
        <w:t>THIS COURT ORDERS</w:t>
      </w:r>
      <w:r w:rsidRPr="00B118CB">
        <w:t xml:space="preserve"> that</w:t>
      </w:r>
      <w:r>
        <w:t xml:space="preserve"> </w:t>
      </w:r>
      <w:r w:rsidRPr="008E46B9">
        <w:t xml:space="preserve">the Agreement is approved, subject to the </w:t>
      </w:r>
      <w:r>
        <w:t xml:space="preserve">following </w:t>
      </w:r>
      <w:r w:rsidRPr="008E46B9">
        <w:t>terms and conditions</w:t>
      </w:r>
      <w:r w:rsidRPr="00B118CB">
        <w:t>:</w:t>
      </w:r>
    </w:p>
    <w:p w14:paraId="26EE9D07" w14:textId="416A77AB" w:rsidR="002A3F8E" w:rsidRDefault="002A3F8E" w:rsidP="002A3F8E">
      <w:pPr>
        <w:pStyle w:val="ListParagraph"/>
        <w:numPr>
          <w:ilvl w:val="1"/>
          <w:numId w:val="4"/>
        </w:numPr>
        <w:spacing w:before="240"/>
        <w:contextualSpacing w:val="0"/>
        <w:jc w:val="both"/>
      </w:pPr>
      <w:r w:rsidRPr="00B241C8">
        <w:lastRenderedPageBreak/>
        <w:t>[</w:t>
      </w:r>
      <w:r w:rsidRPr="002A3F8E">
        <w:rPr>
          <w:i/>
          <w:iCs/>
        </w:rPr>
        <w:t>* if posting security for costs is required</w:t>
      </w:r>
      <w:r w:rsidRPr="00B241C8">
        <w:t>]</w:t>
      </w:r>
      <w:r w:rsidRPr="002A3F8E">
        <w:rPr>
          <w:rStyle w:val="FootnoteReference"/>
          <w:i/>
          <w:iCs/>
        </w:rPr>
        <w:footnoteReference w:id="2"/>
      </w:r>
      <w:r>
        <w:rPr>
          <w:b/>
          <w:bCs/>
          <w:i/>
          <w:iCs/>
        </w:rPr>
        <w:t xml:space="preserve"> </w:t>
      </w:r>
      <w:r>
        <w:t>the Funder</w:t>
      </w:r>
      <w:r w:rsidRPr="008E46B9">
        <w:t xml:space="preserve"> shall pay into court the following amounts</w:t>
      </w:r>
      <w:r>
        <w:t>, as Canadian funds or irrevocable l</w:t>
      </w:r>
      <w:r w:rsidRPr="008E46B9">
        <w:t>etters of credit</w:t>
      </w:r>
      <w:r>
        <w:rPr>
          <w:rStyle w:val="FootnoteReference"/>
        </w:rPr>
        <w:footnoteReference w:id="3"/>
      </w:r>
      <w:r>
        <w:t xml:space="preserve"> in a form acceptable to the Defendants and to the Accountant of the Superior Court of Justice, and in accordance with Rule 72.02 of the </w:t>
      </w:r>
      <w:r w:rsidRPr="008E7C45">
        <w:rPr>
          <w:i/>
        </w:rPr>
        <w:t>Rules of Civil Procedure</w:t>
      </w:r>
      <w:r w:rsidRPr="008E46B9">
        <w:t>, as security for the Defendants’ costs of this action, on the dates specified:</w:t>
      </w:r>
    </w:p>
    <w:p w14:paraId="2C7DBEB4" w14:textId="2A245D2B" w:rsidR="002A3F8E" w:rsidRDefault="002A3F8E" w:rsidP="002A3F8E">
      <w:pPr>
        <w:pStyle w:val="ListParagraph"/>
        <w:numPr>
          <w:ilvl w:val="2"/>
          <w:numId w:val="4"/>
        </w:numPr>
        <w:spacing w:before="240"/>
        <w:contextualSpacing w:val="0"/>
        <w:jc w:val="both"/>
      </w:pPr>
      <w:r w:rsidRPr="002A3F8E">
        <w:t>CAD$</w:t>
      </w:r>
      <w:r w:rsidRPr="002A3F8E">
        <w:rPr>
          <w:rStyle w:val="Prompt"/>
          <w:color w:val="auto"/>
        </w:rPr>
        <w:t>[</w:t>
      </w:r>
      <w:r w:rsidRPr="002A3F8E">
        <w:rPr>
          <w:rStyle w:val="Prompt"/>
          <w:i/>
          <w:iCs/>
          <w:color w:val="auto"/>
        </w:rPr>
        <w:t>amount</w:t>
      </w:r>
      <w:r w:rsidRPr="002A3F8E">
        <w:rPr>
          <w:rStyle w:val="Prompt"/>
          <w:color w:val="auto"/>
        </w:rPr>
        <w:t>]</w:t>
      </w:r>
      <w:r w:rsidRPr="002A3F8E">
        <w:t xml:space="preserve"> on or before </w:t>
      </w:r>
      <w:r w:rsidRPr="002A3F8E">
        <w:rPr>
          <w:rStyle w:val="Prompt"/>
          <w:color w:val="auto"/>
        </w:rPr>
        <w:t>[</w:t>
      </w:r>
      <w:r w:rsidRPr="002A3F8E">
        <w:rPr>
          <w:rStyle w:val="Prompt"/>
          <w:i/>
          <w:iCs/>
          <w:color w:val="auto"/>
        </w:rPr>
        <w:t>date</w:t>
      </w:r>
      <w:r w:rsidRPr="002A3F8E">
        <w:rPr>
          <w:rStyle w:val="Prompt"/>
          <w:color w:val="auto"/>
        </w:rPr>
        <w:t>]</w:t>
      </w:r>
      <w:r w:rsidRPr="002A3F8E">
        <w:t>, 20</w:t>
      </w:r>
      <w:r w:rsidRPr="002A3F8E">
        <w:rPr>
          <w:rStyle w:val="Prompt"/>
          <w:color w:val="auto"/>
        </w:rPr>
        <w:t>[</w:t>
      </w:r>
      <w:r w:rsidRPr="002A3F8E">
        <w:rPr>
          <w:rStyle w:val="Prompt"/>
          <w:rFonts w:cs="Arial"/>
          <w:i/>
          <w:iCs/>
          <w:color w:val="auto"/>
        </w:rPr>
        <w:t>year</w:t>
      </w:r>
      <w:r w:rsidRPr="002A3F8E">
        <w:rPr>
          <w:rStyle w:val="Prompt"/>
          <w:color w:val="auto"/>
        </w:rPr>
        <w:t>]</w:t>
      </w:r>
      <w:r w:rsidRPr="002A3F8E">
        <w:t>;</w:t>
      </w:r>
    </w:p>
    <w:p w14:paraId="5017022D" w14:textId="4AAC7721" w:rsidR="002A3F8E" w:rsidRDefault="002A3F8E" w:rsidP="002A3F8E">
      <w:pPr>
        <w:pStyle w:val="ListParagraph"/>
        <w:numPr>
          <w:ilvl w:val="2"/>
          <w:numId w:val="4"/>
        </w:numPr>
        <w:spacing w:before="240"/>
        <w:contextualSpacing w:val="0"/>
        <w:jc w:val="both"/>
      </w:pPr>
      <w:r w:rsidRPr="002A3F8E">
        <w:t>an additional CAD$</w:t>
      </w:r>
      <w:r w:rsidRPr="002A3F8E">
        <w:rPr>
          <w:rStyle w:val="Prompt"/>
          <w:color w:val="auto"/>
        </w:rPr>
        <w:t>[</w:t>
      </w:r>
      <w:r w:rsidRPr="002A3F8E">
        <w:rPr>
          <w:rStyle w:val="Prompt"/>
          <w:i/>
          <w:iCs/>
          <w:color w:val="auto"/>
        </w:rPr>
        <w:t>amount</w:t>
      </w:r>
      <w:r w:rsidRPr="002A3F8E">
        <w:rPr>
          <w:rStyle w:val="Prompt"/>
          <w:color w:val="auto"/>
        </w:rPr>
        <w:t>]</w:t>
      </w:r>
      <w:r w:rsidRPr="002A3F8E">
        <w:t xml:space="preserve"> by no later than 30 days after any order certifying this action as a class proceeding under the </w:t>
      </w:r>
      <w:r w:rsidRPr="002A3F8E">
        <w:rPr>
          <w:i/>
        </w:rPr>
        <w:t>Class Proceedings Act, 1992</w:t>
      </w:r>
      <w:r w:rsidRPr="002A3F8E">
        <w:t>; and</w:t>
      </w:r>
    </w:p>
    <w:p w14:paraId="5563173C" w14:textId="3E2C6CD6" w:rsidR="000B2850" w:rsidRDefault="00B02BBA" w:rsidP="002A3F8E">
      <w:pPr>
        <w:pStyle w:val="ListParagraph"/>
        <w:numPr>
          <w:ilvl w:val="2"/>
          <w:numId w:val="4"/>
        </w:numPr>
        <w:spacing w:before="240"/>
        <w:contextualSpacing w:val="0"/>
        <w:jc w:val="both"/>
      </w:pPr>
      <w:r w:rsidRPr="00B02BBA">
        <w:t>an additional CAD$</w:t>
      </w:r>
      <w:r w:rsidRPr="00B02BBA">
        <w:rPr>
          <w:rStyle w:val="Prompt"/>
          <w:color w:val="auto"/>
        </w:rPr>
        <w:t>[</w:t>
      </w:r>
      <w:r w:rsidRPr="002A3F8E">
        <w:rPr>
          <w:rStyle w:val="Prompt"/>
          <w:i/>
          <w:iCs/>
          <w:color w:val="auto"/>
        </w:rPr>
        <w:t>amount</w:t>
      </w:r>
      <w:r w:rsidRPr="00B02BBA">
        <w:rPr>
          <w:rStyle w:val="Prompt"/>
          <w:color w:val="auto"/>
        </w:rPr>
        <w:t>]</w:t>
      </w:r>
      <w:r w:rsidRPr="00B02BBA">
        <w:t xml:space="preserve"> by no later than 90 days before the scheduled trial date;</w:t>
      </w:r>
    </w:p>
    <w:p w14:paraId="4958202A" w14:textId="7D54F01D" w:rsidR="00B241C8" w:rsidRDefault="00B241C8" w:rsidP="00B241C8">
      <w:pPr>
        <w:pStyle w:val="ListParagraph"/>
        <w:numPr>
          <w:ilvl w:val="1"/>
          <w:numId w:val="4"/>
        </w:numPr>
        <w:spacing w:before="240"/>
        <w:contextualSpacing w:val="0"/>
        <w:jc w:val="both"/>
      </w:pPr>
      <w:r w:rsidRPr="00B241C8">
        <w:t>[</w:t>
      </w:r>
      <w:r w:rsidRPr="00B241C8">
        <w:rPr>
          <w:i/>
          <w:iCs/>
        </w:rPr>
        <w:t>* if posting security for costs is required</w:t>
      </w:r>
      <w:r w:rsidRPr="00B241C8">
        <w:t>]</w:t>
      </w:r>
      <w:r>
        <w:rPr>
          <w:b/>
          <w:bCs/>
          <w:i/>
          <w:iCs/>
        </w:rPr>
        <w:t xml:space="preserve"> </w:t>
      </w:r>
      <w:r w:rsidRPr="008E46B9">
        <w:t>counsel for the Plaintiff shall notify counsel for the Defendants forthwith upon the posting of security in accordance with the terms of this Order;</w:t>
      </w:r>
    </w:p>
    <w:p w14:paraId="3E8C757B" w14:textId="240CB2C5" w:rsidR="00B241C8" w:rsidRDefault="00B241C8" w:rsidP="00B241C8">
      <w:pPr>
        <w:pStyle w:val="ListParagraph"/>
        <w:numPr>
          <w:ilvl w:val="1"/>
          <w:numId w:val="4"/>
        </w:numPr>
        <w:spacing w:before="240"/>
        <w:contextualSpacing w:val="0"/>
        <w:jc w:val="both"/>
      </w:pPr>
      <w:r w:rsidRPr="00B241C8">
        <w:t>[</w:t>
      </w:r>
      <w:r w:rsidRPr="00B241C8">
        <w:rPr>
          <w:i/>
          <w:iCs/>
        </w:rPr>
        <w:t>* if posting security for costs is required</w:t>
      </w:r>
      <w:r w:rsidRPr="00B241C8">
        <w:t>]</w:t>
      </w:r>
      <w:r>
        <w:rPr>
          <w:b/>
          <w:bCs/>
          <w:i/>
          <w:iCs/>
        </w:rPr>
        <w:t xml:space="preserve"> </w:t>
      </w:r>
      <w:r w:rsidRPr="008E46B9">
        <w:t xml:space="preserve">if </w:t>
      </w:r>
      <w:r>
        <w:t>the Funder</w:t>
      </w:r>
      <w:r w:rsidRPr="008E46B9">
        <w:t xml:space="preserve"> fails to provide security in accordance with the terms of this Order, </w:t>
      </w:r>
      <w:r>
        <w:t xml:space="preserve">as originally issued or as varied from time to time, </w:t>
      </w:r>
      <w:r w:rsidRPr="008E46B9">
        <w:t>the Defendants</w:t>
      </w:r>
      <w:r>
        <w:t>,</w:t>
      </w:r>
      <w:r w:rsidRPr="008E46B9">
        <w:t xml:space="preserve"> or any one of them</w:t>
      </w:r>
      <w:r>
        <w:t>,</w:t>
      </w:r>
      <w:r w:rsidRPr="008E46B9">
        <w:t xml:space="preserve"> ma</w:t>
      </w:r>
      <w:r>
        <w:t>y bring a motion</w:t>
      </w:r>
      <w:r w:rsidRPr="008E46B9">
        <w:t xml:space="preserve"> to have the action stayed or dismissed;</w:t>
      </w:r>
    </w:p>
    <w:p w14:paraId="1633030A" w14:textId="7DCB5F63" w:rsidR="00B241C8" w:rsidRDefault="00B241C8" w:rsidP="00B241C8">
      <w:pPr>
        <w:pStyle w:val="ListParagraph"/>
        <w:numPr>
          <w:ilvl w:val="1"/>
          <w:numId w:val="4"/>
        </w:numPr>
        <w:spacing w:before="240"/>
        <w:contextualSpacing w:val="0"/>
        <w:jc w:val="both"/>
      </w:pPr>
      <w:r>
        <w:t>the Funder</w:t>
      </w:r>
      <w:r w:rsidRPr="008E46B9">
        <w:t xml:space="preserve"> submits and attorns to the jurisdiction of the Ontario Superior Court of Justice for all purposes related to this litigation, including in relation to the enforcement of any costs order made in favour of the Defendants or any of them;</w:t>
      </w:r>
    </w:p>
    <w:p w14:paraId="7E17489B" w14:textId="33696888" w:rsidR="00B241C8" w:rsidRDefault="00B241C8" w:rsidP="00B241C8">
      <w:pPr>
        <w:pStyle w:val="ListParagraph"/>
        <w:numPr>
          <w:ilvl w:val="1"/>
          <w:numId w:val="4"/>
        </w:numPr>
        <w:spacing w:before="240"/>
        <w:contextualSpacing w:val="0"/>
        <w:jc w:val="both"/>
      </w:pPr>
      <w:r w:rsidRPr="00B241C8">
        <w:t>[</w:t>
      </w:r>
      <w:r w:rsidRPr="00B241C8">
        <w:rPr>
          <w:i/>
          <w:iCs/>
        </w:rPr>
        <w:t>* if posting security for costs is required</w:t>
      </w:r>
      <w:r w:rsidRPr="00B241C8">
        <w:t xml:space="preserve">] </w:t>
      </w:r>
      <w:r w:rsidRPr="00D614AF">
        <w:t xml:space="preserve">the Defendants, or any of them, shall be at liberty to </w:t>
      </w:r>
      <w:r>
        <w:t>move</w:t>
      </w:r>
      <w:r w:rsidRPr="00D614AF">
        <w:t xml:space="preserve"> to vary this Order at any time to increase the amount of security required to be posted by </w:t>
      </w:r>
      <w:r>
        <w:t xml:space="preserve">the Funder, </w:t>
      </w:r>
      <w:r w:rsidRPr="00AF4C0A">
        <w:t xml:space="preserve">on notice to the Plaintiff and </w:t>
      </w:r>
      <w:r>
        <w:t>the Funder</w:t>
      </w:r>
      <w:r w:rsidRPr="00AF4C0A">
        <w:t xml:space="preserve"> who may oppose the motion</w:t>
      </w:r>
      <w:r w:rsidRPr="00D614AF">
        <w:t>;</w:t>
      </w:r>
    </w:p>
    <w:p w14:paraId="6DDBE559" w14:textId="55E28114" w:rsidR="009A6158" w:rsidRDefault="009A6158" w:rsidP="00B241C8">
      <w:pPr>
        <w:pStyle w:val="ListParagraph"/>
        <w:numPr>
          <w:ilvl w:val="1"/>
          <w:numId w:val="4"/>
        </w:numPr>
        <w:spacing w:before="240"/>
        <w:contextualSpacing w:val="0"/>
        <w:jc w:val="both"/>
      </w:pPr>
      <w:r w:rsidRPr="008E46B9">
        <w:t xml:space="preserve">nothing in this Order shall be interpreted as limiting the ability of the Defendants or any of them to seek to enforce any costs award against either the Plaintiff or </w:t>
      </w:r>
      <w:r>
        <w:t>the Funder</w:t>
      </w:r>
      <w:r w:rsidRPr="008E46B9">
        <w:t>;</w:t>
      </w:r>
    </w:p>
    <w:p w14:paraId="6D7EB714" w14:textId="381CB534" w:rsidR="009A6158" w:rsidRPr="00D37B9A" w:rsidRDefault="009A6158" w:rsidP="00B241C8">
      <w:pPr>
        <w:pStyle w:val="ListParagraph"/>
        <w:numPr>
          <w:ilvl w:val="1"/>
          <w:numId w:val="4"/>
        </w:numPr>
        <w:spacing w:before="240"/>
        <w:contextualSpacing w:val="0"/>
        <w:jc w:val="both"/>
        <w:rPr>
          <w:spacing w:val="-2"/>
        </w:rPr>
      </w:pPr>
      <w:r w:rsidRPr="00D37B9A">
        <w:rPr>
          <w:spacing w:val="-2"/>
        </w:rPr>
        <w:t>the Plaintiff may communicate any formal settlement offers made by the Defendants, or any of them, to the Funder, and those communications and their contents shall be kept confidential pursuant to section [  ] of the Agreement; and</w:t>
      </w:r>
    </w:p>
    <w:p w14:paraId="406058C4" w14:textId="3FC9687D" w:rsidR="009A6158" w:rsidRPr="00B02BBA" w:rsidRDefault="009A6158" w:rsidP="00B241C8">
      <w:pPr>
        <w:pStyle w:val="ListParagraph"/>
        <w:numPr>
          <w:ilvl w:val="1"/>
          <w:numId w:val="4"/>
        </w:numPr>
        <w:spacing w:before="240"/>
        <w:contextualSpacing w:val="0"/>
        <w:jc w:val="both"/>
      </w:pPr>
      <w:r>
        <w:lastRenderedPageBreak/>
        <w:t xml:space="preserve">the Funder shall be bound by Rule 30.1.01 of the </w:t>
      </w:r>
      <w:r>
        <w:rPr>
          <w:i/>
          <w:iCs/>
        </w:rPr>
        <w:t>Rules of Civil Procedure</w:t>
      </w:r>
      <w:r>
        <w:t>;</w:t>
      </w:r>
    </w:p>
    <w:p w14:paraId="56F82CFB" w14:textId="3DB9401D" w:rsidR="00E210CB" w:rsidRDefault="009A6158" w:rsidP="00E210CB">
      <w:pPr>
        <w:pStyle w:val="ListParagraph"/>
        <w:numPr>
          <w:ilvl w:val="0"/>
          <w:numId w:val="4"/>
        </w:numPr>
        <w:spacing w:before="240"/>
        <w:ind w:left="360"/>
        <w:contextualSpacing w:val="0"/>
        <w:jc w:val="both"/>
      </w:pPr>
      <w:r w:rsidRPr="008E7C45">
        <w:rPr>
          <w:b/>
        </w:rPr>
        <w:t>THIS COURT ORDERS</w:t>
      </w:r>
      <w:r w:rsidRPr="00B118CB">
        <w:t xml:space="preserve"> that</w:t>
      </w:r>
      <w:r w:rsidRPr="00F529A7">
        <w:t xml:space="preserve"> this Order shall be without prejudice to the rights of the defendants </w:t>
      </w:r>
      <w:r>
        <w:t xml:space="preserve">[foreign defendants] </w:t>
      </w:r>
      <w:r w:rsidRPr="00F529A7">
        <w:t xml:space="preserve">to raise jurisdictional arguments, including </w:t>
      </w:r>
      <w:r w:rsidRPr="00263811">
        <w:rPr>
          <w:i/>
          <w:iCs/>
        </w:rPr>
        <w:t>forum non conveniens</w:t>
      </w:r>
      <w:r w:rsidRPr="00F529A7">
        <w:t>, in the action</w:t>
      </w:r>
      <w:r>
        <w:t>.</w:t>
      </w:r>
      <w:r>
        <w:rPr>
          <w:rStyle w:val="FootnoteReference"/>
        </w:rPr>
        <w:footnoteReference w:id="4"/>
      </w:r>
    </w:p>
    <w:p w14:paraId="11EDE00D" w14:textId="28660B3B" w:rsidR="00E210CB" w:rsidRDefault="009A6158" w:rsidP="00E210CB">
      <w:pPr>
        <w:pStyle w:val="ListParagraph"/>
        <w:numPr>
          <w:ilvl w:val="0"/>
          <w:numId w:val="4"/>
        </w:numPr>
        <w:spacing w:before="240"/>
        <w:ind w:left="360"/>
        <w:contextualSpacing w:val="0"/>
        <w:jc w:val="both"/>
      </w:pPr>
      <w:r w:rsidRPr="008E7C45">
        <w:rPr>
          <w:b/>
        </w:rPr>
        <w:t>THIS COURT ORDERS</w:t>
      </w:r>
      <w:r w:rsidRPr="00B118CB">
        <w:t xml:space="preserve"> that</w:t>
      </w:r>
      <w:r>
        <w:t xml:space="preserve"> this Order is made without costs.</w:t>
      </w:r>
    </w:p>
    <w:p w14:paraId="009FD64F" w14:textId="0EED46D4" w:rsidR="00552408" w:rsidRDefault="00552408" w:rsidP="0008363D">
      <w:pPr>
        <w:spacing w:after="360"/>
      </w:pPr>
    </w:p>
    <w:tbl>
      <w:tblPr>
        <w:tblStyle w:val="TableGrid"/>
        <w:tblW w:w="0" w:type="auto"/>
        <w:tblCellMar>
          <w:left w:w="58" w:type="dxa"/>
          <w:right w:w="58" w:type="dxa"/>
        </w:tblCellMar>
        <w:tblLook w:val="04A0" w:firstRow="1" w:lastRow="0" w:firstColumn="1" w:lastColumn="0" w:noHBand="0" w:noVBand="1"/>
      </w:tblPr>
      <w:tblGrid>
        <w:gridCol w:w="4341"/>
        <w:gridCol w:w="211"/>
        <w:gridCol w:w="6518"/>
      </w:tblGrid>
      <w:tr w:rsidR="002564DF" w14:paraId="36669385" w14:textId="77777777" w:rsidTr="002564DF">
        <w:trPr>
          <w:trHeight w:val="359"/>
        </w:trPr>
        <w:tc>
          <w:tcPr>
            <w:tcW w:w="4378" w:type="dxa"/>
            <w:tcBorders>
              <w:top w:val="nil"/>
              <w:left w:val="nil"/>
              <w:bottom w:val="nil"/>
              <w:right w:val="nil"/>
            </w:tcBorders>
            <w:vAlign w:val="center"/>
          </w:tcPr>
          <w:p w14:paraId="08DB52C6" w14:textId="779A4A50" w:rsidR="002564DF" w:rsidRDefault="002564DF" w:rsidP="002564DF">
            <w:pPr>
              <w:spacing w:line="240" w:lineRule="auto"/>
            </w:pPr>
          </w:p>
        </w:tc>
        <w:tc>
          <w:tcPr>
            <w:tcW w:w="212" w:type="dxa"/>
            <w:tcBorders>
              <w:top w:val="nil"/>
              <w:left w:val="nil"/>
              <w:bottom w:val="nil"/>
              <w:right w:val="nil"/>
            </w:tcBorders>
            <w:vAlign w:val="center"/>
          </w:tcPr>
          <w:p w14:paraId="6C3E28B8" w14:textId="4263C723" w:rsidR="002564DF" w:rsidRDefault="002564DF" w:rsidP="002564DF">
            <w:pPr>
              <w:spacing w:line="240" w:lineRule="auto"/>
              <w:jc w:val="left"/>
            </w:pPr>
          </w:p>
        </w:tc>
        <w:tc>
          <w:tcPr>
            <w:tcW w:w="6560" w:type="dxa"/>
            <w:tcBorders>
              <w:top w:val="nil"/>
              <w:left w:val="nil"/>
              <w:bottom w:val="single" w:sz="4" w:space="0" w:color="auto"/>
              <w:right w:val="nil"/>
            </w:tcBorders>
          </w:tcPr>
          <w:p w14:paraId="27AD1760" w14:textId="77777777" w:rsidR="002564DF" w:rsidRDefault="002564DF" w:rsidP="0008363D">
            <w:pPr>
              <w:spacing w:line="240" w:lineRule="auto"/>
            </w:pPr>
          </w:p>
        </w:tc>
      </w:tr>
      <w:tr w:rsidR="002564DF" w14:paraId="035F280E" w14:textId="77777777" w:rsidTr="002564DF">
        <w:trPr>
          <w:trHeight w:val="359"/>
        </w:trPr>
        <w:tc>
          <w:tcPr>
            <w:tcW w:w="4378" w:type="dxa"/>
            <w:tcBorders>
              <w:top w:val="nil"/>
              <w:left w:val="nil"/>
              <w:bottom w:val="nil"/>
              <w:right w:val="nil"/>
            </w:tcBorders>
            <w:vAlign w:val="center"/>
          </w:tcPr>
          <w:p w14:paraId="19007A62" w14:textId="77777777" w:rsidR="002564DF" w:rsidRDefault="002564DF" w:rsidP="002564DF">
            <w:pPr>
              <w:spacing w:line="240" w:lineRule="auto"/>
            </w:pPr>
          </w:p>
        </w:tc>
        <w:tc>
          <w:tcPr>
            <w:tcW w:w="212" w:type="dxa"/>
            <w:tcBorders>
              <w:top w:val="nil"/>
              <w:left w:val="nil"/>
              <w:bottom w:val="nil"/>
              <w:right w:val="nil"/>
            </w:tcBorders>
            <w:vAlign w:val="center"/>
          </w:tcPr>
          <w:p w14:paraId="1D22EFA5" w14:textId="46612CCC" w:rsidR="002564DF" w:rsidRDefault="002564DF" w:rsidP="002564DF">
            <w:pPr>
              <w:spacing w:line="240" w:lineRule="auto"/>
            </w:pPr>
          </w:p>
        </w:tc>
        <w:tc>
          <w:tcPr>
            <w:tcW w:w="6560" w:type="dxa"/>
            <w:tcBorders>
              <w:left w:val="nil"/>
              <w:bottom w:val="nil"/>
              <w:right w:val="nil"/>
            </w:tcBorders>
          </w:tcPr>
          <w:p w14:paraId="60504B21" w14:textId="5A678803" w:rsidR="002564DF" w:rsidRDefault="002564DF" w:rsidP="002564DF">
            <w:pPr>
              <w:spacing w:line="240" w:lineRule="auto"/>
              <w:jc w:val="center"/>
            </w:pPr>
            <w:r w:rsidRPr="006E3DB8">
              <w:rPr>
                <w:bCs/>
                <w:lang w:val="en-GB"/>
              </w:rPr>
              <w:t xml:space="preserve">THE HONOURABLE JUSTICE </w:t>
            </w:r>
            <w:r w:rsidR="00B01D1E" w:rsidRPr="00B01D1E">
              <w:rPr>
                <w:rFonts w:eastAsia="Arial" w:cstheme="minorHAnsi"/>
                <w:bCs/>
              </w:rPr>
              <w:t>[LAST NAME]</w:t>
            </w:r>
          </w:p>
        </w:tc>
      </w:tr>
    </w:tbl>
    <w:p w14:paraId="31305ECD" w14:textId="50D29874" w:rsidR="00552408" w:rsidRDefault="00552408" w:rsidP="007C2D36"/>
    <w:sectPr w:rsidR="00552408" w:rsidSect="00D37B9A">
      <w:footerReference w:type="default" r:id="rId11"/>
      <w:pgSz w:w="12240" w:h="15840"/>
      <w:pgMar w:top="630" w:right="630" w:bottom="540" w:left="540" w:header="540" w:footer="5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F1E8" w14:textId="77777777" w:rsidR="004C038B" w:rsidRDefault="004C038B" w:rsidP="00F72078">
      <w:pPr>
        <w:spacing w:line="240" w:lineRule="auto"/>
      </w:pPr>
      <w:r>
        <w:separator/>
      </w:r>
    </w:p>
  </w:endnote>
  <w:endnote w:type="continuationSeparator" w:id="0">
    <w:p w14:paraId="7633B379" w14:textId="77777777" w:rsidR="004C038B" w:rsidRDefault="004C038B" w:rsidP="00F72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0A22" w14:textId="5922E74A" w:rsidR="00F72078" w:rsidRDefault="00E210CB" w:rsidP="005903EA">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547F" w14:textId="77777777" w:rsidR="004C038B" w:rsidRDefault="004C038B" w:rsidP="00F72078">
      <w:pPr>
        <w:spacing w:line="240" w:lineRule="auto"/>
      </w:pPr>
      <w:r>
        <w:separator/>
      </w:r>
    </w:p>
  </w:footnote>
  <w:footnote w:type="continuationSeparator" w:id="0">
    <w:p w14:paraId="0B4A4726" w14:textId="77777777" w:rsidR="004C038B" w:rsidRDefault="004C038B" w:rsidP="00F72078">
      <w:pPr>
        <w:spacing w:line="240" w:lineRule="auto"/>
      </w:pPr>
      <w:r>
        <w:continuationSeparator/>
      </w:r>
    </w:p>
  </w:footnote>
  <w:footnote w:id="1">
    <w:p w14:paraId="7A6A4C52" w14:textId="77777777" w:rsidR="002A3F8E" w:rsidRPr="00440D7B" w:rsidRDefault="002A3F8E" w:rsidP="002A3F8E">
      <w:pPr>
        <w:pStyle w:val="FootnoteText"/>
      </w:pPr>
      <w:r>
        <w:rPr>
          <w:rStyle w:val="FootnoteReference"/>
        </w:rPr>
        <w:footnoteRef/>
      </w:r>
      <w:r>
        <w:t xml:space="preserve"> </w:t>
      </w:r>
      <w:r w:rsidRPr="0088526B">
        <w:t xml:space="preserve">Prepared by the </w:t>
      </w:r>
      <w:r w:rsidRPr="000650FB">
        <w:t>Ontario</w:t>
      </w:r>
      <w:r w:rsidRPr="0088526B">
        <w:t xml:space="preserve"> </w:t>
      </w:r>
      <w:r w:rsidRPr="0021235B">
        <w:t>Class Action Bench-Bar Liaison Committee</w:t>
      </w:r>
      <w:r>
        <w:t xml:space="preserve"> as a guide for courts and practitioners. This template should be </w:t>
      </w:r>
      <w:r w:rsidRPr="0088526B">
        <w:t>tailored to suit the particular circumstances of each case.</w:t>
      </w:r>
    </w:p>
  </w:footnote>
  <w:footnote w:id="2">
    <w:p w14:paraId="5935A329" w14:textId="77777777" w:rsidR="002A3F8E" w:rsidRPr="003B2D6C" w:rsidRDefault="002A3F8E" w:rsidP="002A3F8E">
      <w:pPr>
        <w:pStyle w:val="FootnoteText"/>
      </w:pPr>
      <w:r>
        <w:rPr>
          <w:rStyle w:val="FootnoteReference"/>
        </w:rPr>
        <w:footnoteRef/>
      </w:r>
      <w:r>
        <w:t xml:space="preserve"> See </w:t>
      </w:r>
      <w:r>
        <w:rPr>
          <w:i/>
          <w:iCs/>
        </w:rPr>
        <w:t>e.g. Drynan v. Bausch Health Companies Inc.</w:t>
      </w:r>
      <w:r>
        <w:t xml:space="preserve">, 2020 ONSC 4379, paras. 22-47; see also </w:t>
      </w:r>
      <w:r>
        <w:rPr>
          <w:i/>
          <w:iCs/>
        </w:rPr>
        <w:t>Musicians’ Pension Fund of Canada (Trustee of) v. Kinross Gold Corp.</w:t>
      </w:r>
      <w:r>
        <w:t>, 2013 ONSC 4974, para. 41.</w:t>
      </w:r>
    </w:p>
  </w:footnote>
  <w:footnote w:id="3">
    <w:p w14:paraId="79C13A4D" w14:textId="77777777" w:rsidR="002A3F8E" w:rsidRPr="00EA3E22" w:rsidRDefault="002A3F8E" w:rsidP="002A3F8E">
      <w:pPr>
        <w:pStyle w:val="FootnoteText"/>
      </w:pPr>
      <w:r>
        <w:rPr>
          <w:rStyle w:val="FootnoteReference"/>
        </w:rPr>
        <w:footnoteRef/>
      </w:r>
      <w:r>
        <w:t xml:space="preserve"> Letters of credit can expire so counsel should consider whether a provision to deal with that eventuality is required. One example is, "</w:t>
      </w:r>
      <w:r w:rsidRPr="00C16AF7">
        <w:t>to the extent that any letter of credit referred to above expires and is not renewed, and this action remains ongoing, the Funder shall forthwith pay into court, as Canadian funds or irrevocable letter of credit in a form acceptable to the Defendants and to the Accountant of the Superior Court of Justice, an amount equal to the amount of the letter of credit that has expired and not been renewed</w:t>
      </w:r>
      <w:r>
        <w:t>".</w:t>
      </w:r>
    </w:p>
  </w:footnote>
  <w:footnote w:id="4">
    <w:p w14:paraId="06DD7CCB" w14:textId="77777777" w:rsidR="009A6158" w:rsidRPr="00C16AF7" w:rsidRDefault="009A6158" w:rsidP="009A6158">
      <w:pPr>
        <w:pStyle w:val="FootnoteText"/>
      </w:pPr>
      <w:r>
        <w:rPr>
          <w:rStyle w:val="FootnoteReference"/>
        </w:rPr>
        <w:footnoteRef/>
      </w:r>
      <w:r>
        <w:t xml:space="preserve"> To consider if there are non-Canadian defendants in the proceeding.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191"/>
    <w:multiLevelType w:val="hybridMultilevel"/>
    <w:tmpl w:val="43B02A5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DA6AAE"/>
    <w:multiLevelType w:val="hybridMultilevel"/>
    <w:tmpl w:val="D436A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69246847"/>
    <w:multiLevelType w:val="hybridMultilevel"/>
    <w:tmpl w:val="84C03CB4"/>
    <w:lvl w:ilvl="0" w:tplc="32B2640C">
      <w:start w:val="1"/>
      <w:numFmt w:val="lowerRoman"/>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725E586E"/>
    <w:multiLevelType w:val="hybridMultilevel"/>
    <w:tmpl w:val="BA1C6C86"/>
    <w:lvl w:ilvl="0" w:tplc="F6E09064">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BE83966"/>
    <w:multiLevelType w:val="hybridMultilevel"/>
    <w:tmpl w:val="1C986B40"/>
    <w:lvl w:ilvl="0" w:tplc="BB309A7C">
      <w:start w:val="19"/>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E4"/>
    <w:rsid w:val="000109F8"/>
    <w:rsid w:val="0008363D"/>
    <w:rsid w:val="000A0119"/>
    <w:rsid w:val="000A511A"/>
    <w:rsid w:val="000B2850"/>
    <w:rsid w:val="000C4AD7"/>
    <w:rsid w:val="000E178A"/>
    <w:rsid w:val="001800DC"/>
    <w:rsid w:val="00191F30"/>
    <w:rsid w:val="001C37B4"/>
    <w:rsid w:val="001E281A"/>
    <w:rsid w:val="001F129E"/>
    <w:rsid w:val="00214076"/>
    <w:rsid w:val="00225BE4"/>
    <w:rsid w:val="00245ACF"/>
    <w:rsid w:val="00251089"/>
    <w:rsid w:val="00252CF1"/>
    <w:rsid w:val="002564DF"/>
    <w:rsid w:val="002A3F8E"/>
    <w:rsid w:val="002C42E6"/>
    <w:rsid w:val="002E6FF6"/>
    <w:rsid w:val="00306635"/>
    <w:rsid w:val="00317F1F"/>
    <w:rsid w:val="00356500"/>
    <w:rsid w:val="0036413B"/>
    <w:rsid w:val="00372B4F"/>
    <w:rsid w:val="003A3B0F"/>
    <w:rsid w:val="00404C1A"/>
    <w:rsid w:val="00415D68"/>
    <w:rsid w:val="0048428F"/>
    <w:rsid w:val="00487378"/>
    <w:rsid w:val="004A2238"/>
    <w:rsid w:val="004A392D"/>
    <w:rsid w:val="004B347D"/>
    <w:rsid w:val="004B69F7"/>
    <w:rsid w:val="004C038B"/>
    <w:rsid w:val="004D35BD"/>
    <w:rsid w:val="004E6065"/>
    <w:rsid w:val="004F1B03"/>
    <w:rsid w:val="004F20C3"/>
    <w:rsid w:val="00552408"/>
    <w:rsid w:val="0056619E"/>
    <w:rsid w:val="0057735C"/>
    <w:rsid w:val="005903EA"/>
    <w:rsid w:val="0059090D"/>
    <w:rsid w:val="006066FA"/>
    <w:rsid w:val="00613611"/>
    <w:rsid w:val="00617930"/>
    <w:rsid w:val="006233E4"/>
    <w:rsid w:val="00623700"/>
    <w:rsid w:val="00624B02"/>
    <w:rsid w:val="0063131D"/>
    <w:rsid w:val="00695E04"/>
    <w:rsid w:val="006C0C56"/>
    <w:rsid w:val="006C7751"/>
    <w:rsid w:val="006D0AAE"/>
    <w:rsid w:val="006D72AA"/>
    <w:rsid w:val="007001DF"/>
    <w:rsid w:val="00744B83"/>
    <w:rsid w:val="00767151"/>
    <w:rsid w:val="007707B1"/>
    <w:rsid w:val="00780273"/>
    <w:rsid w:val="00794C32"/>
    <w:rsid w:val="007C2D36"/>
    <w:rsid w:val="007D1EB2"/>
    <w:rsid w:val="007D6DDD"/>
    <w:rsid w:val="007E14E4"/>
    <w:rsid w:val="00880C4F"/>
    <w:rsid w:val="008911FF"/>
    <w:rsid w:val="00895671"/>
    <w:rsid w:val="008A2543"/>
    <w:rsid w:val="008B5ECB"/>
    <w:rsid w:val="009126FB"/>
    <w:rsid w:val="00934502"/>
    <w:rsid w:val="00945107"/>
    <w:rsid w:val="0095376E"/>
    <w:rsid w:val="00960A53"/>
    <w:rsid w:val="009976DE"/>
    <w:rsid w:val="009A5F1B"/>
    <w:rsid w:val="009A6158"/>
    <w:rsid w:val="009B1D63"/>
    <w:rsid w:val="009B65DE"/>
    <w:rsid w:val="00A4736E"/>
    <w:rsid w:val="00A65835"/>
    <w:rsid w:val="00A70FB8"/>
    <w:rsid w:val="00A963FC"/>
    <w:rsid w:val="00AC25A0"/>
    <w:rsid w:val="00AD71CE"/>
    <w:rsid w:val="00AF0BE6"/>
    <w:rsid w:val="00B01D1E"/>
    <w:rsid w:val="00B027EF"/>
    <w:rsid w:val="00B02851"/>
    <w:rsid w:val="00B02BBA"/>
    <w:rsid w:val="00B11014"/>
    <w:rsid w:val="00B241C8"/>
    <w:rsid w:val="00B93223"/>
    <w:rsid w:val="00C029AC"/>
    <w:rsid w:val="00C442F5"/>
    <w:rsid w:val="00C80C4C"/>
    <w:rsid w:val="00C93AB7"/>
    <w:rsid w:val="00CC034D"/>
    <w:rsid w:val="00CE678C"/>
    <w:rsid w:val="00D25E4E"/>
    <w:rsid w:val="00D37B9A"/>
    <w:rsid w:val="00D650CD"/>
    <w:rsid w:val="00D83F89"/>
    <w:rsid w:val="00DB7691"/>
    <w:rsid w:val="00DB77E3"/>
    <w:rsid w:val="00E075B4"/>
    <w:rsid w:val="00E210CB"/>
    <w:rsid w:val="00E2366F"/>
    <w:rsid w:val="00E30699"/>
    <w:rsid w:val="00E5140E"/>
    <w:rsid w:val="00E67524"/>
    <w:rsid w:val="00EB3B25"/>
    <w:rsid w:val="00EE5445"/>
    <w:rsid w:val="00F0075F"/>
    <w:rsid w:val="00F154C7"/>
    <w:rsid w:val="00F17B57"/>
    <w:rsid w:val="00F61F85"/>
    <w:rsid w:val="00F717C8"/>
    <w:rsid w:val="00F72078"/>
    <w:rsid w:val="00F85186"/>
    <w:rsid w:val="00FA62DB"/>
    <w:rsid w:val="00FB11EB"/>
    <w:rsid w:val="00FC728F"/>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91950A"/>
  <w15:chartTrackingRefBased/>
  <w15:docId w15:val="{DCFC0E19-ACD0-42D2-B2C2-5D8C5983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08"/>
    <w:pPr>
      <w:spacing w:after="0" w:line="360" w:lineRule="auto"/>
    </w:pPr>
    <w:rPr>
      <w:rFonts w:ascii="Arial" w:hAnsi="Arial"/>
      <w:sz w:val="24"/>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E678C"/>
    <w:pPr>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CE678C"/>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95376E"/>
    <w:pPr>
      <w:tabs>
        <w:tab w:val="center" w:pos="4680"/>
        <w:tab w:val="right" w:pos="9360"/>
      </w:tabs>
      <w:spacing w:line="240" w:lineRule="auto"/>
    </w:pPr>
    <w:rPr>
      <w:sz w:val="2"/>
    </w:rPr>
  </w:style>
  <w:style w:type="character" w:customStyle="1" w:styleId="HeaderChar">
    <w:name w:val="Header Char"/>
    <w:basedOn w:val="DefaultParagraphFont"/>
    <w:link w:val="Header"/>
    <w:uiPriority w:val="99"/>
    <w:rsid w:val="0095376E"/>
    <w:rPr>
      <w:sz w:val="2"/>
    </w:rPr>
  </w:style>
  <w:style w:type="paragraph" w:styleId="Footer">
    <w:name w:val="footer"/>
    <w:basedOn w:val="Normal"/>
    <w:link w:val="FooterChar"/>
    <w:uiPriority w:val="99"/>
    <w:unhideWhenUsed/>
    <w:rsid w:val="00F72078"/>
    <w:pPr>
      <w:tabs>
        <w:tab w:val="center" w:pos="4680"/>
        <w:tab w:val="right" w:pos="9360"/>
      </w:tabs>
      <w:spacing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DB77E3"/>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nhideWhenUsed/>
    <w:rsid w:val="002564DF"/>
    <w:pPr>
      <w:pBdr>
        <w:top w:val="nil"/>
        <w:left w:val="nil"/>
        <w:bottom w:val="nil"/>
        <w:right w:val="nil"/>
        <w:between w:val="nil"/>
        <w:bar w:val="nil"/>
      </w:pBdr>
      <w:spacing w:before="120" w:line="240" w:lineRule="auto"/>
      <w:jc w:val="both"/>
    </w:pPr>
    <w:rPr>
      <w:rFonts w:eastAsia="Arial Unicode MS" w:cs="Arial"/>
      <w:sz w:val="18"/>
      <w:szCs w:val="18"/>
      <w:bdr w:val="nil"/>
      <w:lang w:val="en-US"/>
    </w:rPr>
  </w:style>
  <w:style w:type="character" w:customStyle="1" w:styleId="FootnoteTextChar">
    <w:name w:val="Footnote Text Char"/>
    <w:basedOn w:val="DefaultParagraphFont"/>
    <w:link w:val="FootnoteText"/>
    <w:rsid w:val="002564DF"/>
    <w:rPr>
      <w:rFonts w:ascii="Arial" w:eastAsia="Arial Unicode MS" w:hAnsi="Arial" w:cs="Arial"/>
      <w:sz w:val="18"/>
      <w:szCs w:val="18"/>
      <w:bdr w:val="nil"/>
      <w:lang w:val="en-US"/>
    </w:rPr>
  </w:style>
  <w:style w:type="character" w:styleId="FootnoteReference">
    <w:name w:val="footnote reference"/>
    <w:basedOn w:val="DefaultParagraphFont"/>
    <w:unhideWhenUsed/>
    <w:rsid w:val="006066FA"/>
    <w:rPr>
      <w:vertAlign w:val="superscript"/>
    </w:rPr>
  </w:style>
  <w:style w:type="paragraph" w:customStyle="1" w:styleId="TableHeading">
    <w:name w:val="Table Heading"/>
    <w:basedOn w:val="Normal"/>
    <w:qFormat/>
    <w:rsid w:val="00CE678C"/>
    <w:pPr>
      <w:spacing w:after="160" w:line="256" w:lineRule="auto"/>
      <w:jc w:val="center"/>
    </w:pPr>
    <w:rPr>
      <w:rFonts w:eastAsia="Arial" w:cstheme="minorHAnsi"/>
      <w:b/>
      <w:szCs w:val="24"/>
    </w:rPr>
  </w:style>
  <w:style w:type="paragraph" w:customStyle="1" w:styleId="TableCells">
    <w:name w:val="Table Cells"/>
    <w:basedOn w:val="Normal"/>
    <w:qFormat/>
    <w:rsid w:val="007C2D36"/>
    <w:pPr>
      <w:spacing w:line="240" w:lineRule="auto"/>
      <w:jc w:val="both"/>
    </w:pPr>
    <w:rPr>
      <w:rFonts w:eastAsia="Arial" w:cs="Arial"/>
      <w:bCs/>
    </w:rPr>
  </w:style>
  <w:style w:type="character" w:styleId="CommentReference">
    <w:name w:val="annotation reference"/>
    <w:basedOn w:val="DefaultParagraphFont"/>
    <w:uiPriority w:val="99"/>
    <w:semiHidden/>
    <w:unhideWhenUsed/>
    <w:rsid w:val="00CE678C"/>
    <w:rPr>
      <w:sz w:val="16"/>
      <w:szCs w:val="16"/>
    </w:rPr>
  </w:style>
  <w:style w:type="paragraph" w:styleId="CommentText">
    <w:name w:val="annotation text"/>
    <w:basedOn w:val="Normal"/>
    <w:link w:val="CommentTextChar"/>
    <w:uiPriority w:val="99"/>
    <w:semiHidden/>
    <w:unhideWhenUsed/>
    <w:rsid w:val="00CE678C"/>
    <w:pPr>
      <w:spacing w:line="240" w:lineRule="auto"/>
    </w:pPr>
    <w:rPr>
      <w:sz w:val="20"/>
      <w:szCs w:val="20"/>
    </w:rPr>
  </w:style>
  <w:style w:type="character" w:customStyle="1" w:styleId="CommentTextChar">
    <w:name w:val="Comment Text Char"/>
    <w:basedOn w:val="DefaultParagraphFont"/>
    <w:link w:val="CommentText"/>
    <w:uiPriority w:val="99"/>
    <w:semiHidden/>
    <w:rsid w:val="00CE678C"/>
    <w:rPr>
      <w:sz w:val="20"/>
      <w:szCs w:val="20"/>
    </w:rPr>
  </w:style>
  <w:style w:type="paragraph" w:styleId="CommentSubject">
    <w:name w:val="annotation subject"/>
    <w:basedOn w:val="CommentText"/>
    <w:next w:val="CommentText"/>
    <w:link w:val="CommentSubjectChar"/>
    <w:uiPriority w:val="99"/>
    <w:semiHidden/>
    <w:unhideWhenUsed/>
    <w:rsid w:val="00CE678C"/>
    <w:rPr>
      <w:b/>
      <w:bCs/>
    </w:rPr>
  </w:style>
  <w:style w:type="character" w:customStyle="1" w:styleId="CommentSubjectChar">
    <w:name w:val="Comment Subject Char"/>
    <w:basedOn w:val="CommentTextChar"/>
    <w:link w:val="CommentSubject"/>
    <w:uiPriority w:val="99"/>
    <w:semiHidden/>
    <w:rsid w:val="00CE678C"/>
    <w:rPr>
      <w:b/>
      <w:bCs/>
      <w:sz w:val="20"/>
      <w:szCs w:val="20"/>
    </w:rPr>
  </w:style>
  <w:style w:type="character" w:styleId="Hyperlink">
    <w:name w:val="Hyperlink"/>
    <w:basedOn w:val="DefaultParagraphFont"/>
    <w:uiPriority w:val="99"/>
    <w:unhideWhenUsed/>
    <w:rsid w:val="00372B4F"/>
    <w:rPr>
      <w:color w:val="5F5F5F" w:themeColor="hyperlink"/>
      <w:u w:val="single"/>
    </w:rPr>
  </w:style>
  <w:style w:type="character" w:styleId="UnresolvedMention">
    <w:name w:val="Unresolved Mention"/>
    <w:basedOn w:val="DefaultParagraphFont"/>
    <w:uiPriority w:val="99"/>
    <w:semiHidden/>
    <w:unhideWhenUsed/>
    <w:rsid w:val="00372B4F"/>
    <w:rPr>
      <w:color w:val="605E5C"/>
      <w:shd w:val="clear" w:color="auto" w:fill="E1DFDD"/>
    </w:rPr>
  </w:style>
  <w:style w:type="paragraph" w:styleId="EndnoteText">
    <w:name w:val="endnote text"/>
    <w:basedOn w:val="Normal"/>
    <w:link w:val="EndnoteTextChar"/>
    <w:uiPriority w:val="99"/>
    <w:semiHidden/>
    <w:unhideWhenUsed/>
    <w:rsid w:val="00E210CB"/>
    <w:pPr>
      <w:spacing w:line="240" w:lineRule="auto"/>
    </w:pPr>
    <w:rPr>
      <w:sz w:val="20"/>
      <w:szCs w:val="20"/>
    </w:rPr>
  </w:style>
  <w:style w:type="character" w:customStyle="1" w:styleId="EndnoteTextChar">
    <w:name w:val="Endnote Text Char"/>
    <w:basedOn w:val="DefaultParagraphFont"/>
    <w:link w:val="EndnoteText"/>
    <w:uiPriority w:val="99"/>
    <w:semiHidden/>
    <w:rsid w:val="00E210CB"/>
    <w:rPr>
      <w:rFonts w:ascii="Arial" w:hAnsi="Arial"/>
      <w:sz w:val="20"/>
      <w:szCs w:val="20"/>
    </w:rPr>
  </w:style>
  <w:style w:type="character" w:styleId="EndnoteReference">
    <w:name w:val="endnote reference"/>
    <w:basedOn w:val="DefaultParagraphFont"/>
    <w:uiPriority w:val="99"/>
    <w:semiHidden/>
    <w:unhideWhenUsed/>
    <w:rsid w:val="00E210CB"/>
    <w:rPr>
      <w:vertAlign w:val="superscript"/>
    </w:rPr>
  </w:style>
  <w:style w:type="character" w:customStyle="1" w:styleId="Prompt">
    <w:name w:val="Prompt"/>
    <w:aliases w:val="PR,Pr"/>
    <w:basedOn w:val="DefaultParagraphFont"/>
    <w:rsid w:val="00E210CB"/>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192595">
      <w:bodyDiv w:val="1"/>
      <w:marLeft w:val="0"/>
      <w:marRight w:val="0"/>
      <w:marTop w:val="0"/>
      <w:marBottom w:val="0"/>
      <w:divBdr>
        <w:top w:val="none" w:sz="0" w:space="0" w:color="auto"/>
        <w:left w:val="none" w:sz="0" w:space="0" w:color="auto"/>
        <w:bottom w:val="none" w:sz="0" w:space="0" w:color="auto"/>
        <w:right w:val="none" w:sz="0" w:space="0" w:color="auto"/>
      </w:divBdr>
    </w:div>
    <w:div w:id="212573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B56CC48A3C5640A73567317D0FE497" ma:contentTypeVersion="13" ma:contentTypeDescription="Create a new document." ma:contentTypeScope="" ma:versionID="88d02cdf057d2d891822cb7c9fd2c9bf">
  <xsd:schema xmlns:xsd="http://www.w3.org/2001/XMLSchema" xmlns:xs="http://www.w3.org/2001/XMLSchema" xmlns:p="http://schemas.microsoft.com/office/2006/metadata/properties" xmlns:ns3="0a7d2919-ea8a-4715-9269-5a5ff0794665" xmlns:ns4="721b8bf2-f702-4f86-b787-fa2b0955a374" targetNamespace="http://schemas.microsoft.com/office/2006/metadata/properties" ma:root="true" ma:fieldsID="a4c8dadb73ba11a2bf476759512fd9cc" ns3:_="" ns4:_="">
    <xsd:import namespace="0a7d2919-ea8a-4715-9269-5a5ff0794665"/>
    <xsd:import namespace="721b8bf2-f702-4f86-b787-fa2b0955a3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d2919-ea8a-4715-9269-5a5ff0794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b8bf2-f702-4f86-b787-fa2b0955a3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E34B8-7EE3-4DF2-BAF5-E2F8FC141F30}">
  <ds:schemaRefs>
    <ds:schemaRef ds:uri="http://schemas.microsoft.com/sharepoint/v3/contenttype/forms"/>
  </ds:schemaRefs>
</ds:datastoreItem>
</file>

<file path=customXml/itemProps2.xml><?xml version="1.0" encoding="utf-8"?>
<ds:datastoreItem xmlns:ds="http://schemas.openxmlformats.org/officeDocument/2006/customXml" ds:itemID="{8E158296-0A59-4588-A716-9E5A3F369F1C}">
  <ds:schemaRefs>
    <ds:schemaRef ds:uri="http://schemas.microsoft.com/office/infopath/2007/PartnerControls"/>
    <ds:schemaRef ds:uri="http://purl.org/dc/elements/1.1/"/>
    <ds:schemaRef ds:uri="http://schemas.microsoft.com/office/2006/metadata/properties"/>
    <ds:schemaRef ds:uri="721b8bf2-f702-4f86-b787-fa2b0955a374"/>
    <ds:schemaRef ds:uri="http://purl.org/dc/terms/"/>
    <ds:schemaRef ds:uri="http://schemas.openxmlformats.org/package/2006/metadata/core-properties"/>
    <ds:schemaRef ds:uri="http://schemas.microsoft.com/office/2006/documentManagement/types"/>
    <ds:schemaRef ds:uri="0a7d2919-ea8a-4715-9269-5a5ff0794665"/>
    <ds:schemaRef ds:uri="http://www.w3.org/XML/1998/namespace"/>
    <ds:schemaRef ds:uri="http://purl.org/dc/dcmitype/"/>
  </ds:schemaRefs>
</ds:datastoreItem>
</file>

<file path=customXml/itemProps3.xml><?xml version="1.0" encoding="utf-8"?>
<ds:datastoreItem xmlns:ds="http://schemas.openxmlformats.org/officeDocument/2006/customXml" ds:itemID="{8ADF47F2-209B-4734-998E-25401D598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d2919-ea8a-4715-9269-5a5ff0794665"/>
    <ds:schemaRef ds:uri="721b8bf2-f702-4f86-b787-fa2b0955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47721-468E-48AA-8D57-1AF56591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Order (Litigation Funding)</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(Litigation Funding)</dc:title>
  <dc:subject>Form</dc:subject>
  <dc:creator>Superior Court of Justice</dc:creator>
  <cp:keywords/>
  <dc:description/>
  <cp:lastModifiedBy>Rottman, Mike (MAG)</cp:lastModifiedBy>
  <cp:revision>7</cp:revision>
  <dcterms:created xsi:type="dcterms:W3CDTF">2022-04-01T14:32:00Z</dcterms:created>
  <dcterms:modified xsi:type="dcterms:W3CDTF">2022-04-11T15:34:00Z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0x0101007FB56CC48A3C5640A73567317D0FE497</vt:lpwstr>
  </property>
  <property fmtid="{D5CDD505-2E9C-101B-9397-08002B2CF9AE}" pid="3" name="MSIP_Label_034a106e-6316-442c-ad35-738afd673d2b_Enabled">
    <vt:lpwstr>true</vt:lpwstr>
  </property>
  <property fmtid="{D5CDD505-2E9C-101B-9397-08002B2CF9AE}" pid="4" name="MSIP_Label_034a106e-6316-442c-ad35-738afd673d2b_SetDate">
    <vt:lpwstr>2022-03-30T22:04:34Z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d749d6bb-fe1f-49be-9765-97bf4bd98190</vt:lpwstr>
  </property>
  <property fmtid="{D5CDD505-2E9C-101B-9397-08002B2CF9AE}" pid="9" name="MSIP_Label_034a106e-6316-442c-ad35-738afd673d2b_ContentBits">
    <vt:lpwstr>0</vt:lpwstr>
  </property>
</Properties>
</file>