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161B0" w14:textId="1071C3F1" w:rsidR="007C2D36" w:rsidRPr="009A017B" w:rsidRDefault="009A017B" w:rsidP="007C2D36">
      <w:pPr>
        <w:spacing w:line="240" w:lineRule="auto"/>
        <w:jc w:val="right"/>
        <w:rPr>
          <w:b/>
          <w:bCs/>
          <w:szCs w:val="24"/>
          <w:lang w:val="fr-CA"/>
        </w:rPr>
      </w:pPr>
      <w:r w:rsidRPr="009A017B">
        <w:rPr>
          <w:b/>
          <w:bCs/>
          <w:color w:val="000000"/>
          <w:lang w:val="fr-CA"/>
        </w:rPr>
        <w:t>N</w:t>
      </w:r>
      <w:r w:rsidRPr="009A017B">
        <w:rPr>
          <w:b/>
          <w:bCs/>
          <w:color w:val="000000"/>
          <w:vertAlign w:val="superscript"/>
          <w:lang w:val="fr-CA"/>
        </w:rPr>
        <w:t>o</w:t>
      </w:r>
      <w:r w:rsidRPr="009A017B">
        <w:rPr>
          <w:b/>
          <w:bCs/>
          <w:color w:val="000000"/>
          <w:lang w:val="fr-CA"/>
        </w:rPr>
        <w:t xml:space="preserve"> du dossier de la cour </w:t>
      </w:r>
      <w:r w:rsidRPr="009A017B">
        <w:rPr>
          <w:color w:val="000000"/>
          <w:lang w:val="fr-CA"/>
        </w:rPr>
        <w:t>:</w:t>
      </w:r>
    </w:p>
    <w:p w14:paraId="5FB82099" w14:textId="77777777" w:rsidR="007C2D36" w:rsidRPr="009A017B" w:rsidRDefault="007C2D36" w:rsidP="007C2D36">
      <w:pPr>
        <w:spacing w:line="240" w:lineRule="auto"/>
        <w:jc w:val="center"/>
        <w:rPr>
          <w:b/>
          <w:bCs/>
          <w:szCs w:val="24"/>
          <w:lang w:val="fr-CA"/>
        </w:rPr>
      </w:pPr>
    </w:p>
    <w:p w14:paraId="25C63B2A" w14:textId="5E4D8A1B" w:rsidR="007C2D36" w:rsidRPr="009A017B" w:rsidRDefault="00DB77E3" w:rsidP="007C2D36">
      <w:pPr>
        <w:spacing w:line="240" w:lineRule="auto"/>
        <w:jc w:val="center"/>
        <w:rPr>
          <w:b/>
          <w:bCs/>
          <w:szCs w:val="24"/>
          <w:lang w:val="fr-CA"/>
        </w:rPr>
      </w:pPr>
      <w:r w:rsidRPr="009A017B">
        <w:rPr>
          <w:b/>
          <w:bCs/>
          <w:szCs w:val="24"/>
          <w:lang w:val="fr-CA"/>
        </w:rPr>
        <w:t xml:space="preserve">ONTARIO </w:t>
      </w:r>
    </w:p>
    <w:p w14:paraId="23D38F8D" w14:textId="3C70FF8F" w:rsidR="000109F8" w:rsidRPr="009A017B" w:rsidRDefault="009A017B" w:rsidP="007C2D36">
      <w:pPr>
        <w:spacing w:after="80"/>
        <w:jc w:val="center"/>
        <w:rPr>
          <w:szCs w:val="24"/>
          <w:lang w:val="fr-CA"/>
        </w:rPr>
      </w:pPr>
      <w:r w:rsidRPr="009A017B">
        <w:rPr>
          <w:b/>
          <w:bCs/>
          <w:szCs w:val="24"/>
          <w:lang w:val="fr-CA"/>
        </w:rPr>
        <w:t>COUR SUPÉRIEURE DE JUSTICE</w:t>
      </w:r>
    </w:p>
    <w:tbl>
      <w:tblPr>
        <w:tblStyle w:val="TableGrid"/>
        <w:tblpPr w:leftFromText="180" w:rightFromText="180" w:vertAnchor="text" w:tblpX="36" w:tblpY="1"/>
        <w:tblOverlap w:val="nev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8" w:type="dxa"/>
          <w:right w:w="58" w:type="dxa"/>
        </w:tblCellMar>
        <w:tblLook w:val="04A0" w:firstRow="1" w:lastRow="0" w:firstColumn="1" w:lastColumn="0" w:noHBand="0" w:noVBand="1"/>
      </w:tblPr>
      <w:tblGrid>
        <w:gridCol w:w="6004"/>
        <w:gridCol w:w="208"/>
        <w:gridCol w:w="4948"/>
      </w:tblGrid>
      <w:tr w:rsidR="00552408" w:rsidRPr="007D527B" w14:paraId="7DA4DA08" w14:textId="77777777" w:rsidTr="00552408">
        <w:trPr>
          <w:trHeight w:val="403"/>
        </w:trPr>
        <w:tc>
          <w:tcPr>
            <w:tcW w:w="2690" w:type="pct"/>
            <w:vAlign w:val="center"/>
          </w:tcPr>
          <w:p w14:paraId="55EB4C91" w14:textId="34124180" w:rsidR="007C2D36" w:rsidRPr="009A017B" w:rsidRDefault="009A017B" w:rsidP="00552408">
            <w:pPr>
              <w:pStyle w:val="TableHeading"/>
              <w:spacing w:after="0" w:line="257" w:lineRule="auto"/>
              <w:jc w:val="left"/>
              <w:rPr>
                <w:bCs/>
                <w:lang w:val="fr-CA"/>
              </w:rPr>
            </w:pPr>
            <w:r w:rsidRPr="009A017B">
              <w:rPr>
                <w:lang w:val="fr-CA"/>
              </w:rPr>
              <w:t xml:space="preserve">L’HONORABLE </w:t>
            </w:r>
            <w:r w:rsidR="007C2D36" w:rsidRPr="009A017B">
              <w:rPr>
                <w:lang w:val="fr-CA"/>
              </w:rPr>
              <w:t>JU</w:t>
            </w:r>
            <w:r w:rsidRPr="009A017B">
              <w:rPr>
                <w:lang w:val="fr-CA"/>
              </w:rPr>
              <w:t>GE</w:t>
            </w:r>
          </w:p>
        </w:tc>
        <w:tc>
          <w:tcPr>
            <w:tcW w:w="93" w:type="pct"/>
            <w:vAlign w:val="center"/>
          </w:tcPr>
          <w:p w14:paraId="4DDC7E54" w14:textId="7EBAE0D8" w:rsidR="007C2D36" w:rsidRPr="009A017B" w:rsidRDefault="007C2D36" w:rsidP="00552408">
            <w:pPr>
              <w:spacing w:line="240" w:lineRule="auto"/>
              <w:rPr>
                <w:rFonts w:asciiTheme="minorHAnsi" w:eastAsia="Arial" w:hAnsiTheme="minorHAnsi" w:cstheme="minorHAnsi"/>
                <w:bCs/>
                <w:sz w:val="22"/>
                <w:lang w:val="fr-CA"/>
              </w:rPr>
            </w:pPr>
            <w:r w:rsidRPr="009A017B">
              <w:rPr>
                <w:rFonts w:asciiTheme="minorHAnsi" w:eastAsia="Arial" w:hAnsiTheme="minorHAnsi" w:cstheme="minorHAnsi"/>
                <w:bCs/>
                <w:sz w:val="22"/>
                <w:lang w:val="fr-CA"/>
              </w:rPr>
              <w:t>)</w:t>
            </w:r>
          </w:p>
        </w:tc>
        <w:tc>
          <w:tcPr>
            <w:tcW w:w="2217" w:type="pct"/>
            <w:vAlign w:val="center"/>
          </w:tcPr>
          <w:p w14:paraId="3EE54C17" w14:textId="74FAE2FF" w:rsidR="007C2D36" w:rsidRPr="009A017B" w:rsidRDefault="007D527B" w:rsidP="00552408">
            <w:pPr>
              <w:jc w:val="right"/>
              <w:rPr>
                <w:rFonts w:asciiTheme="minorHAnsi" w:eastAsia="Arial" w:hAnsiTheme="minorHAnsi" w:cstheme="minorHAnsi"/>
                <w:bCs/>
                <w:sz w:val="22"/>
                <w:szCs w:val="22"/>
                <w:lang w:val="fr-CA"/>
              </w:rPr>
            </w:pPr>
            <w:r w:rsidRPr="005D0C4E">
              <w:rPr>
                <w:rFonts w:eastAsia="Arial" w:cstheme="minorHAnsi"/>
                <w:bCs/>
                <w:lang w:val="fr-CA"/>
              </w:rPr>
              <w:t>[</w:t>
            </w:r>
            <w:r>
              <w:rPr>
                <w:rFonts w:eastAsia="Arial" w:cstheme="minorHAnsi"/>
                <w:bCs/>
                <w:lang w:val="fr-CA"/>
              </w:rPr>
              <w:t>jour de la semaine</w:t>
            </w:r>
            <w:r w:rsidRPr="005D0C4E">
              <w:rPr>
                <w:rFonts w:eastAsia="Arial" w:cstheme="minorHAnsi"/>
                <w:bCs/>
                <w:lang w:val="fr-CA"/>
              </w:rPr>
              <w:t>]</w:t>
            </w:r>
            <w:r>
              <w:rPr>
                <w:rFonts w:eastAsia="Arial" w:cstheme="minorHAnsi"/>
                <w:bCs/>
                <w:lang w:val="fr-CA"/>
              </w:rPr>
              <w:t>, le</w:t>
            </w:r>
            <w:r w:rsidRPr="009A017B">
              <w:rPr>
                <w:rFonts w:eastAsia="Arial" w:cstheme="minorHAnsi"/>
                <w:bCs/>
                <w:lang w:val="fr-CA"/>
              </w:rPr>
              <w:t xml:space="preserve"> </w:t>
            </w:r>
            <w:r w:rsidRPr="005D0C4E">
              <w:rPr>
                <w:rFonts w:eastAsia="Arial" w:cstheme="minorHAnsi"/>
                <w:bCs/>
                <w:lang w:val="fr-CA"/>
              </w:rPr>
              <w:t>[#]</w:t>
            </w:r>
            <w:r w:rsidRPr="009A017B">
              <w:rPr>
                <w:rFonts w:eastAsia="Arial" w:cstheme="minorHAnsi"/>
                <w:bCs/>
                <w:lang w:val="fr-CA"/>
              </w:rPr>
              <w:t xml:space="preserve"> </w:t>
            </w:r>
            <w:r w:rsidR="007C2D36" w:rsidRPr="009A017B">
              <w:rPr>
                <w:rFonts w:eastAsia="Arial" w:cstheme="minorHAnsi"/>
                <w:bCs/>
                <w:lang w:val="fr-CA"/>
              </w:rPr>
              <w:t xml:space="preserve"> </w:t>
            </w:r>
          </w:p>
        </w:tc>
      </w:tr>
      <w:tr w:rsidR="007C2D36" w:rsidRPr="009A017B" w14:paraId="69AE7E1F" w14:textId="77777777" w:rsidTr="00552408">
        <w:trPr>
          <w:trHeight w:val="403"/>
        </w:trPr>
        <w:tc>
          <w:tcPr>
            <w:tcW w:w="2690" w:type="pct"/>
            <w:vAlign w:val="center"/>
          </w:tcPr>
          <w:p w14:paraId="384D5047" w14:textId="7776AB78" w:rsidR="007C2D36" w:rsidRPr="009A017B" w:rsidRDefault="007C2D36" w:rsidP="00552408">
            <w:pPr>
              <w:pStyle w:val="TableCells"/>
              <w:rPr>
                <w:lang w:val="fr-CA"/>
              </w:rPr>
            </w:pPr>
          </w:p>
        </w:tc>
        <w:tc>
          <w:tcPr>
            <w:tcW w:w="93" w:type="pct"/>
            <w:vAlign w:val="center"/>
          </w:tcPr>
          <w:p w14:paraId="6749C1DB" w14:textId="6250B933" w:rsidR="007C2D36" w:rsidRPr="009A017B" w:rsidRDefault="007C2D36" w:rsidP="00552408">
            <w:pPr>
              <w:spacing w:line="240" w:lineRule="auto"/>
              <w:rPr>
                <w:rFonts w:asciiTheme="minorHAnsi" w:eastAsia="Arial" w:hAnsiTheme="minorHAnsi" w:cstheme="minorHAnsi"/>
                <w:bCs/>
                <w:sz w:val="22"/>
                <w:lang w:val="fr-CA"/>
              </w:rPr>
            </w:pPr>
            <w:r w:rsidRPr="009A017B">
              <w:rPr>
                <w:rFonts w:asciiTheme="minorHAnsi" w:eastAsia="Arial" w:hAnsiTheme="minorHAnsi" w:cstheme="minorHAnsi"/>
                <w:bCs/>
                <w:sz w:val="22"/>
                <w:lang w:val="fr-CA"/>
              </w:rPr>
              <w:t>)</w:t>
            </w:r>
          </w:p>
        </w:tc>
        <w:tc>
          <w:tcPr>
            <w:tcW w:w="2217" w:type="pct"/>
            <w:vAlign w:val="center"/>
          </w:tcPr>
          <w:p w14:paraId="090D98E0" w14:textId="1BA0A1E3" w:rsidR="007C2D36" w:rsidRPr="009A017B" w:rsidRDefault="007D527B" w:rsidP="00552408">
            <w:pPr>
              <w:jc w:val="right"/>
              <w:rPr>
                <w:rFonts w:asciiTheme="minorHAnsi" w:eastAsia="Arial" w:hAnsiTheme="minorHAnsi" w:cstheme="minorHAnsi"/>
                <w:bCs/>
                <w:sz w:val="22"/>
                <w:szCs w:val="22"/>
                <w:lang w:val="fr-CA"/>
              </w:rPr>
            </w:pPr>
            <w:r w:rsidRPr="005D0C4E">
              <w:rPr>
                <w:rFonts w:eastAsia="Arial"/>
                <w:bCs/>
                <w:lang w:val="fr-CA"/>
              </w:rPr>
              <w:t>[</w:t>
            </w:r>
            <w:r>
              <w:rPr>
                <w:rFonts w:eastAsia="Arial"/>
                <w:bCs/>
                <w:lang w:val="fr-CA"/>
              </w:rPr>
              <w:t>mois</w:t>
            </w:r>
            <w:r w:rsidRPr="005D0C4E">
              <w:rPr>
                <w:rFonts w:eastAsia="Arial"/>
                <w:bCs/>
                <w:lang w:val="fr-CA"/>
              </w:rPr>
              <w:t>]</w:t>
            </w:r>
            <w:r w:rsidRPr="009A017B">
              <w:rPr>
                <w:rFonts w:eastAsia="Arial"/>
                <w:bCs/>
                <w:lang w:val="fr-CA"/>
              </w:rPr>
              <w:t xml:space="preserve"> 20</w:t>
            </w:r>
            <w:r w:rsidRPr="005D0C4E">
              <w:rPr>
                <w:rFonts w:eastAsia="Arial" w:cstheme="minorHAnsi"/>
                <w:bCs/>
                <w:lang w:val="fr-CA"/>
              </w:rPr>
              <w:t>[</w:t>
            </w:r>
            <w:r>
              <w:rPr>
                <w:rFonts w:eastAsia="Arial" w:cstheme="minorHAnsi"/>
                <w:bCs/>
                <w:lang w:val="fr-CA"/>
              </w:rPr>
              <w:t>an</w:t>
            </w:r>
            <w:r w:rsidRPr="005D0C4E">
              <w:rPr>
                <w:rFonts w:eastAsia="Arial" w:cstheme="minorHAnsi"/>
                <w:bCs/>
                <w:lang w:val="fr-CA"/>
              </w:rPr>
              <w:t>]</w:t>
            </w:r>
          </w:p>
        </w:tc>
      </w:tr>
      <w:tr w:rsidR="00552408" w:rsidRPr="009A017B" w14:paraId="40B6E8BE" w14:textId="77777777" w:rsidTr="00552408">
        <w:trPr>
          <w:trHeight w:val="403"/>
        </w:trPr>
        <w:tc>
          <w:tcPr>
            <w:tcW w:w="5000" w:type="pct"/>
            <w:gridSpan w:val="3"/>
            <w:vAlign w:val="bottom"/>
          </w:tcPr>
          <w:p w14:paraId="63C2BC19" w14:textId="0E20A4FA" w:rsidR="00552408" w:rsidRPr="009A017B" w:rsidRDefault="009A017B" w:rsidP="00552408">
            <w:pPr>
              <w:spacing w:before="360" w:line="240" w:lineRule="auto"/>
              <w:rPr>
                <w:lang w:val="fr-CA"/>
              </w:rPr>
            </w:pPr>
            <w:r w:rsidRPr="009A017B">
              <w:rPr>
                <w:lang w:val="fr-CA"/>
              </w:rPr>
              <w:t>ENTRE</w:t>
            </w:r>
          </w:p>
        </w:tc>
      </w:tr>
      <w:tr w:rsidR="00552408" w:rsidRPr="009A017B" w14:paraId="0C07E818" w14:textId="77777777" w:rsidTr="00552408">
        <w:trPr>
          <w:trHeight w:val="403"/>
        </w:trPr>
        <w:tc>
          <w:tcPr>
            <w:tcW w:w="5000" w:type="pct"/>
            <w:gridSpan w:val="3"/>
            <w:vAlign w:val="bottom"/>
          </w:tcPr>
          <w:p w14:paraId="232CE2DC" w14:textId="43150063" w:rsidR="00552408" w:rsidRPr="009A017B" w:rsidRDefault="007D527B" w:rsidP="00552408">
            <w:pPr>
              <w:spacing w:before="120" w:after="120" w:line="240" w:lineRule="auto"/>
              <w:jc w:val="center"/>
              <w:rPr>
                <w:lang w:val="fr-CA"/>
              </w:rPr>
            </w:pPr>
            <w:r w:rsidRPr="007D527B">
              <w:rPr>
                <w:rFonts w:eastAsia="Arial" w:cstheme="minorHAnsi"/>
                <w:b/>
                <w:lang w:val="fr-CA"/>
              </w:rPr>
              <w:t>[Demandeur(s)]</w:t>
            </w:r>
          </w:p>
        </w:tc>
      </w:tr>
      <w:tr w:rsidR="00552408" w:rsidRPr="009A017B" w14:paraId="16A2D47A" w14:textId="77777777" w:rsidTr="00552408">
        <w:trPr>
          <w:trHeight w:val="403"/>
        </w:trPr>
        <w:tc>
          <w:tcPr>
            <w:tcW w:w="5000" w:type="pct"/>
            <w:gridSpan w:val="3"/>
            <w:vAlign w:val="bottom"/>
          </w:tcPr>
          <w:p w14:paraId="3B1E5B56" w14:textId="3DDD05DC" w:rsidR="00552408" w:rsidRPr="009A017B" w:rsidRDefault="00552408" w:rsidP="00552408">
            <w:pPr>
              <w:spacing w:before="80" w:after="80" w:line="240" w:lineRule="auto"/>
              <w:jc w:val="center"/>
              <w:rPr>
                <w:lang w:val="fr-CA"/>
              </w:rPr>
            </w:pPr>
            <w:r w:rsidRPr="009A017B">
              <w:rPr>
                <w:rFonts w:eastAsia="Arial" w:cstheme="minorHAnsi"/>
                <w:bCs/>
                <w:lang w:val="fr-CA"/>
              </w:rPr>
              <w:t xml:space="preserve">- </w:t>
            </w:r>
            <w:r w:rsidR="009A017B">
              <w:rPr>
                <w:rFonts w:eastAsia="Arial" w:cstheme="minorHAnsi"/>
                <w:bCs/>
                <w:lang w:val="fr-CA"/>
              </w:rPr>
              <w:t xml:space="preserve">et </w:t>
            </w:r>
            <w:r w:rsidRPr="009A017B">
              <w:rPr>
                <w:rFonts w:eastAsia="Arial" w:cstheme="minorHAnsi"/>
                <w:bCs/>
                <w:lang w:val="fr-CA"/>
              </w:rPr>
              <w:t>-</w:t>
            </w:r>
          </w:p>
        </w:tc>
      </w:tr>
      <w:tr w:rsidR="00552408" w:rsidRPr="009A017B" w14:paraId="5B004E9C" w14:textId="77777777" w:rsidTr="00552408">
        <w:trPr>
          <w:trHeight w:val="403"/>
        </w:trPr>
        <w:tc>
          <w:tcPr>
            <w:tcW w:w="5000" w:type="pct"/>
            <w:gridSpan w:val="3"/>
            <w:vAlign w:val="bottom"/>
          </w:tcPr>
          <w:p w14:paraId="17FCDEE9" w14:textId="5190A387" w:rsidR="00552408" w:rsidRPr="009A017B" w:rsidRDefault="007D527B" w:rsidP="00552408">
            <w:pPr>
              <w:spacing w:before="120" w:after="120" w:line="240" w:lineRule="auto"/>
              <w:jc w:val="center"/>
              <w:rPr>
                <w:rFonts w:eastAsia="Arial" w:cstheme="minorHAnsi"/>
                <w:bCs/>
                <w:lang w:val="fr-CA"/>
              </w:rPr>
            </w:pPr>
            <w:r w:rsidRPr="007D527B">
              <w:rPr>
                <w:rFonts w:eastAsia="Arial" w:cstheme="minorHAnsi"/>
                <w:b/>
                <w:lang w:val="fr-CA"/>
              </w:rPr>
              <w:t>[Défendeur(s)]</w:t>
            </w:r>
          </w:p>
        </w:tc>
      </w:tr>
    </w:tbl>
    <w:p w14:paraId="24EE3F31" w14:textId="0C2BD649" w:rsidR="007C2D36" w:rsidRPr="009A017B" w:rsidRDefault="007C2D36" w:rsidP="007C2D36">
      <w:pPr>
        <w:jc w:val="center"/>
        <w:rPr>
          <w:lang w:val="fr-CA"/>
        </w:rPr>
      </w:pPr>
    </w:p>
    <w:p w14:paraId="08C86C90" w14:textId="0BF99314" w:rsidR="007C2D36" w:rsidRPr="009A017B" w:rsidRDefault="007C2D36" w:rsidP="007C2D36">
      <w:pPr>
        <w:jc w:val="center"/>
        <w:rPr>
          <w:lang w:val="fr-CA"/>
        </w:rPr>
      </w:pPr>
    </w:p>
    <w:p w14:paraId="008C13AD" w14:textId="2AA07122" w:rsidR="007C2D36" w:rsidRPr="009A017B" w:rsidRDefault="009A017B" w:rsidP="007C2D36">
      <w:pPr>
        <w:jc w:val="center"/>
        <w:rPr>
          <w:lang w:val="fr-CA"/>
        </w:rPr>
      </w:pPr>
      <w:r>
        <w:rPr>
          <w:lang w:val="fr"/>
        </w:rPr>
        <w:t xml:space="preserve">Instance relevant de la </w:t>
      </w:r>
      <w:r>
        <w:rPr>
          <w:i/>
          <w:iCs/>
          <w:lang w:val="fr"/>
        </w:rPr>
        <w:t xml:space="preserve">Loi de 1992 sur les recours collectifs, </w:t>
      </w:r>
      <w:r>
        <w:rPr>
          <w:lang w:val="fr"/>
        </w:rPr>
        <w:t>L.O. 1992, chap. 6</w:t>
      </w:r>
    </w:p>
    <w:p w14:paraId="6A5961C9" w14:textId="4D9822D2" w:rsidR="007C2D36" w:rsidRPr="009A017B" w:rsidRDefault="007C2D36" w:rsidP="007C2D36">
      <w:pPr>
        <w:pStyle w:val="Title"/>
        <w:spacing w:before="360" w:line="240" w:lineRule="auto"/>
        <w:jc w:val="center"/>
        <w:rPr>
          <w:lang w:val="fr-CA"/>
        </w:rPr>
      </w:pPr>
      <w:r w:rsidRPr="009A017B">
        <w:rPr>
          <w:lang w:val="fr-CA"/>
        </w:rPr>
        <w:t>ORD</w:t>
      </w:r>
      <w:r w:rsidR="009A017B">
        <w:rPr>
          <w:lang w:val="fr-CA"/>
        </w:rPr>
        <w:t>ONNANCE</w:t>
      </w:r>
    </w:p>
    <w:p w14:paraId="204DEE0C" w14:textId="77777777" w:rsidR="001B250A" w:rsidRDefault="007C2D36" w:rsidP="007C2D36">
      <w:pPr>
        <w:pStyle w:val="Heading2"/>
        <w:spacing w:before="0"/>
        <w:jc w:val="center"/>
        <w:rPr>
          <w:lang w:val="fr-CA"/>
        </w:rPr>
        <w:sectPr w:rsidR="001B250A" w:rsidSect="0008363D">
          <w:headerReference w:type="even" r:id="rId11"/>
          <w:headerReference w:type="default" r:id="rId12"/>
          <w:footerReference w:type="even" r:id="rId13"/>
          <w:footerReference w:type="default" r:id="rId14"/>
          <w:headerReference w:type="first" r:id="rId15"/>
          <w:footerReference w:type="first" r:id="rId16"/>
          <w:pgSz w:w="12240" w:h="15840"/>
          <w:pgMar w:top="630" w:right="540" w:bottom="540" w:left="540" w:header="540" w:footer="288" w:gutter="0"/>
          <w:cols w:space="708"/>
          <w:docGrid w:linePitch="360"/>
        </w:sectPr>
      </w:pPr>
      <w:r w:rsidRPr="009A017B">
        <w:rPr>
          <w:lang w:val="fr-CA"/>
        </w:rPr>
        <w:t>(</w:t>
      </w:r>
      <w:r w:rsidR="009A017B">
        <w:rPr>
          <w:lang w:val="fr"/>
        </w:rPr>
        <w:t>Approbation des honoraires</w:t>
      </w:r>
      <w:r w:rsidRPr="009A017B">
        <w:rPr>
          <w:lang w:val="fr-CA"/>
        </w:rPr>
        <w:t>)</w:t>
      </w:r>
      <w:r w:rsidR="00E210CB" w:rsidRPr="009A017B">
        <w:rPr>
          <w:rStyle w:val="FootnoteReference"/>
          <w:lang w:val="fr-CA"/>
        </w:rPr>
        <w:footnoteReference w:id="1"/>
      </w:r>
    </w:p>
    <w:p w14:paraId="2F3BB72C" w14:textId="58D0AD34" w:rsidR="007C2D36" w:rsidRPr="009A017B" w:rsidRDefault="009A017B" w:rsidP="00552408">
      <w:pPr>
        <w:spacing w:before="360"/>
        <w:ind w:firstLine="720"/>
        <w:jc w:val="both"/>
        <w:rPr>
          <w:lang w:val="fr-CA"/>
        </w:rPr>
      </w:pPr>
      <w:r>
        <w:rPr>
          <w:b/>
          <w:bCs/>
          <w:lang w:val="fr"/>
        </w:rPr>
        <w:t>LA PRÉSENTE MOTION</w:t>
      </w:r>
      <w:r w:rsidRPr="00911010">
        <w:rPr>
          <w:lang w:val="fr"/>
        </w:rPr>
        <w:t>,</w:t>
      </w:r>
      <w:r>
        <w:rPr>
          <w:lang w:val="fr"/>
        </w:rPr>
        <w:t xml:space="preserve"> présentée par l’avocat(e) du recours collectif en vue d’obtenir une ordonnance approuvant l’entente sur les honoraires conditionnels pour le recours collectif, approuvant les honoraires et débours de l’avocat(e) du recours collectif [et approuvant le paiement d’un montant aux demandeurs] [et approuvant le paiement d’un montant au bailleur de fonds du litige], a été entendue aujourd’hui [par vidéoconférence judiciaire à </w:t>
      </w:r>
      <w:r w:rsidRPr="009A017B">
        <w:rPr>
          <w:i/>
          <w:iCs/>
          <w:lang w:val="fr"/>
        </w:rPr>
        <w:t>(</w:t>
      </w:r>
      <w:r>
        <w:rPr>
          <w:i/>
          <w:iCs/>
          <w:lang w:val="fr"/>
        </w:rPr>
        <w:t>ville</w:t>
      </w:r>
      <w:r w:rsidRPr="009A017B">
        <w:rPr>
          <w:i/>
          <w:iCs/>
          <w:lang w:val="fr"/>
        </w:rPr>
        <w:t>)</w:t>
      </w:r>
      <w:r>
        <w:rPr>
          <w:lang w:val="fr"/>
        </w:rPr>
        <w:t xml:space="preserve">]/[au </w:t>
      </w:r>
      <w:r w:rsidRPr="009A017B">
        <w:rPr>
          <w:i/>
          <w:iCs/>
          <w:lang w:val="fr"/>
        </w:rPr>
        <w:t>(</w:t>
      </w:r>
      <w:r>
        <w:rPr>
          <w:i/>
          <w:iCs/>
          <w:lang w:val="fr"/>
        </w:rPr>
        <w:t>adresse du palais de justice)</w:t>
      </w:r>
      <w:r>
        <w:rPr>
          <w:lang w:val="fr"/>
        </w:rPr>
        <w:t>], en Ontario.</w:t>
      </w:r>
    </w:p>
    <w:p w14:paraId="088E4B4C" w14:textId="3F5506F7" w:rsidR="007C2D36" w:rsidRPr="009A017B" w:rsidRDefault="009A017B" w:rsidP="00552408">
      <w:pPr>
        <w:spacing w:before="240"/>
        <w:ind w:firstLine="720"/>
        <w:jc w:val="both"/>
        <w:rPr>
          <w:lang w:val="fr-CA"/>
        </w:rPr>
      </w:pPr>
      <w:r>
        <w:rPr>
          <w:b/>
          <w:bCs/>
          <w:lang w:val="fr"/>
        </w:rPr>
        <w:t>APRÈS AVOIR LU</w:t>
      </w:r>
      <w:r>
        <w:rPr>
          <w:lang w:val="fr"/>
        </w:rPr>
        <w:t xml:space="preserve"> les documents déposés, y compris l’accord de règlement conclu avec les défendeurs [</w:t>
      </w:r>
      <w:r>
        <w:rPr>
          <w:i/>
          <w:iCs/>
          <w:lang w:val="fr"/>
        </w:rPr>
        <w:t>insérer le(s) noms du/des défendeur(s) qui ont l’intention d’être lié(s) par l’accord de règlement</w:t>
      </w:r>
      <w:r>
        <w:rPr>
          <w:lang w:val="fr"/>
        </w:rPr>
        <w:t>] (collectivement désignés sous le nom de « défendeur(s) partie(s) au règlement »), en date du [</w:t>
      </w:r>
      <w:r>
        <w:rPr>
          <w:i/>
          <w:iCs/>
          <w:lang w:val="fr"/>
        </w:rPr>
        <w:t>insérer la date</w:t>
      </w:r>
      <w:r>
        <w:rPr>
          <w:lang w:val="fr"/>
        </w:rPr>
        <w:t>] (l’« accord de règlement »), et après avoir entendu les observations de l’avocat(e) du (des) demandeur(s) et de l’avocat(e) du (des) défendeur(s) partie(s) au règlement, [le(s) défendeur(s) non partie(s) au règlement ne prenant pas position];</w:t>
      </w:r>
    </w:p>
    <w:p w14:paraId="3BE25840" w14:textId="657C6C10" w:rsidR="00552408" w:rsidRPr="009A017B" w:rsidRDefault="009A017B" w:rsidP="00552408">
      <w:pPr>
        <w:spacing w:before="240"/>
        <w:ind w:firstLine="720"/>
        <w:jc w:val="both"/>
        <w:rPr>
          <w:lang w:val="fr-CA"/>
        </w:rPr>
      </w:pPr>
      <w:r>
        <w:rPr>
          <w:b/>
          <w:bCs/>
          <w:lang w:val="fr"/>
        </w:rPr>
        <w:t xml:space="preserve">ET AYANT ÉTÉ AVISÉ(E) </w:t>
      </w:r>
      <w:r>
        <w:rPr>
          <w:lang w:val="fr"/>
        </w:rPr>
        <w:t>que le(s) demandeur(s), le(s) défendeur(s) partie(s) au règlement et le [</w:t>
      </w:r>
      <w:r>
        <w:rPr>
          <w:i/>
          <w:iCs/>
          <w:lang w:val="fr"/>
        </w:rPr>
        <w:t>bailleur de fonds du litige</w:t>
      </w:r>
      <w:r>
        <w:rPr>
          <w:lang w:val="fr"/>
        </w:rPr>
        <w:t>] consentent à cette ordonnance [et que le(s) défendeur(s) non partie(s) au règlement ne prennent pas position] :</w:t>
      </w:r>
    </w:p>
    <w:p w14:paraId="0FE2DB10" w14:textId="540D887C" w:rsidR="00552408" w:rsidRPr="009A017B" w:rsidRDefault="00552408" w:rsidP="007C2D36">
      <w:pPr>
        <w:rPr>
          <w:lang w:val="fr-CA"/>
        </w:rPr>
      </w:pPr>
    </w:p>
    <w:p w14:paraId="2639D145" w14:textId="279E39F5" w:rsidR="00552408" w:rsidRPr="009A017B" w:rsidRDefault="00313E3D" w:rsidP="00552408">
      <w:pPr>
        <w:pStyle w:val="ListParagraph"/>
        <w:numPr>
          <w:ilvl w:val="0"/>
          <w:numId w:val="4"/>
        </w:numPr>
        <w:ind w:left="360"/>
        <w:jc w:val="both"/>
        <w:rPr>
          <w:lang w:val="fr-CA"/>
        </w:rPr>
      </w:pPr>
      <w:r>
        <w:rPr>
          <w:b/>
          <w:bCs/>
          <w:lang w:val="fr"/>
        </w:rPr>
        <w:t>LE TRIBUNAL ORDONNE</w:t>
      </w:r>
      <w:r>
        <w:rPr>
          <w:lang w:val="fr"/>
        </w:rPr>
        <w:t xml:space="preserve"> que, en plus des définitions utilisées ailleurs dans la présente ordonnance, aux fins de la présente ordonnance, les définitions énoncées dans l’accord de règlement s’appliquent à la présente ordonnance et y sont intégrées.</w:t>
      </w:r>
    </w:p>
    <w:p w14:paraId="0C81B62A" w14:textId="5C23F9B0" w:rsidR="00552408" w:rsidRPr="009A017B" w:rsidRDefault="00313E3D" w:rsidP="00E210CB">
      <w:pPr>
        <w:pStyle w:val="ListParagraph"/>
        <w:numPr>
          <w:ilvl w:val="0"/>
          <w:numId w:val="4"/>
        </w:numPr>
        <w:spacing w:before="240"/>
        <w:ind w:left="360"/>
        <w:contextualSpacing w:val="0"/>
        <w:jc w:val="both"/>
        <w:rPr>
          <w:lang w:val="fr-CA"/>
        </w:rPr>
      </w:pPr>
      <w:r>
        <w:rPr>
          <w:b/>
          <w:bCs/>
          <w:lang w:val="fr"/>
        </w:rPr>
        <w:t xml:space="preserve">LE TRIBUNAL ORDONNE ET DÉCLARE </w:t>
      </w:r>
      <w:r>
        <w:rPr>
          <w:lang w:val="fr"/>
        </w:rPr>
        <w:t>que l’entente relative aux honoraires conditionnels, faite le [</w:t>
      </w:r>
      <w:r>
        <w:rPr>
          <w:i/>
          <w:iCs/>
          <w:lang w:val="fr"/>
        </w:rPr>
        <w:t>date</w:t>
      </w:r>
      <w:r>
        <w:rPr>
          <w:lang w:val="fr"/>
        </w:rPr>
        <w:t xml:space="preserve">] et conclue entre le(s) demandeur(s) et l’avocat(e) du recours collectif, est juste et raisonnable, et est par la présente approuvée, comme le prévoit le par. 32 (2) de la </w:t>
      </w:r>
      <w:r>
        <w:rPr>
          <w:i/>
          <w:iCs/>
          <w:lang w:val="fr"/>
        </w:rPr>
        <w:t xml:space="preserve">Loi de 1992 sur les recours collectifs, </w:t>
      </w:r>
      <w:r>
        <w:rPr>
          <w:lang w:val="fr"/>
        </w:rPr>
        <w:t>L.O. 1992, chap. 6.</w:t>
      </w:r>
    </w:p>
    <w:p w14:paraId="56F82CFB" w14:textId="1F8E109A" w:rsidR="00E210CB" w:rsidRPr="009A017B" w:rsidRDefault="00313E3D" w:rsidP="00E210CB">
      <w:pPr>
        <w:pStyle w:val="ListParagraph"/>
        <w:numPr>
          <w:ilvl w:val="0"/>
          <w:numId w:val="4"/>
        </w:numPr>
        <w:spacing w:before="240"/>
        <w:ind w:left="360"/>
        <w:contextualSpacing w:val="0"/>
        <w:jc w:val="both"/>
        <w:rPr>
          <w:lang w:val="fr-CA"/>
        </w:rPr>
      </w:pPr>
      <w:r w:rsidRPr="00313E3D">
        <w:rPr>
          <w:b/>
          <w:bCs/>
          <w:lang w:val="fr"/>
        </w:rPr>
        <w:t>LE TRIBUNAL ORDONNE ET DÉCLARE</w:t>
      </w:r>
      <w:r w:rsidRPr="00313E3D">
        <w:rPr>
          <w:lang w:val="fr"/>
        </w:rPr>
        <w:t xml:space="preserve"> que les honoraires de l’avocat(e) du recours collectif, lesquels s’élèvent à </w:t>
      </w:r>
      <w:r w:rsidRPr="00313E3D">
        <w:rPr>
          <w:rStyle w:val="Prompt"/>
          <w:color w:val="auto"/>
          <w:lang w:val="fr"/>
        </w:rPr>
        <w:t>[</w:t>
      </w:r>
      <w:r w:rsidRPr="00313E3D">
        <w:rPr>
          <w:rStyle w:val="Prompt"/>
          <w:i/>
          <w:iCs/>
          <w:color w:val="auto"/>
          <w:lang w:val="fr"/>
        </w:rPr>
        <w:t>montant</w:t>
      </w:r>
      <w:r w:rsidRPr="00313E3D">
        <w:rPr>
          <w:rStyle w:val="Prompt"/>
          <w:color w:val="auto"/>
          <w:lang w:val="fr"/>
        </w:rPr>
        <w:t>]</w:t>
      </w:r>
      <w:r w:rsidRPr="00313E3D">
        <w:rPr>
          <w:lang w:val="fr"/>
        </w:rPr>
        <w:t xml:space="preserve"> $ ([</w:t>
      </w:r>
      <w:r w:rsidRPr="00313E3D">
        <w:rPr>
          <w:i/>
          <w:iCs/>
          <w:lang w:val="fr"/>
        </w:rPr>
        <w:t>pourcentage</w:t>
      </w:r>
      <w:r w:rsidRPr="00313E3D">
        <w:rPr>
          <w:lang w:val="fr"/>
        </w:rPr>
        <w:t xml:space="preserve">] du fonds de règlement), plus les taxes applicables s’élevant à </w:t>
      </w:r>
      <w:r w:rsidRPr="00313E3D">
        <w:rPr>
          <w:rStyle w:val="Prompt"/>
          <w:color w:val="auto"/>
          <w:lang w:val="fr"/>
        </w:rPr>
        <w:t>[</w:t>
      </w:r>
      <w:r w:rsidRPr="00313E3D">
        <w:rPr>
          <w:rStyle w:val="Prompt"/>
          <w:i/>
          <w:iCs/>
          <w:color w:val="auto"/>
          <w:lang w:val="fr"/>
        </w:rPr>
        <w:t>montant</w:t>
      </w:r>
      <w:r w:rsidRPr="00313E3D">
        <w:rPr>
          <w:rStyle w:val="Prompt"/>
          <w:color w:val="auto"/>
          <w:lang w:val="fr"/>
        </w:rPr>
        <w:t>]</w:t>
      </w:r>
      <w:r w:rsidRPr="00313E3D">
        <w:rPr>
          <w:lang w:val="fr"/>
        </w:rPr>
        <w:t xml:space="preserve"> $</w:t>
      </w:r>
      <w:r w:rsidRPr="00313E3D">
        <w:rPr>
          <w:rStyle w:val="Prompt"/>
          <w:color w:val="auto"/>
          <w:lang w:val="fr"/>
        </w:rPr>
        <w:t xml:space="preserve">, </w:t>
      </w:r>
      <w:r w:rsidRPr="00313E3D">
        <w:rPr>
          <w:lang w:val="fr"/>
        </w:rPr>
        <w:t xml:space="preserve">ainsi que les débours de l’avocat(e) du recours collectif, lesquels s’élèvent à </w:t>
      </w:r>
      <w:r w:rsidRPr="00313E3D">
        <w:rPr>
          <w:rStyle w:val="Prompt"/>
          <w:color w:val="auto"/>
          <w:lang w:val="fr"/>
        </w:rPr>
        <w:t>[</w:t>
      </w:r>
      <w:r w:rsidRPr="00313E3D">
        <w:rPr>
          <w:rStyle w:val="Prompt"/>
          <w:i/>
          <w:iCs/>
          <w:color w:val="auto"/>
          <w:lang w:val="fr"/>
        </w:rPr>
        <w:t>montant</w:t>
      </w:r>
      <w:r w:rsidRPr="00313E3D">
        <w:rPr>
          <w:rStyle w:val="Prompt"/>
          <w:color w:val="auto"/>
          <w:lang w:val="fr"/>
        </w:rPr>
        <w:t xml:space="preserve">] $, </w:t>
      </w:r>
      <w:r w:rsidRPr="00313E3D">
        <w:rPr>
          <w:lang w:val="fr"/>
        </w:rPr>
        <w:t>ce qui comprend les intérêts et les taxes applicables, sont justes et raisonnables, et sont par la présente approuvés</w:t>
      </w:r>
      <w:r>
        <w:rPr>
          <w:lang w:val="fr"/>
        </w:rPr>
        <w:t>.</w:t>
      </w:r>
    </w:p>
    <w:p w14:paraId="11EDE00D" w14:textId="733B7C01" w:rsidR="00E210CB" w:rsidRPr="009A017B" w:rsidRDefault="00313E3D" w:rsidP="00E210CB">
      <w:pPr>
        <w:pStyle w:val="ListParagraph"/>
        <w:numPr>
          <w:ilvl w:val="0"/>
          <w:numId w:val="4"/>
        </w:numPr>
        <w:spacing w:before="240"/>
        <w:ind w:left="360"/>
        <w:contextualSpacing w:val="0"/>
        <w:jc w:val="both"/>
        <w:rPr>
          <w:lang w:val="fr-CA"/>
        </w:rPr>
      </w:pPr>
      <w:r>
        <w:rPr>
          <w:b/>
          <w:bCs/>
          <w:lang w:val="fr"/>
        </w:rPr>
        <w:t>LE TRIBUNAL ORDONNE</w:t>
      </w:r>
      <w:r>
        <w:rPr>
          <w:lang w:val="fr"/>
        </w:rPr>
        <w:t xml:space="preserve"> que les honoraires, les débours, les intérêts et les taxes applicables dus à l’avocat(e) du recours collectif, tels qu’ils sont établis au paragraphe 3 de la présente ordonnance, soient payés [à partir du fonds de transaction]/[par le(s) défendeur(s) partie(s) au règlement].</w:t>
      </w:r>
    </w:p>
    <w:p w14:paraId="2EDE8489" w14:textId="2099189D" w:rsidR="00E210CB" w:rsidRPr="009A017B" w:rsidRDefault="00313E3D" w:rsidP="00E210CB">
      <w:pPr>
        <w:pStyle w:val="ListParagraph"/>
        <w:numPr>
          <w:ilvl w:val="0"/>
          <w:numId w:val="4"/>
        </w:numPr>
        <w:spacing w:before="240"/>
        <w:ind w:left="360"/>
        <w:contextualSpacing w:val="0"/>
        <w:jc w:val="both"/>
        <w:rPr>
          <w:lang w:val="fr-CA"/>
        </w:rPr>
      </w:pPr>
      <w:r w:rsidRPr="00313E3D">
        <w:rPr>
          <w:lang w:val="fr"/>
        </w:rPr>
        <w:t>[*</w:t>
      </w:r>
      <w:r w:rsidRPr="00313E3D">
        <w:rPr>
          <w:i/>
          <w:iCs/>
          <w:lang w:val="fr"/>
        </w:rPr>
        <w:t>si approprié</w:t>
      </w:r>
      <w:r w:rsidRPr="00313E3D">
        <w:rPr>
          <w:lang w:val="fr"/>
        </w:rPr>
        <w:t>]</w:t>
      </w:r>
      <w:r>
        <w:rPr>
          <w:lang w:val="fr"/>
        </w:rPr>
        <w:t xml:space="preserve"> </w:t>
      </w:r>
      <w:r>
        <w:rPr>
          <w:b/>
          <w:bCs/>
          <w:lang w:val="fr"/>
        </w:rPr>
        <w:t>LE TRIBUNAL ORDONNE</w:t>
      </w:r>
      <w:r>
        <w:rPr>
          <w:lang w:val="fr"/>
        </w:rPr>
        <w:t xml:space="preserve"> que les honoraires et débours payables à l’avocat(e) du recours collectif, tels qu’ils sont établis au paragraphe 3 de la présente ordonnance, constituent une charge de premier rang sur le fonds de transaction en faveur de l’avocat(e) du recours collectif.</w:t>
      </w:r>
    </w:p>
    <w:p w14:paraId="1B5142D4" w14:textId="47942E51" w:rsidR="00E210CB" w:rsidRPr="009A017B" w:rsidRDefault="00313E3D" w:rsidP="00E210CB">
      <w:pPr>
        <w:pStyle w:val="ListParagraph"/>
        <w:numPr>
          <w:ilvl w:val="0"/>
          <w:numId w:val="4"/>
        </w:numPr>
        <w:spacing w:before="240"/>
        <w:ind w:left="360"/>
        <w:contextualSpacing w:val="0"/>
        <w:jc w:val="both"/>
        <w:rPr>
          <w:lang w:val="fr-CA"/>
        </w:rPr>
      </w:pPr>
      <w:r w:rsidRPr="00313E3D">
        <w:rPr>
          <w:lang w:val="fr"/>
        </w:rPr>
        <w:t>[*</w:t>
      </w:r>
      <w:r w:rsidRPr="00313E3D">
        <w:rPr>
          <w:i/>
          <w:iCs/>
          <w:lang w:val="fr"/>
        </w:rPr>
        <w:t>si approprié</w:t>
      </w:r>
      <w:r w:rsidRPr="00313E3D">
        <w:rPr>
          <w:lang w:val="fr"/>
        </w:rPr>
        <w:t>]</w:t>
      </w:r>
      <w:r>
        <w:rPr>
          <w:b/>
          <w:bCs/>
          <w:lang w:val="fr"/>
        </w:rPr>
        <w:t xml:space="preserve"> LE TRIBUNAL ORDONNE</w:t>
      </w:r>
      <w:r>
        <w:rPr>
          <w:lang w:val="fr"/>
        </w:rPr>
        <w:t xml:space="preserve"> que chaque demandeur reçoive un paiement de [</w:t>
      </w:r>
      <w:r>
        <w:rPr>
          <w:i/>
          <w:iCs/>
          <w:lang w:val="fr"/>
        </w:rPr>
        <w:t>montant</w:t>
      </w:r>
      <w:r>
        <w:rPr>
          <w:lang w:val="fr"/>
        </w:rPr>
        <w:t>] $ pour sa contribution au recours collectif dans son ensemble, et que ce montant soit [prélevé sur le fonds de transaction]/[payé par les défendeurs]/[payé par l’avocat(e) du recours collectif à partir des honoraires établis au paragraphe 3 de la présente ordonnance].</w:t>
      </w:r>
    </w:p>
    <w:p w14:paraId="4922439E" w14:textId="0AC2A5F7" w:rsidR="00E30699" w:rsidRPr="009A017B" w:rsidRDefault="00313E3D" w:rsidP="00E210CB">
      <w:pPr>
        <w:pStyle w:val="ListParagraph"/>
        <w:numPr>
          <w:ilvl w:val="0"/>
          <w:numId w:val="4"/>
        </w:numPr>
        <w:spacing w:before="240"/>
        <w:ind w:left="360"/>
        <w:contextualSpacing w:val="0"/>
        <w:jc w:val="both"/>
        <w:rPr>
          <w:lang w:val="fr-CA"/>
        </w:rPr>
      </w:pPr>
      <w:r w:rsidRPr="00313E3D">
        <w:rPr>
          <w:lang w:val="fr"/>
        </w:rPr>
        <w:t>[*</w:t>
      </w:r>
      <w:r w:rsidRPr="00313E3D">
        <w:rPr>
          <w:i/>
          <w:iCs/>
          <w:lang w:val="fr"/>
        </w:rPr>
        <w:t>si approprié</w:t>
      </w:r>
      <w:r w:rsidRPr="00313E3D">
        <w:rPr>
          <w:lang w:val="fr"/>
        </w:rPr>
        <w:t>]</w:t>
      </w:r>
      <w:r>
        <w:rPr>
          <w:b/>
          <w:bCs/>
          <w:lang w:val="fr"/>
        </w:rPr>
        <w:t xml:space="preserve"> LE TRIBUNAL ORDONNE</w:t>
      </w:r>
      <w:r>
        <w:rPr>
          <w:lang w:val="fr"/>
        </w:rPr>
        <w:t xml:space="preserve"> que le Fonds d’aide aux recours collectifs de la Fondation du droit de l’Ontario (le « Fonds ») reçoive un prélèvement correspondant à 10 % du montant net adjugé et auquel ont droit un ou plusieurs membres du groupe (le « </w:t>
      </w:r>
      <w:r>
        <w:rPr>
          <w:b/>
          <w:bCs/>
          <w:lang w:val="fr"/>
        </w:rPr>
        <w:t>prélèvement</w:t>
      </w:r>
      <w:r>
        <w:rPr>
          <w:lang w:val="fr"/>
        </w:rPr>
        <w:t> »)</w:t>
      </w:r>
      <w:r>
        <w:rPr>
          <w:rStyle w:val="FootnoteReference"/>
          <w:lang w:val="fr"/>
        </w:rPr>
        <w:footnoteReference w:id="2"/>
      </w:r>
      <w:r>
        <w:rPr>
          <w:lang w:val="fr"/>
        </w:rPr>
        <w:t xml:space="preserve">, plus le montant de toute aide financière versée au demandeur en vertu de l’art. 59.3 de la </w:t>
      </w:r>
      <w:r>
        <w:rPr>
          <w:i/>
          <w:iCs/>
          <w:lang w:val="fr"/>
        </w:rPr>
        <w:t>Loi sur le Barreau</w:t>
      </w:r>
      <w:r>
        <w:rPr>
          <w:lang w:val="fr"/>
        </w:rPr>
        <w:t xml:space="preserve">, L.R.O. 1990, chap. </w:t>
      </w:r>
      <w:r>
        <w:rPr>
          <w:lang w:val="fr"/>
        </w:rPr>
        <w:lastRenderedPageBreak/>
        <w:t>L.8 et</w:t>
      </w:r>
      <w:r>
        <w:rPr>
          <w:i/>
          <w:iCs/>
          <w:lang w:val="fr"/>
        </w:rPr>
        <w:t xml:space="preserve"> </w:t>
      </w:r>
      <w:r>
        <w:rPr>
          <w:lang w:val="fr"/>
        </w:rPr>
        <w:t>qui n’a pas été remboursé au Fonds, conformément au par. 10 (3) du Règl. de l’Ont. 771/92 (« </w:t>
      </w:r>
      <w:r>
        <w:rPr>
          <w:b/>
          <w:bCs/>
          <w:lang w:val="fr"/>
        </w:rPr>
        <w:t>aide financière non remboursée</w:t>
      </w:r>
      <w:r>
        <w:rPr>
          <w:lang w:val="fr"/>
        </w:rPr>
        <w:t> »).</w:t>
      </w:r>
      <w:r>
        <w:rPr>
          <w:rStyle w:val="FootnoteReference"/>
          <w:lang w:val="fr"/>
        </w:rPr>
        <w:footnoteReference w:id="3"/>
      </w:r>
      <w:r>
        <w:rPr>
          <w:lang w:val="fr"/>
        </w:rPr>
        <w:t xml:space="preserve"> Il est entendu que le Fonds a droit à un paiement de :</w:t>
      </w:r>
    </w:p>
    <w:p w14:paraId="19C51B20" w14:textId="0009107D" w:rsidR="002564DF" w:rsidRPr="00313E3D" w:rsidRDefault="00313E3D" w:rsidP="002564DF">
      <w:pPr>
        <w:pStyle w:val="ListParagraph"/>
        <w:numPr>
          <w:ilvl w:val="1"/>
          <w:numId w:val="4"/>
        </w:numPr>
        <w:spacing w:before="240"/>
        <w:contextualSpacing w:val="0"/>
        <w:jc w:val="both"/>
        <w:rPr>
          <w:lang w:val="fr-CA"/>
        </w:rPr>
      </w:pPr>
      <w:r w:rsidRPr="00313E3D">
        <w:rPr>
          <w:rStyle w:val="Prompt"/>
          <w:color w:val="auto"/>
          <w:lang w:val="fr"/>
        </w:rPr>
        <w:t>[</w:t>
      </w:r>
      <w:r w:rsidRPr="00313E3D">
        <w:rPr>
          <w:rStyle w:val="Prompt"/>
          <w:i/>
          <w:iCs/>
          <w:color w:val="auto"/>
          <w:lang w:val="fr"/>
        </w:rPr>
        <w:t>montant</w:t>
      </w:r>
      <w:r w:rsidRPr="00313E3D">
        <w:rPr>
          <w:rStyle w:val="Prompt"/>
          <w:color w:val="auto"/>
          <w:lang w:val="fr"/>
        </w:rPr>
        <w:t xml:space="preserve">] $ du fonds de transaction pour </w:t>
      </w:r>
      <w:r w:rsidRPr="00313E3D">
        <w:rPr>
          <w:lang w:val="fr"/>
        </w:rPr>
        <w:t>l’aide financière non remboursée [à ce jour];</w:t>
      </w:r>
    </w:p>
    <w:p w14:paraId="4BB499E5" w14:textId="625C2A77" w:rsidR="002564DF" w:rsidRPr="009A017B" w:rsidRDefault="00313E3D" w:rsidP="002564DF">
      <w:pPr>
        <w:pStyle w:val="ListParagraph"/>
        <w:numPr>
          <w:ilvl w:val="1"/>
          <w:numId w:val="4"/>
        </w:numPr>
        <w:spacing w:before="120"/>
        <w:contextualSpacing w:val="0"/>
        <w:jc w:val="both"/>
        <w:rPr>
          <w:lang w:val="fr-CA"/>
        </w:rPr>
      </w:pPr>
      <w:r>
        <w:rPr>
          <w:lang w:val="fr"/>
        </w:rPr>
        <w:t>[</w:t>
      </w:r>
      <w:r>
        <w:rPr>
          <w:i/>
          <w:iCs/>
          <w:lang w:val="fr"/>
        </w:rPr>
        <w:t>montant</w:t>
      </w:r>
      <w:r>
        <w:rPr>
          <w:lang w:val="fr"/>
        </w:rPr>
        <w:t>] $ du fonds de transaction à titre de prélèvement.</w:t>
      </w:r>
    </w:p>
    <w:p w14:paraId="79FE3F73" w14:textId="0DC307AF" w:rsidR="002564DF" w:rsidRPr="009A017B" w:rsidRDefault="00313E3D" w:rsidP="002564DF">
      <w:pPr>
        <w:pStyle w:val="ListParagraph"/>
        <w:numPr>
          <w:ilvl w:val="0"/>
          <w:numId w:val="4"/>
        </w:numPr>
        <w:spacing w:before="240"/>
        <w:ind w:left="360"/>
        <w:contextualSpacing w:val="0"/>
        <w:jc w:val="both"/>
        <w:rPr>
          <w:lang w:val="fr-CA"/>
        </w:rPr>
      </w:pPr>
      <w:r w:rsidRPr="00313E3D">
        <w:rPr>
          <w:lang w:val="fr"/>
        </w:rPr>
        <w:t>[*</w:t>
      </w:r>
      <w:r w:rsidRPr="00313E3D">
        <w:rPr>
          <w:i/>
          <w:iCs/>
          <w:lang w:val="fr"/>
        </w:rPr>
        <w:t>si approprié</w:t>
      </w:r>
      <w:r w:rsidRPr="00313E3D">
        <w:rPr>
          <w:lang w:val="fr"/>
        </w:rPr>
        <w:t>]</w:t>
      </w:r>
      <w:r>
        <w:rPr>
          <w:b/>
          <w:bCs/>
          <w:lang w:val="fr"/>
        </w:rPr>
        <w:t xml:space="preserve"> LE TRIBUNAL ORDONNE </w:t>
      </w:r>
      <w:r>
        <w:rPr>
          <w:lang w:val="fr"/>
        </w:rPr>
        <w:t>qu’aucun montant ne soit distribué aux membres du recours collectif tant que la Fondation du droit de l’Ontario n’a pas eu l’occasion d’examiner et de confirmer le calcul de la cotisation prévue au paragraphe 7.</w:t>
      </w:r>
      <w:r>
        <w:rPr>
          <w:rStyle w:val="FootnoteReference"/>
          <w:lang w:val="fr"/>
        </w:rPr>
        <w:footnoteReference w:id="4"/>
      </w:r>
      <w:r>
        <w:rPr>
          <w:lang w:val="fr"/>
        </w:rPr>
        <w:t xml:space="preserve"> En cas de différend ou d’une question concernant le calcul du prélèvement destiné au Fonds, l’avocat(e) du recours collectif et l’avocat(e) du Fonds organiseront une comparution devant le juge chargé de la gestion de la cause pour résoudre les points en litige [et qu’en attendant cette comparution, aucun montant ne soit distribué aux membres du recours collectif].</w:t>
      </w:r>
    </w:p>
    <w:p w14:paraId="07C95D73" w14:textId="7B126E59" w:rsidR="002564DF" w:rsidRPr="00313E3D" w:rsidRDefault="00313E3D" w:rsidP="002564DF">
      <w:pPr>
        <w:pStyle w:val="ListParagraph"/>
        <w:numPr>
          <w:ilvl w:val="0"/>
          <w:numId w:val="4"/>
        </w:numPr>
        <w:spacing w:before="240"/>
        <w:ind w:left="360"/>
        <w:contextualSpacing w:val="0"/>
        <w:jc w:val="both"/>
        <w:rPr>
          <w:lang w:val="fr-CA"/>
        </w:rPr>
      </w:pPr>
      <w:r w:rsidRPr="00313E3D">
        <w:rPr>
          <w:lang w:val="fr"/>
        </w:rPr>
        <w:t>[*</w:t>
      </w:r>
      <w:r w:rsidRPr="00313E3D">
        <w:rPr>
          <w:i/>
          <w:iCs/>
          <w:lang w:val="fr"/>
        </w:rPr>
        <w:t>si approprié</w:t>
      </w:r>
      <w:r w:rsidRPr="00313E3D">
        <w:rPr>
          <w:lang w:val="fr"/>
        </w:rPr>
        <w:t>]</w:t>
      </w:r>
      <w:r w:rsidRPr="00313E3D">
        <w:rPr>
          <w:b/>
          <w:bCs/>
          <w:lang w:val="fr"/>
        </w:rPr>
        <w:t xml:space="preserve"> LE TRIBUNAL ADJUGE</w:t>
      </w:r>
      <w:r w:rsidRPr="00313E3D">
        <w:rPr>
          <w:lang w:val="fr"/>
        </w:rPr>
        <w:t xml:space="preserve"> </w:t>
      </w:r>
      <w:r w:rsidRPr="00313E3D">
        <w:rPr>
          <w:rStyle w:val="Prompt"/>
          <w:color w:val="auto"/>
          <w:lang w:val="fr"/>
        </w:rPr>
        <w:t>[</w:t>
      </w:r>
      <w:r w:rsidRPr="00313E3D">
        <w:rPr>
          <w:rStyle w:val="Prompt"/>
          <w:i/>
          <w:iCs/>
          <w:color w:val="auto"/>
          <w:lang w:val="fr"/>
        </w:rPr>
        <w:t>montant</w:t>
      </w:r>
      <w:r w:rsidRPr="00313E3D">
        <w:rPr>
          <w:lang w:val="fr"/>
        </w:rPr>
        <w:t>] $ à la [</w:t>
      </w:r>
      <w:r w:rsidRPr="00313E3D">
        <w:rPr>
          <w:i/>
          <w:iCs/>
          <w:lang w:val="fr"/>
        </w:rPr>
        <w:t>tierce partie agissant comme bailleur de fonds du litige</w:t>
      </w:r>
      <w:r w:rsidRPr="00313E3D">
        <w:rPr>
          <w:lang w:val="fr"/>
        </w:rPr>
        <w:t>], comme le prévoit l’accord de financement conclu le [</w:t>
      </w:r>
      <w:r w:rsidRPr="00313E3D">
        <w:rPr>
          <w:i/>
          <w:iCs/>
          <w:lang w:val="fr"/>
        </w:rPr>
        <w:t>date</w:t>
      </w:r>
      <w:r w:rsidRPr="00313E3D">
        <w:rPr>
          <w:lang w:val="fr"/>
        </w:rPr>
        <w:t>] pour ce litige.</w:t>
      </w:r>
    </w:p>
    <w:p w14:paraId="53BE8AD0" w14:textId="77777777" w:rsidR="00574273" w:rsidRDefault="00574273" w:rsidP="0008363D">
      <w:pPr>
        <w:spacing w:after="360"/>
        <w:rPr>
          <w:lang w:val="fr-CA"/>
        </w:rPr>
        <w:sectPr w:rsidR="00574273" w:rsidSect="00F95600">
          <w:type w:val="continuous"/>
          <w:pgSz w:w="12240" w:h="15840"/>
          <w:pgMar w:top="630" w:right="540" w:bottom="810" w:left="540" w:header="540" w:footer="288" w:gutter="0"/>
          <w:cols w:space="708"/>
          <w:docGrid w:linePitch="360"/>
        </w:sectPr>
      </w:pPr>
    </w:p>
    <w:p w14:paraId="009FD64F" w14:textId="07FB6E2E" w:rsidR="00552408" w:rsidRPr="009A017B" w:rsidRDefault="00552408" w:rsidP="0008363D">
      <w:pPr>
        <w:spacing w:after="360"/>
        <w:rPr>
          <w:lang w:val="fr-CA"/>
        </w:rPr>
      </w:pPr>
    </w:p>
    <w:tbl>
      <w:tblPr>
        <w:tblStyle w:val="TableGrid"/>
        <w:tblW w:w="0" w:type="auto"/>
        <w:tblCellMar>
          <w:left w:w="58" w:type="dxa"/>
          <w:right w:w="58" w:type="dxa"/>
        </w:tblCellMar>
        <w:tblLook w:val="04A0" w:firstRow="1" w:lastRow="0" w:firstColumn="1" w:lastColumn="0" w:noHBand="0" w:noVBand="1"/>
      </w:tblPr>
      <w:tblGrid>
        <w:gridCol w:w="4378"/>
        <w:gridCol w:w="212"/>
        <w:gridCol w:w="6560"/>
      </w:tblGrid>
      <w:tr w:rsidR="002564DF" w:rsidRPr="009A017B" w14:paraId="36669385" w14:textId="77777777" w:rsidTr="002564DF">
        <w:trPr>
          <w:trHeight w:val="359"/>
        </w:trPr>
        <w:tc>
          <w:tcPr>
            <w:tcW w:w="4378" w:type="dxa"/>
            <w:tcBorders>
              <w:top w:val="nil"/>
              <w:left w:val="nil"/>
              <w:bottom w:val="nil"/>
              <w:right w:val="nil"/>
            </w:tcBorders>
            <w:vAlign w:val="center"/>
          </w:tcPr>
          <w:p w14:paraId="08DB52C6" w14:textId="2A2961C2" w:rsidR="002564DF" w:rsidRPr="009A017B" w:rsidRDefault="002564DF" w:rsidP="002564DF">
            <w:pPr>
              <w:spacing w:line="240" w:lineRule="auto"/>
              <w:rPr>
                <w:lang w:val="fr-CA"/>
              </w:rPr>
            </w:pPr>
            <w:r w:rsidRPr="009A017B">
              <w:rPr>
                <w:lang w:val="fr-CA"/>
              </w:rPr>
              <w:t>Date</w:t>
            </w:r>
            <w:r w:rsidR="00912B6E">
              <w:rPr>
                <w:lang w:val="fr-CA"/>
              </w:rPr>
              <w:t> :</w:t>
            </w:r>
            <w:r w:rsidRPr="009A017B">
              <w:rPr>
                <w:lang w:val="fr-CA"/>
              </w:rPr>
              <w:t xml:space="preserve"> </w:t>
            </w:r>
          </w:p>
        </w:tc>
        <w:tc>
          <w:tcPr>
            <w:tcW w:w="212" w:type="dxa"/>
            <w:tcBorders>
              <w:top w:val="nil"/>
              <w:left w:val="nil"/>
              <w:bottom w:val="nil"/>
              <w:right w:val="nil"/>
            </w:tcBorders>
            <w:vAlign w:val="center"/>
          </w:tcPr>
          <w:p w14:paraId="6C3E28B8" w14:textId="4263C723" w:rsidR="002564DF" w:rsidRPr="009A017B" w:rsidRDefault="002564DF" w:rsidP="002564DF">
            <w:pPr>
              <w:spacing w:line="240" w:lineRule="auto"/>
              <w:jc w:val="left"/>
              <w:rPr>
                <w:lang w:val="fr-CA"/>
              </w:rPr>
            </w:pPr>
          </w:p>
        </w:tc>
        <w:tc>
          <w:tcPr>
            <w:tcW w:w="6560" w:type="dxa"/>
            <w:tcBorders>
              <w:top w:val="nil"/>
              <w:left w:val="nil"/>
              <w:bottom w:val="single" w:sz="4" w:space="0" w:color="auto"/>
              <w:right w:val="nil"/>
            </w:tcBorders>
          </w:tcPr>
          <w:p w14:paraId="27AD1760" w14:textId="77777777" w:rsidR="002564DF" w:rsidRPr="009A017B" w:rsidRDefault="002564DF" w:rsidP="0008363D">
            <w:pPr>
              <w:spacing w:line="240" w:lineRule="auto"/>
              <w:rPr>
                <w:lang w:val="fr-CA"/>
              </w:rPr>
            </w:pPr>
          </w:p>
        </w:tc>
      </w:tr>
      <w:tr w:rsidR="002564DF" w:rsidRPr="007D527B" w14:paraId="035F280E" w14:textId="77777777" w:rsidTr="002564DF">
        <w:trPr>
          <w:trHeight w:val="359"/>
        </w:trPr>
        <w:tc>
          <w:tcPr>
            <w:tcW w:w="4378" w:type="dxa"/>
            <w:tcBorders>
              <w:top w:val="nil"/>
              <w:left w:val="nil"/>
              <w:bottom w:val="nil"/>
              <w:right w:val="nil"/>
            </w:tcBorders>
            <w:vAlign w:val="center"/>
          </w:tcPr>
          <w:p w14:paraId="19007A62" w14:textId="77777777" w:rsidR="002564DF" w:rsidRPr="009A017B" w:rsidRDefault="002564DF" w:rsidP="002564DF">
            <w:pPr>
              <w:spacing w:line="240" w:lineRule="auto"/>
              <w:rPr>
                <w:lang w:val="fr-CA"/>
              </w:rPr>
            </w:pPr>
          </w:p>
        </w:tc>
        <w:tc>
          <w:tcPr>
            <w:tcW w:w="212" w:type="dxa"/>
            <w:tcBorders>
              <w:top w:val="nil"/>
              <w:left w:val="nil"/>
              <w:bottom w:val="nil"/>
              <w:right w:val="nil"/>
            </w:tcBorders>
            <w:vAlign w:val="center"/>
          </w:tcPr>
          <w:p w14:paraId="1D22EFA5" w14:textId="46612CCC" w:rsidR="002564DF" w:rsidRPr="009A017B" w:rsidRDefault="002564DF" w:rsidP="002564DF">
            <w:pPr>
              <w:spacing w:line="240" w:lineRule="auto"/>
              <w:rPr>
                <w:lang w:val="fr-CA"/>
              </w:rPr>
            </w:pPr>
          </w:p>
        </w:tc>
        <w:tc>
          <w:tcPr>
            <w:tcW w:w="6560" w:type="dxa"/>
            <w:tcBorders>
              <w:left w:val="nil"/>
              <w:bottom w:val="nil"/>
              <w:right w:val="nil"/>
            </w:tcBorders>
          </w:tcPr>
          <w:p w14:paraId="60504B21" w14:textId="4DB101E8" w:rsidR="002564DF" w:rsidRPr="009A017B" w:rsidRDefault="00912B6E" w:rsidP="002564DF">
            <w:pPr>
              <w:spacing w:line="240" w:lineRule="auto"/>
              <w:jc w:val="center"/>
              <w:rPr>
                <w:lang w:val="fr-CA"/>
              </w:rPr>
            </w:pPr>
            <w:r>
              <w:rPr>
                <w:lang w:val="fr"/>
              </w:rPr>
              <w:t xml:space="preserve">L’HONORABLE JUGE </w:t>
            </w:r>
            <w:r w:rsidR="00F52CF2" w:rsidRPr="00F52CF2">
              <w:rPr>
                <w:rFonts w:eastAsia="Arial" w:cstheme="minorHAnsi"/>
                <w:bCs/>
                <w:lang w:val="fr-CA"/>
              </w:rPr>
              <w:t>[NOM DE FAMILLE]</w:t>
            </w:r>
          </w:p>
        </w:tc>
      </w:tr>
    </w:tbl>
    <w:p w14:paraId="2B28FD9A" w14:textId="5E95BAE9" w:rsidR="00552408" w:rsidRPr="009A017B" w:rsidRDefault="00552408" w:rsidP="007C2D36">
      <w:pPr>
        <w:rPr>
          <w:lang w:val="fr-CA"/>
        </w:rPr>
      </w:pPr>
    </w:p>
    <w:p w14:paraId="3A2F73FB" w14:textId="77777777" w:rsidR="0008363D" w:rsidRPr="009A017B" w:rsidRDefault="0008363D" w:rsidP="007C2D36">
      <w:pPr>
        <w:rPr>
          <w:lang w:val="fr-CA"/>
        </w:rPr>
        <w:sectPr w:rsidR="0008363D" w:rsidRPr="009A017B" w:rsidSect="00574273">
          <w:type w:val="continuous"/>
          <w:pgSz w:w="12240" w:h="15840"/>
          <w:pgMar w:top="630" w:right="540" w:bottom="540" w:left="540" w:header="540" w:footer="288" w:gutter="0"/>
          <w:cols w:space="708"/>
          <w:docGrid w:linePitch="360"/>
        </w:sectPr>
      </w:pPr>
    </w:p>
    <w:tbl>
      <w:tblPr>
        <w:tblStyle w:val="TableGrid"/>
        <w:tblpPr w:leftFromText="180" w:rightFromText="180" w:vertAnchor="text" w:tblpY="1"/>
        <w:tblOverlap w:val="never"/>
        <w:tblW w:w="5035" w:type="pct"/>
        <w:tblCellMar>
          <w:left w:w="58" w:type="dxa"/>
          <w:right w:w="58" w:type="dxa"/>
        </w:tblCellMar>
        <w:tblLook w:val="04A0" w:firstRow="1" w:lastRow="0" w:firstColumn="1" w:lastColumn="0" w:noHBand="0" w:noVBand="1"/>
      </w:tblPr>
      <w:tblGrid>
        <w:gridCol w:w="5155"/>
        <w:gridCol w:w="1244"/>
        <w:gridCol w:w="2503"/>
        <w:gridCol w:w="2653"/>
        <w:gridCol w:w="148"/>
        <w:gridCol w:w="3070"/>
      </w:tblGrid>
      <w:tr w:rsidR="00D650CD" w:rsidRPr="009A017B" w14:paraId="2E184BC2" w14:textId="77777777" w:rsidTr="00D650CD">
        <w:tc>
          <w:tcPr>
            <w:tcW w:w="1745" w:type="pct"/>
            <w:tcBorders>
              <w:top w:val="nil"/>
              <w:left w:val="nil"/>
              <w:bottom w:val="dotted" w:sz="4" w:space="0" w:color="auto"/>
              <w:right w:val="nil"/>
            </w:tcBorders>
            <w:shd w:val="clear" w:color="auto" w:fill="auto"/>
            <w:vAlign w:val="bottom"/>
          </w:tcPr>
          <w:p w14:paraId="114746B3" w14:textId="6D7F7B78" w:rsidR="00D650CD" w:rsidRPr="009A017B" w:rsidRDefault="00D650CD" w:rsidP="00D650CD">
            <w:pPr>
              <w:spacing w:line="240" w:lineRule="auto"/>
              <w:jc w:val="left"/>
              <w:rPr>
                <w:lang w:val="fr-CA"/>
              </w:rPr>
            </w:pPr>
          </w:p>
        </w:tc>
        <w:tc>
          <w:tcPr>
            <w:tcW w:w="421" w:type="pct"/>
            <w:tcBorders>
              <w:top w:val="nil"/>
              <w:left w:val="nil"/>
              <w:bottom w:val="nil"/>
              <w:right w:val="nil"/>
            </w:tcBorders>
            <w:shd w:val="clear" w:color="auto" w:fill="auto"/>
            <w:vAlign w:val="bottom"/>
          </w:tcPr>
          <w:p w14:paraId="76700A3B" w14:textId="437B9B50" w:rsidR="00D650CD" w:rsidRPr="009A017B" w:rsidRDefault="00D650CD" w:rsidP="00D650CD">
            <w:pPr>
              <w:spacing w:line="240" w:lineRule="auto"/>
              <w:jc w:val="center"/>
              <w:rPr>
                <w:lang w:val="fr-CA"/>
              </w:rPr>
            </w:pPr>
            <w:r w:rsidRPr="009A017B">
              <w:rPr>
                <w:lang w:val="fr-CA"/>
              </w:rPr>
              <w:t>- and -</w:t>
            </w:r>
          </w:p>
        </w:tc>
        <w:tc>
          <w:tcPr>
            <w:tcW w:w="1745" w:type="pct"/>
            <w:gridSpan w:val="2"/>
            <w:tcBorders>
              <w:top w:val="nil"/>
              <w:left w:val="nil"/>
              <w:bottom w:val="dotted" w:sz="4" w:space="0" w:color="auto"/>
              <w:right w:val="nil"/>
            </w:tcBorders>
            <w:shd w:val="clear" w:color="auto" w:fill="auto"/>
            <w:vAlign w:val="bottom"/>
          </w:tcPr>
          <w:p w14:paraId="38ADFD75" w14:textId="4EB089C1" w:rsidR="00D650CD" w:rsidRPr="009A017B" w:rsidRDefault="00D650CD" w:rsidP="00D650CD">
            <w:pPr>
              <w:spacing w:line="240" w:lineRule="auto"/>
              <w:jc w:val="left"/>
              <w:rPr>
                <w:lang w:val="fr-CA"/>
              </w:rPr>
            </w:pPr>
          </w:p>
        </w:tc>
        <w:tc>
          <w:tcPr>
            <w:tcW w:w="50" w:type="pct"/>
            <w:vMerge w:val="restart"/>
            <w:tcBorders>
              <w:top w:val="nil"/>
              <w:left w:val="nil"/>
              <w:right w:val="nil"/>
            </w:tcBorders>
            <w:shd w:val="clear" w:color="auto" w:fill="auto"/>
            <w:vAlign w:val="bottom"/>
          </w:tcPr>
          <w:p w14:paraId="3D9BFB9E" w14:textId="12B1C92D" w:rsidR="00D650CD" w:rsidRPr="009A017B" w:rsidRDefault="00D650CD" w:rsidP="00D650CD">
            <w:pPr>
              <w:spacing w:line="240" w:lineRule="auto"/>
              <w:jc w:val="left"/>
              <w:rPr>
                <w:lang w:val="fr-CA"/>
              </w:rPr>
            </w:pPr>
          </w:p>
        </w:tc>
        <w:tc>
          <w:tcPr>
            <w:tcW w:w="1039" w:type="pct"/>
            <w:tcBorders>
              <w:top w:val="nil"/>
              <w:left w:val="nil"/>
              <w:bottom w:val="dotted" w:sz="4" w:space="0" w:color="auto"/>
              <w:right w:val="nil"/>
            </w:tcBorders>
            <w:shd w:val="clear" w:color="auto" w:fill="auto"/>
            <w:vAlign w:val="bottom"/>
          </w:tcPr>
          <w:p w14:paraId="2410A861" w14:textId="583B141D" w:rsidR="00D650CD" w:rsidRPr="009A017B" w:rsidRDefault="00AA5BE4" w:rsidP="00D650CD">
            <w:pPr>
              <w:pStyle w:val="TableCells"/>
              <w:jc w:val="center"/>
              <w:rPr>
                <w:lang w:val="fr-CA"/>
              </w:rPr>
            </w:pPr>
            <w:r>
              <w:rPr>
                <w:sz w:val="22"/>
                <w:lang w:val="fr-CA"/>
              </w:rPr>
              <w:t>CV-</w:t>
            </w:r>
            <w:r w:rsidR="00F52CF2">
              <w:rPr>
                <w:sz w:val="22"/>
                <w:lang w:val="fr-CA"/>
              </w:rPr>
              <w:t>[#]</w:t>
            </w:r>
            <w:r>
              <w:rPr>
                <w:sz w:val="22"/>
                <w:lang w:val="fr-CA"/>
              </w:rPr>
              <w:t>-00CP</w:t>
            </w:r>
          </w:p>
        </w:tc>
      </w:tr>
      <w:tr w:rsidR="00D650CD" w:rsidRPr="007D527B" w14:paraId="37118B0A" w14:textId="77777777" w:rsidTr="00D650CD">
        <w:tc>
          <w:tcPr>
            <w:tcW w:w="1745" w:type="pct"/>
            <w:tcBorders>
              <w:top w:val="dotted" w:sz="4" w:space="0" w:color="auto"/>
              <w:left w:val="nil"/>
              <w:right w:val="nil"/>
            </w:tcBorders>
            <w:shd w:val="clear" w:color="auto" w:fill="auto"/>
          </w:tcPr>
          <w:p w14:paraId="78853BC1" w14:textId="0D479711" w:rsidR="00D650CD" w:rsidRPr="009A017B" w:rsidRDefault="00912B6E" w:rsidP="00D650CD">
            <w:pPr>
              <w:spacing w:line="240" w:lineRule="auto"/>
              <w:rPr>
                <w:lang w:val="fr-CA"/>
              </w:rPr>
            </w:pPr>
            <w:r>
              <w:rPr>
                <w:lang w:val="fr"/>
              </w:rPr>
              <w:t>Demandeurs</w:t>
            </w:r>
          </w:p>
        </w:tc>
        <w:tc>
          <w:tcPr>
            <w:tcW w:w="421" w:type="pct"/>
            <w:tcBorders>
              <w:top w:val="nil"/>
              <w:left w:val="nil"/>
              <w:right w:val="nil"/>
            </w:tcBorders>
            <w:shd w:val="clear" w:color="auto" w:fill="auto"/>
          </w:tcPr>
          <w:p w14:paraId="2A525FAA" w14:textId="77777777" w:rsidR="00D650CD" w:rsidRPr="009A017B" w:rsidRDefault="00D650CD" w:rsidP="00D650CD">
            <w:pPr>
              <w:spacing w:line="240" w:lineRule="auto"/>
              <w:rPr>
                <w:lang w:val="fr-CA"/>
              </w:rPr>
            </w:pPr>
          </w:p>
        </w:tc>
        <w:tc>
          <w:tcPr>
            <w:tcW w:w="1745" w:type="pct"/>
            <w:gridSpan w:val="2"/>
            <w:tcBorders>
              <w:top w:val="dotted" w:sz="4" w:space="0" w:color="auto"/>
              <w:left w:val="nil"/>
              <w:right w:val="nil"/>
            </w:tcBorders>
            <w:shd w:val="clear" w:color="auto" w:fill="auto"/>
          </w:tcPr>
          <w:p w14:paraId="32DAE5E1" w14:textId="39C93CEE" w:rsidR="00D650CD" w:rsidRPr="009A017B" w:rsidRDefault="00912B6E" w:rsidP="00D650CD">
            <w:pPr>
              <w:spacing w:line="240" w:lineRule="auto"/>
              <w:rPr>
                <w:lang w:val="fr-CA"/>
              </w:rPr>
            </w:pPr>
            <w:r>
              <w:rPr>
                <w:lang w:val="fr"/>
              </w:rPr>
              <w:t>Défendeurs</w:t>
            </w:r>
          </w:p>
        </w:tc>
        <w:tc>
          <w:tcPr>
            <w:tcW w:w="50" w:type="pct"/>
            <w:vMerge/>
            <w:tcBorders>
              <w:left w:val="nil"/>
              <w:right w:val="nil"/>
            </w:tcBorders>
            <w:shd w:val="clear" w:color="auto" w:fill="auto"/>
          </w:tcPr>
          <w:p w14:paraId="1610C979" w14:textId="49A644B4" w:rsidR="00D650CD" w:rsidRPr="009A017B" w:rsidRDefault="00D650CD" w:rsidP="00D650CD">
            <w:pPr>
              <w:spacing w:line="240" w:lineRule="auto"/>
              <w:jc w:val="left"/>
              <w:rPr>
                <w:lang w:val="fr-CA"/>
              </w:rPr>
            </w:pPr>
          </w:p>
        </w:tc>
        <w:tc>
          <w:tcPr>
            <w:tcW w:w="1039" w:type="pct"/>
            <w:tcBorders>
              <w:top w:val="dotted" w:sz="4" w:space="0" w:color="auto"/>
              <w:left w:val="nil"/>
              <w:right w:val="nil"/>
            </w:tcBorders>
            <w:shd w:val="clear" w:color="auto" w:fill="auto"/>
          </w:tcPr>
          <w:p w14:paraId="1D0DD783" w14:textId="143E05CE" w:rsidR="00D650CD" w:rsidRPr="009A017B" w:rsidRDefault="00912B6E" w:rsidP="00D650CD">
            <w:pPr>
              <w:pStyle w:val="TableCells"/>
              <w:spacing w:after="240"/>
              <w:jc w:val="center"/>
              <w:rPr>
                <w:lang w:val="fr-CA"/>
              </w:rPr>
            </w:pPr>
            <w:r>
              <w:rPr>
                <w:snapToGrid w:val="0"/>
                <w:lang w:val="fr"/>
              </w:rPr>
              <w:t>N</w:t>
            </w:r>
            <w:r>
              <w:rPr>
                <w:snapToGrid w:val="0"/>
                <w:vertAlign w:val="superscript"/>
                <w:lang w:val="fr"/>
              </w:rPr>
              <w:t>o</w:t>
            </w:r>
            <w:r>
              <w:rPr>
                <w:snapToGrid w:val="0"/>
                <w:lang w:val="fr"/>
              </w:rPr>
              <w:t xml:space="preserve"> du dossier de la cour</w:t>
            </w:r>
          </w:p>
        </w:tc>
      </w:tr>
      <w:tr w:rsidR="006C0C56" w:rsidRPr="009A017B" w14:paraId="0B7EF186" w14:textId="77777777" w:rsidTr="006C0C56">
        <w:trPr>
          <w:trHeight w:val="374"/>
        </w:trPr>
        <w:tc>
          <w:tcPr>
            <w:tcW w:w="3013" w:type="pct"/>
            <w:gridSpan w:val="3"/>
            <w:vMerge w:val="restart"/>
            <w:tcBorders>
              <w:left w:val="nil"/>
              <w:bottom w:val="nil"/>
            </w:tcBorders>
            <w:vAlign w:val="center"/>
          </w:tcPr>
          <w:p w14:paraId="1F2FFE50" w14:textId="18F51D8C" w:rsidR="006C0C56" w:rsidRPr="009A017B" w:rsidRDefault="006C0C56" w:rsidP="00FE148B">
            <w:pPr>
              <w:pStyle w:val="TableCells"/>
              <w:jc w:val="left"/>
              <w:rPr>
                <w:sz w:val="22"/>
                <w:szCs w:val="22"/>
                <w:lang w:val="fr-CA"/>
              </w:rPr>
            </w:pPr>
          </w:p>
        </w:tc>
        <w:tc>
          <w:tcPr>
            <w:tcW w:w="1987" w:type="pct"/>
            <w:gridSpan w:val="3"/>
            <w:tcBorders>
              <w:bottom w:val="single" w:sz="18" w:space="0" w:color="auto"/>
              <w:right w:val="nil"/>
            </w:tcBorders>
          </w:tcPr>
          <w:p w14:paraId="5776A55D" w14:textId="77777777" w:rsidR="006C0C56" w:rsidRPr="009A017B" w:rsidRDefault="006C0C56" w:rsidP="00D650CD">
            <w:pPr>
              <w:spacing w:before="120"/>
              <w:jc w:val="center"/>
              <w:rPr>
                <w:rFonts w:eastAsiaTheme="minorEastAsia"/>
                <w:snapToGrid w:val="0"/>
                <w:lang w:val="fr-CA"/>
              </w:rPr>
            </w:pPr>
            <w:r w:rsidRPr="009A017B">
              <w:rPr>
                <w:rFonts w:eastAsiaTheme="minorEastAsia"/>
                <w:b/>
                <w:i/>
                <w:snapToGrid w:val="0"/>
                <w:lang w:val="fr-CA"/>
              </w:rPr>
              <w:t>ONTARIO</w:t>
            </w:r>
          </w:p>
          <w:p w14:paraId="7DB2D572" w14:textId="3FD74DD3" w:rsidR="006C0C56" w:rsidRPr="009A017B" w:rsidRDefault="00912B6E" w:rsidP="00D650CD">
            <w:pPr>
              <w:jc w:val="center"/>
              <w:rPr>
                <w:rFonts w:eastAsiaTheme="minorEastAsia"/>
                <w:caps/>
                <w:snapToGrid w:val="0"/>
                <w:lang w:val="fr-CA"/>
              </w:rPr>
            </w:pPr>
            <w:r>
              <w:rPr>
                <w:rFonts w:eastAsiaTheme="minorEastAsia"/>
                <w:b/>
                <w:bCs/>
                <w:caps/>
                <w:snapToGrid w:val="0"/>
                <w:lang w:val="fr"/>
              </w:rPr>
              <w:t>COUR SUPÉRIEURE DE JUSTICE</w:t>
            </w:r>
          </w:p>
          <w:p w14:paraId="50B36F7F" w14:textId="77777777" w:rsidR="006C0C56" w:rsidRPr="009A017B" w:rsidRDefault="006C0C56" w:rsidP="00D650CD">
            <w:pPr>
              <w:spacing w:line="240" w:lineRule="auto"/>
              <w:jc w:val="center"/>
              <w:rPr>
                <w:rFonts w:eastAsiaTheme="minorEastAsia"/>
                <w:iCs/>
                <w:snapToGrid w:val="0"/>
                <w:szCs w:val="18"/>
                <w:lang w:val="fr-CA"/>
              </w:rPr>
            </w:pPr>
          </w:p>
          <w:p w14:paraId="76C47C37" w14:textId="286DE009" w:rsidR="006C0C56" w:rsidRPr="009A017B" w:rsidRDefault="00912B6E" w:rsidP="00D650CD">
            <w:pPr>
              <w:jc w:val="center"/>
              <w:rPr>
                <w:rFonts w:eastAsiaTheme="minorEastAsia"/>
                <w:snapToGrid w:val="0"/>
                <w:lang w:val="fr-CA"/>
              </w:rPr>
            </w:pPr>
            <w:r>
              <w:rPr>
                <w:rFonts w:eastAsiaTheme="minorEastAsia"/>
                <w:snapToGrid w:val="0"/>
                <w:lang w:val="fr"/>
              </w:rPr>
              <w:t>INSTANCE INTRODUITE À</w:t>
            </w:r>
          </w:p>
          <w:p w14:paraId="0F3BFDA9" w14:textId="65A17EF6" w:rsidR="006C0C56" w:rsidRPr="009A017B" w:rsidRDefault="006C0C56" w:rsidP="00F52CF2">
            <w:pPr>
              <w:spacing w:before="120" w:after="120"/>
              <w:jc w:val="center"/>
              <w:rPr>
                <w:lang w:val="fr-CA"/>
              </w:rPr>
            </w:pPr>
          </w:p>
        </w:tc>
      </w:tr>
      <w:tr w:rsidR="006C0C56" w:rsidRPr="007D527B" w14:paraId="1B638A66" w14:textId="77777777" w:rsidTr="006C0C56">
        <w:trPr>
          <w:trHeight w:val="374"/>
        </w:trPr>
        <w:tc>
          <w:tcPr>
            <w:tcW w:w="3013" w:type="pct"/>
            <w:gridSpan w:val="3"/>
            <w:vMerge/>
            <w:tcBorders>
              <w:left w:val="nil"/>
              <w:bottom w:val="nil"/>
            </w:tcBorders>
            <w:vAlign w:val="center"/>
          </w:tcPr>
          <w:p w14:paraId="2C6A076B" w14:textId="306074A6" w:rsidR="006C0C56" w:rsidRPr="009A017B" w:rsidRDefault="006C0C56" w:rsidP="00FE148B">
            <w:pPr>
              <w:pStyle w:val="TableCells"/>
              <w:jc w:val="left"/>
              <w:rPr>
                <w:sz w:val="22"/>
                <w:szCs w:val="22"/>
                <w:lang w:val="fr-CA"/>
              </w:rPr>
            </w:pPr>
          </w:p>
        </w:tc>
        <w:tc>
          <w:tcPr>
            <w:tcW w:w="1987" w:type="pct"/>
            <w:gridSpan w:val="3"/>
            <w:tcBorders>
              <w:top w:val="single" w:sz="18" w:space="0" w:color="auto"/>
              <w:bottom w:val="single" w:sz="18" w:space="0" w:color="auto"/>
              <w:right w:val="nil"/>
            </w:tcBorders>
            <w:vAlign w:val="center"/>
          </w:tcPr>
          <w:p w14:paraId="4948B9DA" w14:textId="5D65F02B" w:rsidR="006C0C56" w:rsidRPr="00912B6E" w:rsidRDefault="006C0C56" w:rsidP="006C0C56">
            <w:pPr>
              <w:spacing w:before="120" w:line="240" w:lineRule="auto"/>
              <w:jc w:val="center"/>
              <w:rPr>
                <w:rFonts w:eastAsiaTheme="minorEastAsia"/>
                <w:b/>
                <w:caps/>
                <w:noProof/>
                <w:snapToGrid w:val="0"/>
                <w:lang w:val="fr-CA"/>
              </w:rPr>
            </w:pPr>
            <w:r w:rsidRPr="00912B6E">
              <w:rPr>
                <w:rFonts w:eastAsiaTheme="minorEastAsia"/>
                <w:b/>
                <w:caps/>
                <w:noProof/>
                <w:snapToGrid w:val="0"/>
                <w:lang w:val="fr-CA"/>
              </w:rPr>
              <w:t>ORD</w:t>
            </w:r>
            <w:r w:rsidR="00912B6E" w:rsidRPr="00912B6E">
              <w:rPr>
                <w:rFonts w:eastAsiaTheme="minorEastAsia"/>
                <w:b/>
                <w:caps/>
                <w:noProof/>
                <w:snapToGrid w:val="0"/>
                <w:lang w:val="fr-CA"/>
              </w:rPr>
              <w:t>ONNANCE</w:t>
            </w:r>
          </w:p>
          <w:p w14:paraId="7AAB5EDF" w14:textId="5A364F4C" w:rsidR="006C0C56" w:rsidRPr="00912B6E" w:rsidRDefault="006C0C56" w:rsidP="006C0C56">
            <w:pPr>
              <w:spacing w:after="120" w:line="240" w:lineRule="auto"/>
              <w:jc w:val="center"/>
              <w:rPr>
                <w:lang w:val="fr-CA"/>
              </w:rPr>
            </w:pPr>
            <w:r w:rsidRPr="00912B6E">
              <w:rPr>
                <w:rFonts w:eastAsiaTheme="minorEastAsia"/>
                <w:b/>
                <w:caps/>
                <w:noProof/>
                <w:snapToGrid w:val="0"/>
                <w:lang w:val="fr-CA"/>
              </w:rPr>
              <w:t>(</w:t>
            </w:r>
            <w:r w:rsidR="00912B6E" w:rsidRPr="00912B6E">
              <w:rPr>
                <w:rFonts w:eastAsiaTheme="minorEastAsia"/>
                <w:b/>
                <w:bCs/>
                <w:noProof/>
                <w:snapToGrid w:val="0"/>
                <w:lang w:val="fr"/>
              </w:rPr>
              <w:t>Motion pour l’approbation des honoraires de l’avocat(e) du recours collectif</w:t>
            </w:r>
            <w:r w:rsidR="00912B6E" w:rsidRPr="00912B6E">
              <w:rPr>
                <w:rFonts w:eastAsiaTheme="minorEastAsia"/>
                <w:b/>
                <w:caps/>
                <w:noProof/>
                <w:snapToGrid w:val="0"/>
                <w:lang w:val="fr-CA"/>
              </w:rPr>
              <w:t xml:space="preserve"> </w:t>
            </w:r>
            <w:r w:rsidRPr="00912B6E">
              <w:rPr>
                <w:rFonts w:eastAsiaTheme="minorEastAsia"/>
                <w:b/>
                <w:caps/>
                <w:noProof/>
                <w:snapToGrid w:val="0"/>
                <w:lang w:val="fr-CA"/>
              </w:rPr>
              <w:t>)</w:t>
            </w:r>
          </w:p>
        </w:tc>
      </w:tr>
    </w:tbl>
    <w:p w14:paraId="25DD7A41" w14:textId="48D7519E" w:rsidR="006C0C56" w:rsidRPr="00912B6E" w:rsidRDefault="006C0C56" w:rsidP="006C0C56">
      <w:pPr>
        <w:spacing w:line="240" w:lineRule="auto"/>
        <w:rPr>
          <w:sz w:val="4"/>
          <w:szCs w:val="4"/>
          <w:lang w:val="fr-CA"/>
        </w:rPr>
      </w:pPr>
    </w:p>
    <w:p w14:paraId="1B9B2ED6" w14:textId="77777777" w:rsidR="006C0C56" w:rsidRPr="00912B6E" w:rsidRDefault="006C0C56" w:rsidP="006C0C56">
      <w:pPr>
        <w:spacing w:line="240" w:lineRule="auto"/>
        <w:rPr>
          <w:sz w:val="4"/>
          <w:szCs w:val="4"/>
          <w:lang w:val="fr-CA"/>
        </w:rPr>
        <w:sectPr w:rsidR="006C0C56" w:rsidRPr="00912B6E" w:rsidSect="0008363D">
          <w:pgSz w:w="15840" w:h="12240" w:orient="landscape"/>
          <w:pgMar w:top="540" w:right="540" w:bottom="540" w:left="630" w:header="540" w:footer="288" w:gutter="0"/>
          <w:cols w:space="708"/>
          <w:docGrid w:linePitch="360"/>
        </w:sectPr>
      </w:pPr>
    </w:p>
    <w:tbl>
      <w:tblPr>
        <w:tblStyle w:val="TableGrid"/>
        <w:tblpPr w:leftFromText="180" w:rightFromText="180" w:vertAnchor="text" w:tblpY="1"/>
        <w:tblOverlap w:val="never"/>
        <w:tblW w:w="5035" w:type="pct"/>
        <w:tblCellMar>
          <w:left w:w="58" w:type="dxa"/>
          <w:right w:w="58" w:type="dxa"/>
        </w:tblCellMar>
        <w:tblLook w:val="04A0" w:firstRow="1" w:lastRow="0" w:firstColumn="1" w:lastColumn="0" w:noHBand="0" w:noVBand="1"/>
      </w:tblPr>
      <w:tblGrid>
        <w:gridCol w:w="8902"/>
        <w:gridCol w:w="5871"/>
      </w:tblGrid>
      <w:tr w:rsidR="006C0C56" w:rsidRPr="007D527B" w14:paraId="6C7D0244" w14:textId="77777777" w:rsidTr="006C0C56">
        <w:trPr>
          <w:trHeight w:val="6096"/>
        </w:trPr>
        <w:tc>
          <w:tcPr>
            <w:tcW w:w="3013" w:type="pct"/>
            <w:tcBorders>
              <w:top w:val="nil"/>
              <w:left w:val="nil"/>
              <w:bottom w:val="nil"/>
            </w:tcBorders>
            <w:vAlign w:val="center"/>
          </w:tcPr>
          <w:p w14:paraId="00F0D907" w14:textId="77777777" w:rsidR="006C0C56" w:rsidRPr="00912B6E" w:rsidRDefault="006C0C56" w:rsidP="00FE148B">
            <w:pPr>
              <w:pStyle w:val="TableCells"/>
              <w:jc w:val="left"/>
              <w:rPr>
                <w:sz w:val="22"/>
                <w:lang w:val="fr-CA"/>
              </w:rPr>
            </w:pPr>
          </w:p>
        </w:tc>
        <w:tc>
          <w:tcPr>
            <w:tcW w:w="1987" w:type="pct"/>
            <w:tcBorders>
              <w:top w:val="nil"/>
              <w:bottom w:val="nil"/>
              <w:right w:val="nil"/>
            </w:tcBorders>
          </w:tcPr>
          <w:p w14:paraId="3A910A75" w14:textId="7E657D66" w:rsidR="006C0C56" w:rsidRPr="00912B6E" w:rsidRDefault="006C0C56" w:rsidP="006C0C56">
            <w:pPr>
              <w:spacing w:before="360"/>
              <w:jc w:val="left"/>
              <w:rPr>
                <w:rFonts w:eastAsiaTheme="minorEastAsia"/>
                <w:noProof/>
                <w:snapToGrid w:val="0"/>
                <w:lang w:val="fr-CA"/>
              </w:rPr>
            </w:pPr>
            <w:r w:rsidRPr="00912B6E">
              <w:rPr>
                <w:rFonts w:eastAsiaTheme="minorEastAsia"/>
                <w:noProof/>
                <w:snapToGrid w:val="0"/>
                <w:lang w:val="fr-CA"/>
              </w:rPr>
              <w:t>[</w:t>
            </w:r>
            <w:r w:rsidR="00912B6E" w:rsidRPr="00912B6E">
              <w:rPr>
                <w:rStyle w:val="Prompt"/>
                <w:color w:val="auto"/>
                <w:lang w:val="fr"/>
              </w:rPr>
              <w:t>NOM DU CABINET</w:t>
            </w:r>
            <w:r w:rsidRPr="00912B6E">
              <w:rPr>
                <w:rFonts w:eastAsiaTheme="minorEastAsia"/>
                <w:noProof/>
                <w:snapToGrid w:val="0"/>
                <w:lang w:val="fr-CA"/>
              </w:rPr>
              <w:t>]</w:t>
            </w:r>
          </w:p>
          <w:p w14:paraId="694AF189" w14:textId="203D4D4D" w:rsidR="006C0C56" w:rsidRPr="009A017B" w:rsidRDefault="006C0C56" w:rsidP="006C0C56">
            <w:pPr>
              <w:jc w:val="left"/>
              <w:rPr>
                <w:rFonts w:eastAsiaTheme="minorEastAsia"/>
                <w:noProof/>
                <w:snapToGrid w:val="0"/>
                <w:lang w:val="fr-CA"/>
              </w:rPr>
            </w:pPr>
            <w:r w:rsidRPr="009A017B">
              <w:rPr>
                <w:rFonts w:eastAsiaTheme="minorEastAsia"/>
                <w:noProof/>
                <w:snapToGrid w:val="0"/>
                <w:lang w:val="fr-CA"/>
              </w:rPr>
              <w:t>[Adress</w:t>
            </w:r>
            <w:r w:rsidR="00AA5BE4">
              <w:rPr>
                <w:rFonts w:eastAsiaTheme="minorEastAsia"/>
                <w:noProof/>
                <w:snapToGrid w:val="0"/>
                <w:lang w:val="fr-CA"/>
              </w:rPr>
              <w:t>e</w:t>
            </w:r>
            <w:r w:rsidRPr="009A017B">
              <w:rPr>
                <w:rFonts w:eastAsiaTheme="minorEastAsia"/>
                <w:noProof/>
                <w:snapToGrid w:val="0"/>
                <w:lang w:val="fr-CA"/>
              </w:rPr>
              <w:t>]</w:t>
            </w:r>
          </w:p>
          <w:p w14:paraId="7B20F619" w14:textId="77777777" w:rsidR="006C0C56" w:rsidRPr="009A017B" w:rsidRDefault="006C0C56" w:rsidP="006C0C56">
            <w:pPr>
              <w:jc w:val="left"/>
              <w:rPr>
                <w:rFonts w:eastAsiaTheme="minorEastAsia"/>
                <w:noProof/>
                <w:snapToGrid w:val="0"/>
                <w:lang w:val="fr-CA"/>
              </w:rPr>
            </w:pPr>
          </w:p>
          <w:p w14:paraId="3A8E1B69" w14:textId="62980BC4" w:rsidR="006C0C56" w:rsidRPr="00912B6E" w:rsidRDefault="006C0C56" w:rsidP="006C0C56">
            <w:pPr>
              <w:jc w:val="left"/>
              <w:rPr>
                <w:rFonts w:eastAsiaTheme="minorEastAsia"/>
                <w:noProof/>
                <w:snapToGrid w:val="0"/>
                <w:lang w:val="fr-CA"/>
              </w:rPr>
            </w:pPr>
            <w:r w:rsidRPr="00912B6E">
              <w:rPr>
                <w:rFonts w:eastAsiaTheme="minorEastAsia"/>
                <w:noProof/>
                <w:snapToGrid w:val="0"/>
                <w:lang w:val="fr-CA"/>
              </w:rPr>
              <w:t>[N</w:t>
            </w:r>
            <w:r w:rsidR="00912B6E">
              <w:rPr>
                <w:rFonts w:eastAsiaTheme="minorEastAsia"/>
                <w:noProof/>
                <w:snapToGrid w:val="0"/>
                <w:lang w:val="fr-CA"/>
              </w:rPr>
              <w:t>om</w:t>
            </w:r>
            <w:r w:rsidRPr="00912B6E">
              <w:rPr>
                <w:rFonts w:eastAsiaTheme="minorEastAsia"/>
                <w:noProof/>
                <w:snapToGrid w:val="0"/>
                <w:lang w:val="fr-CA"/>
              </w:rPr>
              <w:t>] (</w:t>
            </w:r>
            <w:r w:rsidR="00912B6E" w:rsidRPr="00912B6E">
              <w:rPr>
                <w:rFonts w:eastAsiaTheme="minorEastAsia"/>
                <w:snapToGrid w:val="0"/>
                <w:lang w:val="fr"/>
              </w:rPr>
              <w:t>Matricule du Barreau de l’Ontario</w:t>
            </w:r>
            <w:r w:rsidR="00912B6E" w:rsidRPr="00912B6E">
              <w:rPr>
                <w:rFonts w:eastAsiaTheme="minorEastAsia"/>
                <w:noProof/>
                <w:snapToGrid w:val="0"/>
                <w:lang w:val="fr-CA"/>
              </w:rPr>
              <w:t xml:space="preserve"> </w:t>
            </w:r>
            <w:r w:rsidRPr="00912B6E">
              <w:rPr>
                <w:rFonts w:eastAsiaTheme="minorEastAsia"/>
                <w:noProof/>
                <w:snapToGrid w:val="0"/>
                <w:lang w:val="fr-CA"/>
              </w:rPr>
              <w:t>: )</w:t>
            </w:r>
          </w:p>
          <w:p w14:paraId="78BE6E92" w14:textId="5CF20BE7" w:rsidR="006C0C56" w:rsidRPr="009A017B" w:rsidRDefault="006C0C56" w:rsidP="006C0C56">
            <w:pPr>
              <w:jc w:val="left"/>
              <w:rPr>
                <w:rFonts w:eastAsiaTheme="minorEastAsia"/>
                <w:noProof/>
                <w:snapToGrid w:val="0"/>
                <w:lang w:val="fr-CA"/>
              </w:rPr>
            </w:pPr>
            <w:r w:rsidRPr="009A017B">
              <w:rPr>
                <w:rFonts w:eastAsiaTheme="minorEastAsia"/>
                <w:noProof/>
                <w:snapToGrid w:val="0"/>
                <w:lang w:val="fr-CA"/>
              </w:rPr>
              <w:t>[</w:t>
            </w:r>
            <w:r w:rsidR="00912B6E">
              <w:rPr>
                <w:rFonts w:eastAsiaTheme="minorEastAsia"/>
                <w:noProof/>
                <w:snapToGrid w:val="0"/>
                <w:lang w:val="fr-CA"/>
              </w:rPr>
              <w:t>Courriel</w:t>
            </w:r>
            <w:r w:rsidRPr="009A017B">
              <w:rPr>
                <w:rFonts w:eastAsiaTheme="minorEastAsia"/>
                <w:noProof/>
                <w:snapToGrid w:val="0"/>
                <w:lang w:val="fr-CA"/>
              </w:rPr>
              <w:t>]</w:t>
            </w:r>
          </w:p>
          <w:p w14:paraId="3CA4D8AA" w14:textId="77777777" w:rsidR="006C0C56" w:rsidRPr="009A017B" w:rsidRDefault="006C0C56" w:rsidP="006C0C56">
            <w:pPr>
              <w:jc w:val="left"/>
              <w:rPr>
                <w:rFonts w:eastAsiaTheme="minorEastAsia"/>
                <w:noProof/>
                <w:snapToGrid w:val="0"/>
                <w:lang w:val="fr-CA"/>
              </w:rPr>
            </w:pPr>
          </w:p>
          <w:p w14:paraId="1B18D4E4" w14:textId="59BC839F" w:rsidR="006C0C56" w:rsidRPr="00912B6E" w:rsidRDefault="00912B6E" w:rsidP="006C0C56">
            <w:pPr>
              <w:jc w:val="left"/>
              <w:rPr>
                <w:rFonts w:eastAsiaTheme="minorEastAsia"/>
                <w:noProof/>
                <w:snapToGrid w:val="0"/>
                <w:lang w:val="fr-CA"/>
              </w:rPr>
            </w:pPr>
            <w:r w:rsidRPr="00912B6E">
              <w:rPr>
                <w:rFonts w:eastAsiaTheme="minorEastAsia"/>
                <w:snapToGrid w:val="0"/>
                <w:lang w:val="fr"/>
              </w:rPr>
              <w:t>Tél. :</w:t>
            </w:r>
            <w:r w:rsidR="006C0C56" w:rsidRPr="00912B6E">
              <w:rPr>
                <w:rFonts w:eastAsiaTheme="minorEastAsia"/>
                <w:noProof/>
                <w:snapToGrid w:val="0"/>
                <w:lang w:val="fr-CA"/>
              </w:rPr>
              <w:t xml:space="preserve"> [  ]</w:t>
            </w:r>
          </w:p>
          <w:p w14:paraId="22ABEE38" w14:textId="035EDF2E" w:rsidR="006C0C56" w:rsidRPr="00912B6E" w:rsidRDefault="00912B6E" w:rsidP="006C0C56">
            <w:pPr>
              <w:jc w:val="left"/>
              <w:rPr>
                <w:rFonts w:eastAsiaTheme="minorEastAsia"/>
                <w:noProof/>
                <w:snapToGrid w:val="0"/>
                <w:lang w:val="fr-CA"/>
              </w:rPr>
            </w:pPr>
            <w:r w:rsidRPr="00912B6E">
              <w:rPr>
                <w:rFonts w:eastAsiaTheme="minorEastAsia"/>
                <w:snapToGrid w:val="0"/>
                <w:lang w:val="fr"/>
              </w:rPr>
              <w:t>Téléc. :</w:t>
            </w:r>
            <w:r w:rsidR="006C0C56" w:rsidRPr="00912B6E">
              <w:rPr>
                <w:rFonts w:eastAsiaTheme="minorEastAsia"/>
                <w:noProof/>
                <w:snapToGrid w:val="0"/>
                <w:lang w:val="fr-CA"/>
              </w:rPr>
              <w:t xml:space="preserve"> [  ]</w:t>
            </w:r>
          </w:p>
          <w:p w14:paraId="38DEA772" w14:textId="77777777" w:rsidR="006C0C56" w:rsidRPr="009A017B" w:rsidRDefault="006C0C56" w:rsidP="006C0C56">
            <w:pPr>
              <w:jc w:val="left"/>
              <w:rPr>
                <w:rFonts w:eastAsiaTheme="minorEastAsia"/>
                <w:noProof/>
                <w:snapToGrid w:val="0"/>
                <w:lang w:val="fr-CA"/>
              </w:rPr>
            </w:pPr>
          </w:p>
          <w:p w14:paraId="32C28BE1" w14:textId="6CF12DE0" w:rsidR="006C0C56" w:rsidRPr="009A017B" w:rsidRDefault="00912B6E" w:rsidP="006C0C56">
            <w:pPr>
              <w:jc w:val="left"/>
              <w:rPr>
                <w:rFonts w:eastAsiaTheme="minorEastAsia"/>
                <w:noProof/>
                <w:snapToGrid w:val="0"/>
                <w:lang w:val="fr-CA"/>
              </w:rPr>
            </w:pPr>
            <w:r w:rsidRPr="00912B6E">
              <w:rPr>
                <w:rFonts w:eastAsiaTheme="minorEastAsia"/>
                <w:snapToGrid w:val="0"/>
                <w:lang w:val="fr"/>
              </w:rPr>
              <w:t>Avocat(e) du recours collectif</w:t>
            </w:r>
          </w:p>
        </w:tc>
      </w:tr>
    </w:tbl>
    <w:p w14:paraId="31305ECD" w14:textId="50D29874" w:rsidR="00552408" w:rsidRPr="009A017B" w:rsidRDefault="00552408" w:rsidP="007C2D36">
      <w:pPr>
        <w:rPr>
          <w:lang w:val="fr-CA"/>
        </w:rPr>
      </w:pPr>
    </w:p>
    <w:sectPr w:rsidR="00552408" w:rsidRPr="009A017B" w:rsidSect="006C0C56">
      <w:type w:val="continuous"/>
      <w:pgSz w:w="15840" w:h="12240" w:orient="landscape"/>
      <w:pgMar w:top="540" w:right="540" w:bottom="540" w:left="630" w:header="540"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9F1E8" w14:textId="77777777" w:rsidR="004C038B" w:rsidRDefault="004C038B" w:rsidP="00F72078">
      <w:pPr>
        <w:spacing w:line="240" w:lineRule="auto"/>
      </w:pPr>
      <w:r>
        <w:separator/>
      </w:r>
    </w:p>
  </w:endnote>
  <w:endnote w:type="continuationSeparator" w:id="0">
    <w:p w14:paraId="7633B379" w14:textId="77777777" w:rsidR="004C038B" w:rsidRDefault="004C038B" w:rsidP="00F720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0DBC3" w14:textId="77777777" w:rsidR="001B250A" w:rsidRDefault="001B25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50A22" w14:textId="7475D6F2" w:rsidR="00F72078" w:rsidRPr="00313E3D" w:rsidRDefault="00E210CB" w:rsidP="005903EA">
    <w:pPr>
      <w:pStyle w:val="Footer"/>
      <w:jc w:val="right"/>
      <w:rPr>
        <w:lang w:val="fr-CA"/>
      </w:rPr>
    </w:pPr>
    <w:r w:rsidRPr="00313E3D">
      <w:rPr>
        <w:lang w:val="fr-CA"/>
      </w:rPr>
      <w:t xml:space="preserve">Page </w:t>
    </w:r>
    <w:r w:rsidRPr="00313E3D">
      <w:rPr>
        <w:b/>
        <w:bCs/>
        <w:lang w:val="fr-CA"/>
      </w:rPr>
      <w:fldChar w:fldCharType="begin"/>
    </w:r>
    <w:r w:rsidRPr="00313E3D">
      <w:rPr>
        <w:b/>
        <w:bCs/>
        <w:lang w:val="fr-CA"/>
      </w:rPr>
      <w:instrText xml:space="preserve"> PAGE  \* Arabic  \* MERGEFORMAT </w:instrText>
    </w:r>
    <w:r w:rsidRPr="00313E3D">
      <w:rPr>
        <w:b/>
        <w:bCs/>
        <w:lang w:val="fr-CA"/>
      </w:rPr>
      <w:fldChar w:fldCharType="separate"/>
    </w:r>
    <w:r w:rsidRPr="00313E3D">
      <w:rPr>
        <w:b/>
        <w:bCs/>
        <w:noProof/>
        <w:lang w:val="fr-CA"/>
      </w:rPr>
      <w:t>1</w:t>
    </w:r>
    <w:r w:rsidRPr="00313E3D">
      <w:rPr>
        <w:b/>
        <w:bCs/>
        <w:lang w:val="fr-CA"/>
      </w:rPr>
      <w:fldChar w:fldCharType="end"/>
    </w:r>
    <w:r w:rsidRPr="00313E3D">
      <w:rPr>
        <w:lang w:val="fr-CA"/>
      </w:rPr>
      <w:t xml:space="preserve"> </w:t>
    </w:r>
    <w:r w:rsidR="00313E3D" w:rsidRPr="00313E3D">
      <w:rPr>
        <w:lang w:val="fr-CA"/>
      </w:rPr>
      <w:t>de</w:t>
    </w:r>
    <w:r w:rsidRPr="00313E3D">
      <w:rPr>
        <w:lang w:val="fr-CA"/>
      </w:rPr>
      <w:t xml:space="preserve"> </w:t>
    </w:r>
    <w:r w:rsidRPr="00313E3D">
      <w:rPr>
        <w:b/>
        <w:bCs/>
        <w:lang w:val="fr-CA"/>
      </w:rPr>
      <w:fldChar w:fldCharType="begin"/>
    </w:r>
    <w:r w:rsidRPr="00313E3D">
      <w:rPr>
        <w:b/>
        <w:bCs/>
        <w:lang w:val="fr-CA"/>
      </w:rPr>
      <w:instrText xml:space="preserve"> NUMPAGES  \* Arabic  \* MERGEFORMAT </w:instrText>
    </w:r>
    <w:r w:rsidRPr="00313E3D">
      <w:rPr>
        <w:b/>
        <w:bCs/>
        <w:lang w:val="fr-CA"/>
      </w:rPr>
      <w:fldChar w:fldCharType="separate"/>
    </w:r>
    <w:r w:rsidRPr="00313E3D">
      <w:rPr>
        <w:b/>
        <w:bCs/>
        <w:noProof/>
        <w:lang w:val="fr-CA"/>
      </w:rPr>
      <w:t>2</w:t>
    </w:r>
    <w:r w:rsidRPr="00313E3D">
      <w:rPr>
        <w:b/>
        <w:bCs/>
        <w:lang w:val="fr-CA"/>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1E915" w14:textId="77777777" w:rsidR="001B250A" w:rsidRDefault="001B25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E547F" w14:textId="77777777" w:rsidR="004C038B" w:rsidRDefault="004C038B" w:rsidP="00F72078">
      <w:pPr>
        <w:spacing w:line="240" w:lineRule="auto"/>
      </w:pPr>
      <w:r>
        <w:separator/>
      </w:r>
    </w:p>
  </w:footnote>
  <w:footnote w:type="continuationSeparator" w:id="0">
    <w:p w14:paraId="0B4A4726" w14:textId="77777777" w:rsidR="004C038B" w:rsidRDefault="004C038B" w:rsidP="00F72078">
      <w:pPr>
        <w:spacing w:line="240" w:lineRule="auto"/>
      </w:pPr>
      <w:r>
        <w:continuationSeparator/>
      </w:r>
    </w:p>
  </w:footnote>
  <w:footnote w:id="1">
    <w:p w14:paraId="31C1F3CF" w14:textId="0E7BFDA9" w:rsidR="00E210CB" w:rsidRPr="009A017B" w:rsidRDefault="00E210CB" w:rsidP="00F95600">
      <w:pPr>
        <w:pStyle w:val="FootnoteText"/>
        <w:rPr>
          <w:lang w:val="fr-CA"/>
        </w:rPr>
      </w:pPr>
      <w:r>
        <w:rPr>
          <w:rStyle w:val="FootnoteReference"/>
        </w:rPr>
        <w:footnoteRef/>
      </w:r>
      <w:r w:rsidRPr="009A017B">
        <w:rPr>
          <w:lang w:val="fr-CA"/>
        </w:rPr>
        <w:t xml:space="preserve"> </w:t>
      </w:r>
      <w:r w:rsidR="009A017B">
        <w:t>Préparé par le Comité ontarien de la magistrature et du barreau pour la liaison en matière de recours collectifs à titre de modèle pour les tribunaux et les praticiens. Ce modèle peut être adapté pour refléter les circonstances particulières de chaque affaire.</w:t>
      </w:r>
    </w:p>
  </w:footnote>
  <w:footnote w:id="2">
    <w:p w14:paraId="68659E9D" w14:textId="77777777" w:rsidR="00313E3D" w:rsidRPr="00883FC4" w:rsidRDefault="00313E3D" w:rsidP="00F95600">
      <w:pPr>
        <w:pStyle w:val="FootnoteText"/>
        <w:rPr>
          <w:lang w:val="fr-CA"/>
        </w:rPr>
      </w:pPr>
      <w:r>
        <w:rPr>
          <w:rStyle w:val="FootnoteReference"/>
        </w:rPr>
        <w:footnoteRef/>
      </w:r>
      <w:r>
        <w:t xml:space="preserve"> Le prélèvement de 10 % destiné au Fonds correspond à 10 % du montant net du règlement, après paiement des frais administratifs, des honoraires et des débours des avocats du recours collectif. Voir </w:t>
      </w:r>
      <w:hyperlink r:id="rId1" w:history="1">
        <w:r>
          <w:rPr>
            <w:rStyle w:val="Emphasis"/>
            <w:color w:val="0000FF"/>
            <w:u w:val="single"/>
          </w:rPr>
          <w:t>Martin v. Barret</w:t>
        </w:r>
        <w:r>
          <w:rPr>
            <w:rStyle w:val="Hyperlink"/>
            <w:i/>
            <w:iCs/>
          </w:rPr>
          <w:t xml:space="preserve">t </w:t>
        </w:r>
        <w:r>
          <w:rPr>
            <w:rStyle w:val="Hyperlink"/>
          </w:rPr>
          <w:t>[2008] O.J. No. 3813</w:t>
        </w:r>
      </w:hyperlink>
      <w:r>
        <w:t>.</w:t>
      </w:r>
    </w:p>
  </w:footnote>
  <w:footnote w:id="3">
    <w:p w14:paraId="1D82DB7B" w14:textId="77777777" w:rsidR="00313E3D" w:rsidRPr="00F95600" w:rsidRDefault="00313E3D" w:rsidP="00F95600">
      <w:pPr>
        <w:pStyle w:val="FootnoteText"/>
        <w:rPr>
          <w:lang w:val="fr-CA"/>
        </w:rPr>
      </w:pPr>
      <w:r w:rsidRPr="00F95600">
        <w:rPr>
          <w:rStyle w:val="FootnoteReference"/>
        </w:rPr>
        <w:footnoteRef/>
      </w:r>
      <w:r w:rsidRPr="00F95600">
        <w:t>Puisque le modèle d’ordonnance prévoit que le bailleur de fonds du litige doit consentir à l’ordonnance, le Fonds exige que le projet d’ordonnance relatif à l’approbation des honoraires lui soit transmis avant qu’il ne soit soumis au tribunal, afin que l’avocat du Fonds puisse l’examiner et, le cas échéant, donner le consentement du Fonds et/ou organiser une comparution en cas de différend.</w:t>
      </w:r>
    </w:p>
  </w:footnote>
  <w:footnote w:id="4">
    <w:p w14:paraId="0E0A6D7D" w14:textId="77777777" w:rsidR="00313E3D" w:rsidRPr="00883FC4" w:rsidRDefault="00313E3D" w:rsidP="00F95600">
      <w:pPr>
        <w:pStyle w:val="FootnoteText"/>
        <w:rPr>
          <w:lang w:val="fr-CA"/>
        </w:rPr>
      </w:pPr>
      <w:r>
        <w:rPr>
          <w:rStyle w:val="FootnoteReference"/>
        </w:rPr>
        <w:footnoteRef/>
      </w:r>
      <w:r>
        <w:t xml:space="preserve"> Il est possible que cette disposition ne soit pas nécessaire si la note de bas de page 3 est respectée et que le projet d’ordonnance est transmis au Fonds à l’avance ou si le Fonds participe à une audience pour trancher un différend.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B6F65" w14:textId="77777777" w:rsidR="001B250A" w:rsidRDefault="001B25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0ABEA" w14:textId="77777777" w:rsidR="001B250A" w:rsidRDefault="001B25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1546F" w14:textId="77777777" w:rsidR="001B250A" w:rsidRDefault="001B25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B4191"/>
    <w:multiLevelType w:val="hybridMultilevel"/>
    <w:tmpl w:val="43B02A56"/>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BDA6AAE"/>
    <w:multiLevelType w:val="hybridMultilevel"/>
    <w:tmpl w:val="D436A094"/>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15:restartNumberingAfterBreak="0">
    <w:nsid w:val="69246847"/>
    <w:multiLevelType w:val="hybridMultilevel"/>
    <w:tmpl w:val="84C03CB4"/>
    <w:lvl w:ilvl="0" w:tplc="32B2640C">
      <w:start w:val="1"/>
      <w:numFmt w:val="lowerRoman"/>
      <w:lvlText w:val="%1."/>
      <w:lvlJc w:val="left"/>
      <w:pPr>
        <w:ind w:left="1080" w:hanging="72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3" w15:restartNumberingAfterBreak="0">
    <w:nsid w:val="725E586E"/>
    <w:multiLevelType w:val="hybridMultilevel"/>
    <w:tmpl w:val="BA1C6C86"/>
    <w:lvl w:ilvl="0" w:tplc="F6E09064">
      <w:numFmt w:val="bullet"/>
      <w:lvlText w:val="-"/>
      <w:lvlJc w:val="left"/>
      <w:pPr>
        <w:ind w:left="720" w:hanging="360"/>
      </w:pPr>
      <w:rPr>
        <w:rFonts w:ascii="Arial" w:eastAsia="Arial"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7BE83966"/>
    <w:multiLevelType w:val="hybridMultilevel"/>
    <w:tmpl w:val="1C986B40"/>
    <w:lvl w:ilvl="0" w:tplc="BB309A7C">
      <w:start w:val="19"/>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cumentProtection w:edit="forms"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3E4"/>
    <w:rsid w:val="000109F8"/>
    <w:rsid w:val="0008363D"/>
    <w:rsid w:val="000A0119"/>
    <w:rsid w:val="000A511A"/>
    <w:rsid w:val="000C4AD7"/>
    <w:rsid w:val="000E178A"/>
    <w:rsid w:val="00176391"/>
    <w:rsid w:val="001800DC"/>
    <w:rsid w:val="00191F30"/>
    <w:rsid w:val="001B250A"/>
    <w:rsid w:val="001C37B4"/>
    <w:rsid w:val="001E281A"/>
    <w:rsid w:val="001F129E"/>
    <w:rsid w:val="00214076"/>
    <w:rsid w:val="00225BE4"/>
    <w:rsid w:val="00251089"/>
    <w:rsid w:val="00252CF1"/>
    <w:rsid w:val="002564DF"/>
    <w:rsid w:val="002C42E6"/>
    <w:rsid w:val="002E6FF6"/>
    <w:rsid w:val="00306635"/>
    <w:rsid w:val="00313E3D"/>
    <w:rsid w:val="00317F1F"/>
    <w:rsid w:val="00356500"/>
    <w:rsid w:val="0036413B"/>
    <w:rsid w:val="00372B4F"/>
    <w:rsid w:val="003A3B0F"/>
    <w:rsid w:val="00404C1A"/>
    <w:rsid w:val="00415D68"/>
    <w:rsid w:val="0048428F"/>
    <w:rsid w:val="00487378"/>
    <w:rsid w:val="004A2238"/>
    <w:rsid w:val="004A392D"/>
    <w:rsid w:val="004B347D"/>
    <w:rsid w:val="004B69F7"/>
    <w:rsid w:val="004C038B"/>
    <w:rsid w:val="004D35BD"/>
    <w:rsid w:val="004E6065"/>
    <w:rsid w:val="004F1B03"/>
    <w:rsid w:val="004F20C3"/>
    <w:rsid w:val="00552408"/>
    <w:rsid w:val="0056619E"/>
    <w:rsid w:val="00574273"/>
    <w:rsid w:val="0057735C"/>
    <w:rsid w:val="005903EA"/>
    <w:rsid w:val="0059090D"/>
    <w:rsid w:val="006066FA"/>
    <w:rsid w:val="00613611"/>
    <w:rsid w:val="00617930"/>
    <w:rsid w:val="006233E4"/>
    <w:rsid w:val="00623700"/>
    <w:rsid w:val="00624B02"/>
    <w:rsid w:val="0063131D"/>
    <w:rsid w:val="00695E04"/>
    <w:rsid w:val="006C0C56"/>
    <w:rsid w:val="006C7751"/>
    <w:rsid w:val="006D0AAE"/>
    <w:rsid w:val="006D72AA"/>
    <w:rsid w:val="00744B83"/>
    <w:rsid w:val="00767151"/>
    <w:rsid w:val="007707B1"/>
    <w:rsid w:val="00780273"/>
    <w:rsid w:val="00794C32"/>
    <w:rsid w:val="007C2D36"/>
    <w:rsid w:val="007D1EB2"/>
    <w:rsid w:val="007D527B"/>
    <w:rsid w:val="007D6DDD"/>
    <w:rsid w:val="007E14E4"/>
    <w:rsid w:val="00880C4F"/>
    <w:rsid w:val="00895671"/>
    <w:rsid w:val="008A2543"/>
    <w:rsid w:val="008B5ECB"/>
    <w:rsid w:val="009126FB"/>
    <w:rsid w:val="00912B6E"/>
    <w:rsid w:val="00934502"/>
    <w:rsid w:val="00945107"/>
    <w:rsid w:val="0095376E"/>
    <w:rsid w:val="009976DE"/>
    <w:rsid w:val="009A017B"/>
    <w:rsid w:val="009A5F1B"/>
    <w:rsid w:val="009B1D63"/>
    <w:rsid w:val="009B65DE"/>
    <w:rsid w:val="00A4736E"/>
    <w:rsid w:val="00A70FB8"/>
    <w:rsid w:val="00A963FC"/>
    <w:rsid w:val="00AA5BE4"/>
    <w:rsid w:val="00AC25A0"/>
    <w:rsid w:val="00AD71CE"/>
    <w:rsid w:val="00AF0BE6"/>
    <w:rsid w:val="00B027EF"/>
    <w:rsid w:val="00B02851"/>
    <w:rsid w:val="00B11014"/>
    <w:rsid w:val="00B93223"/>
    <w:rsid w:val="00C029AC"/>
    <w:rsid w:val="00C442F5"/>
    <w:rsid w:val="00C80C4C"/>
    <w:rsid w:val="00C93AB7"/>
    <w:rsid w:val="00CC034D"/>
    <w:rsid w:val="00CE678C"/>
    <w:rsid w:val="00D650CD"/>
    <w:rsid w:val="00D83F89"/>
    <w:rsid w:val="00DB7691"/>
    <w:rsid w:val="00DB77E3"/>
    <w:rsid w:val="00E075B4"/>
    <w:rsid w:val="00E210CB"/>
    <w:rsid w:val="00E2366F"/>
    <w:rsid w:val="00E30699"/>
    <w:rsid w:val="00E67524"/>
    <w:rsid w:val="00EB3B25"/>
    <w:rsid w:val="00EE5445"/>
    <w:rsid w:val="00F0075F"/>
    <w:rsid w:val="00F154C7"/>
    <w:rsid w:val="00F17B57"/>
    <w:rsid w:val="00F52CF2"/>
    <w:rsid w:val="00F61F85"/>
    <w:rsid w:val="00F717C8"/>
    <w:rsid w:val="00F72078"/>
    <w:rsid w:val="00F85186"/>
    <w:rsid w:val="00F95600"/>
    <w:rsid w:val="00FA62DB"/>
    <w:rsid w:val="00FB11EB"/>
    <w:rsid w:val="00FC728F"/>
    <w:rsid w:val="00FE363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891950A"/>
  <w15:chartTrackingRefBased/>
  <w15:docId w15:val="{DCFC0E19-ACD0-42D2-B2C2-5D8C59836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2408"/>
    <w:pPr>
      <w:spacing w:after="0" w:line="360" w:lineRule="auto"/>
    </w:pPr>
    <w:rPr>
      <w:rFonts w:ascii="Arial" w:hAnsi="Arial"/>
      <w:sz w:val="24"/>
    </w:rPr>
  </w:style>
  <w:style w:type="paragraph" w:styleId="Heading1">
    <w:name w:val="heading 1"/>
    <w:basedOn w:val="Normal"/>
    <w:next w:val="Normal"/>
    <w:link w:val="Heading1Char"/>
    <w:uiPriority w:val="9"/>
    <w:qFormat/>
    <w:rsid w:val="004A392D"/>
    <w:pPr>
      <w:spacing w:before="480"/>
      <w:contextualSpacing/>
      <w:outlineLvl w:val="0"/>
    </w:pPr>
    <w:rPr>
      <w:rFonts w:asciiTheme="majorHAnsi" w:eastAsiaTheme="majorEastAsia" w:hAnsiTheme="majorHAnsi" w:cstheme="majorBidi"/>
      <w:b/>
      <w:bCs/>
      <w:sz w:val="36"/>
      <w:szCs w:val="28"/>
    </w:rPr>
  </w:style>
  <w:style w:type="paragraph" w:styleId="Heading2">
    <w:name w:val="heading 2"/>
    <w:basedOn w:val="Normal"/>
    <w:next w:val="Normal"/>
    <w:link w:val="Heading2Char"/>
    <w:uiPriority w:val="9"/>
    <w:unhideWhenUsed/>
    <w:qFormat/>
    <w:rsid w:val="004A392D"/>
    <w:pPr>
      <w:spacing w:before="200"/>
      <w:outlineLvl w:val="1"/>
    </w:pPr>
    <w:rPr>
      <w:rFonts w:asciiTheme="majorHAnsi" w:eastAsiaTheme="majorEastAsia" w:hAnsiTheme="majorHAnsi" w:cstheme="majorBidi"/>
      <w:b/>
      <w:bCs/>
      <w:sz w:val="32"/>
      <w:szCs w:val="26"/>
    </w:rPr>
  </w:style>
  <w:style w:type="paragraph" w:styleId="Heading3">
    <w:name w:val="heading 3"/>
    <w:basedOn w:val="Normal"/>
    <w:next w:val="Normal"/>
    <w:link w:val="Heading3Char"/>
    <w:uiPriority w:val="9"/>
    <w:unhideWhenUsed/>
    <w:qFormat/>
    <w:rsid w:val="004A392D"/>
    <w:pPr>
      <w:spacing w:before="200" w:line="271" w:lineRule="auto"/>
      <w:outlineLvl w:val="2"/>
    </w:pPr>
    <w:rPr>
      <w:rFonts w:asciiTheme="majorHAnsi" w:eastAsiaTheme="majorEastAsia" w:hAnsiTheme="majorHAnsi" w:cstheme="majorBidi"/>
      <w:b/>
      <w:bCs/>
      <w:sz w:val="28"/>
    </w:rPr>
  </w:style>
  <w:style w:type="paragraph" w:styleId="Heading4">
    <w:name w:val="heading 4"/>
    <w:basedOn w:val="Normal"/>
    <w:next w:val="Normal"/>
    <w:link w:val="Heading4Char"/>
    <w:uiPriority w:val="9"/>
    <w:unhideWhenUsed/>
    <w:qFormat/>
    <w:rsid w:val="004A392D"/>
    <w:pPr>
      <w:spacing w:before="200"/>
      <w:outlineLvl w:val="3"/>
    </w:pPr>
    <w:rPr>
      <w:rFonts w:asciiTheme="majorHAnsi" w:eastAsiaTheme="majorEastAsia" w:hAnsiTheme="majorHAnsi" w:cstheme="majorBidi"/>
      <w:b/>
      <w:bCs/>
      <w:iCs/>
      <w:sz w:val="26"/>
    </w:rPr>
  </w:style>
  <w:style w:type="paragraph" w:styleId="Heading5">
    <w:name w:val="heading 5"/>
    <w:basedOn w:val="Normal"/>
    <w:next w:val="Normal"/>
    <w:link w:val="Heading5Char"/>
    <w:uiPriority w:val="9"/>
    <w:unhideWhenUsed/>
    <w:qFormat/>
    <w:rsid w:val="004A392D"/>
    <w:pPr>
      <w:spacing w:before="20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rsid w:val="00F85186"/>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4A392D"/>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4A392D"/>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4A392D"/>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92D"/>
    <w:rPr>
      <w:rFonts w:asciiTheme="majorHAnsi" w:eastAsiaTheme="majorEastAsia" w:hAnsiTheme="majorHAnsi" w:cstheme="majorBidi"/>
      <w:b/>
      <w:bCs/>
      <w:sz w:val="36"/>
      <w:szCs w:val="28"/>
    </w:rPr>
  </w:style>
  <w:style w:type="character" w:customStyle="1" w:styleId="Heading2Char">
    <w:name w:val="Heading 2 Char"/>
    <w:basedOn w:val="DefaultParagraphFont"/>
    <w:link w:val="Heading2"/>
    <w:uiPriority w:val="9"/>
    <w:rsid w:val="004A392D"/>
    <w:rPr>
      <w:rFonts w:asciiTheme="majorHAnsi" w:eastAsiaTheme="majorEastAsia" w:hAnsiTheme="majorHAnsi" w:cstheme="majorBidi"/>
      <w:b/>
      <w:bCs/>
      <w:sz w:val="32"/>
      <w:szCs w:val="26"/>
    </w:rPr>
  </w:style>
  <w:style w:type="character" w:customStyle="1" w:styleId="Heading3Char">
    <w:name w:val="Heading 3 Char"/>
    <w:basedOn w:val="DefaultParagraphFont"/>
    <w:link w:val="Heading3"/>
    <w:uiPriority w:val="9"/>
    <w:rsid w:val="004A392D"/>
    <w:rPr>
      <w:rFonts w:asciiTheme="majorHAnsi" w:eastAsiaTheme="majorEastAsia" w:hAnsiTheme="majorHAnsi" w:cstheme="majorBidi"/>
      <w:b/>
      <w:bCs/>
      <w:sz w:val="28"/>
    </w:rPr>
  </w:style>
  <w:style w:type="character" w:customStyle="1" w:styleId="Heading4Char">
    <w:name w:val="Heading 4 Char"/>
    <w:basedOn w:val="DefaultParagraphFont"/>
    <w:link w:val="Heading4"/>
    <w:uiPriority w:val="9"/>
    <w:rsid w:val="004A392D"/>
    <w:rPr>
      <w:rFonts w:asciiTheme="majorHAnsi" w:eastAsiaTheme="majorEastAsia" w:hAnsiTheme="majorHAnsi" w:cstheme="majorBidi"/>
      <w:b/>
      <w:bCs/>
      <w:iCs/>
      <w:sz w:val="26"/>
    </w:rPr>
  </w:style>
  <w:style w:type="character" w:customStyle="1" w:styleId="Heading5Char">
    <w:name w:val="Heading 5 Char"/>
    <w:basedOn w:val="DefaultParagraphFont"/>
    <w:link w:val="Heading5"/>
    <w:uiPriority w:val="9"/>
    <w:rsid w:val="004A392D"/>
    <w:rPr>
      <w:rFonts w:asciiTheme="majorHAnsi" w:eastAsiaTheme="majorEastAsia" w:hAnsiTheme="majorHAnsi" w:cstheme="majorBidi"/>
      <w:b/>
      <w:bCs/>
      <w:sz w:val="24"/>
    </w:rPr>
  </w:style>
  <w:style w:type="character" w:customStyle="1" w:styleId="Heading6Char">
    <w:name w:val="Heading 6 Char"/>
    <w:basedOn w:val="DefaultParagraphFont"/>
    <w:link w:val="Heading6"/>
    <w:uiPriority w:val="9"/>
    <w:semiHidden/>
    <w:rsid w:val="00F8518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4A392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4A392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4A392D"/>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CE678C"/>
    <w:pPr>
      <w:contextualSpacing/>
    </w:pPr>
    <w:rPr>
      <w:rFonts w:asciiTheme="majorHAnsi" w:eastAsiaTheme="majorEastAsia" w:hAnsiTheme="majorHAnsi" w:cstheme="majorBidi"/>
      <w:b/>
      <w:spacing w:val="5"/>
      <w:sz w:val="36"/>
      <w:szCs w:val="52"/>
    </w:rPr>
  </w:style>
  <w:style w:type="character" w:customStyle="1" w:styleId="TitleChar">
    <w:name w:val="Title Char"/>
    <w:basedOn w:val="DefaultParagraphFont"/>
    <w:link w:val="Title"/>
    <w:uiPriority w:val="10"/>
    <w:rsid w:val="00CE678C"/>
    <w:rPr>
      <w:rFonts w:asciiTheme="majorHAnsi" w:eastAsiaTheme="majorEastAsia" w:hAnsiTheme="majorHAnsi" w:cstheme="majorBidi"/>
      <w:b/>
      <w:spacing w:val="5"/>
      <w:sz w:val="36"/>
      <w:szCs w:val="52"/>
    </w:rPr>
  </w:style>
  <w:style w:type="paragraph" w:styleId="Subtitle">
    <w:name w:val="Subtitle"/>
    <w:basedOn w:val="Normal"/>
    <w:next w:val="Normal"/>
    <w:link w:val="SubtitleChar"/>
    <w:uiPriority w:val="11"/>
    <w:qFormat/>
    <w:rsid w:val="004A392D"/>
    <w:pPr>
      <w:spacing w:after="600"/>
    </w:pPr>
    <w:rPr>
      <w:rFonts w:asciiTheme="majorHAnsi" w:eastAsiaTheme="majorEastAsia" w:hAnsiTheme="majorHAnsi" w:cstheme="majorBidi"/>
      <w:b/>
      <w:i/>
      <w:iCs/>
      <w:spacing w:val="13"/>
      <w:sz w:val="32"/>
      <w:szCs w:val="24"/>
    </w:rPr>
  </w:style>
  <w:style w:type="character" w:customStyle="1" w:styleId="SubtitleChar">
    <w:name w:val="Subtitle Char"/>
    <w:basedOn w:val="DefaultParagraphFont"/>
    <w:link w:val="Subtitle"/>
    <w:uiPriority w:val="11"/>
    <w:rsid w:val="004A392D"/>
    <w:rPr>
      <w:rFonts w:asciiTheme="majorHAnsi" w:eastAsiaTheme="majorEastAsia" w:hAnsiTheme="majorHAnsi" w:cstheme="majorBidi"/>
      <w:b/>
      <w:i/>
      <w:iCs/>
      <w:spacing w:val="13"/>
      <w:sz w:val="32"/>
      <w:szCs w:val="24"/>
    </w:rPr>
  </w:style>
  <w:style w:type="character" w:styleId="Strong">
    <w:name w:val="Strong"/>
    <w:uiPriority w:val="22"/>
    <w:rsid w:val="00F85186"/>
    <w:rPr>
      <w:b/>
      <w:bCs/>
    </w:rPr>
  </w:style>
  <w:style w:type="character" w:styleId="Emphasis">
    <w:name w:val="Emphasis"/>
    <w:uiPriority w:val="20"/>
    <w:qFormat/>
    <w:rsid w:val="00F85186"/>
    <w:rPr>
      <w:b/>
      <w:bCs/>
      <w:i/>
      <w:iCs/>
      <w:spacing w:val="10"/>
      <w:bdr w:val="none" w:sz="0" w:space="0" w:color="auto"/>
      <w:shd w:val="clear" w:color="auto" w:fill="auto"/>
    </w:rPr>
  </w:style>
  <w:style w:type="paragraph" w:styleId="NoSpacing">
    <w:name w:val="No Spacing"/>
    <w:uiPriority w:val="1"/>
    <w:rsid w:val="00FE363E"/>
    <w:pPr>
      <w:spacing w:after="0" w:line="240" w:lineRule="auto"/>
    </w:pPr>
    <w:rPr>
      <w:sz w:val="24"/>
    </w:rPr>
  </w:style>
  <w:style w:type="paragraph" w:styleId="ListParagraph">
    <w:name w:val="List Paragraph"/>
    <w:basedOn w:val="Normal"/>
    <w:uiPriority w:val="34"/>
    <w:qFormat/>
    <w:rsid w:val="00F85186"/>
    <w:pPr>
      <w:ind w:left="720"/>
      <w:contextualSpacing/>
    </w:pPr>
  </w:style>
  <w:style w:type="paragraph" w:styleId="Quote">
    <w:name w:val="Quote"/>
    <w:basedOn w:val="Normal"/>
    <w:next w:val="Normal"/>
    <w:link w:val="QuoteChar"/>
    <w:uiPriority w:val="29"/>
    <w:rsid w:val="00F85186"/>
    <w:pPr>
      <w:spacing w:before="200"/>
      <w:ind w:left="360" w:right="360"/>
    </w:pPr>
    <w:rPr>
      <w:i/>
      <w:iCs/>
    </w:rPr>
  </w:style>
  <w:style w:type="character" w:customStyle="1" w:styleId="QuoteChar">
    <w:name w:val="Quote Char"/>
    <w:basedOn w:val="DefaultParagraphFont"/>
    <w:link w:val="Quote"/>
    <w:uiPriority w:val="29"/>
    <w:rsid w:val="00F85186"/>
    <w:rPr>
      <w:i/>
      <w:iCs/>
    </w:rPr>
  </w:style>
  <w:style w:type="paragraph" w:styleId="IntenseQuote">
    <w:name w:val="Intense Quote"/>
    <w:basedOn w:val="Normal"/>
    <w:next w:val="Normal"/>
    <w:link w:val="IntenseQuoteChar"/>
    <w:uiPriority w:val="30"/>
    <w:rsid w:val="00F8518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F85186"/>
    <w:rPr>
      <w:b/>
      <w:bCs/>
      <w:i/>
      <w:iCs/>
    </w:rPr>
  </w:style>
  <w:style w:type="character" w:styleId="SubtleEmphasis">
    <w:name w:val="Subtle Emphasis"/>
    <w:uiPriority w:val="19"/>
    <w:rsid w:val="00F85186"/>
    <w:rPr>
      <w:i/>
      <w:iCs/>
    </w:rPr>
  </w:style>
  <w:style w:type="character" w:styleId="IntenseEmphasis">
    <w:name w:val="Intense Emphasis"/>
    <w:uiPriority w:val="21"/>
    <w:rsid w:val="00F85186"/>
    <w:rPr>
      <w:b/>
      <w:bCs/>
    </w:rPr>
  </w:style>
  <w:style w:type="character" w:styleId="SubtleReference">
    <w:name w:val="Subtle Reference"/>
    <w:uiPriority w:val="31"/>
    <w:rsid w:val="00F85186"/>
    <w:rPr>
      <w:smallCaps/>
    </w:rPr>
  </w:style>
  <w:style w:type="character" w:styleId="IntenseReference">
    <w:name w:val="Intense Reference"/>
    <w:uiPriority w:val="32"/>
    <w:rsid w:val="00F85186"/>
    <w:rPr>
      <w:smallCaps/>
      <w:spacing w:val="5"/>
      <w:u w:val="single"/>
    </w:rPr>
  </w:style>
  <w:style w:type="character" w:styleId="BookTitle">
    <w:name w:val="Book Title"/>
    <w:uiPriority w:val="33"/>
    <w:rsid w:val="00F85186"/>
    <w:rPr>
      <w:i/>
      <w:iCs/>
      <w:smallCaps/>
      <w:spacing w:val="5"/>
    </w:rPr>
  </w:style>
  <w:style w:type="paragraph" w:styleId="TOCHeading">
    <w:name w:val="TOC Heading"/>
    <w:basedOn w:val="Heading1"/>
    <w:next w:val="Normal"/>
    <w:uiPriority w:val="39"/>
    <w:semiHidden/>
    <w:unhideWhenUsed/>
    <w:qFormat/>
    <w:rsid w:val="004A392D"/>
    <w:pPr>
      <w:outlineLvl w:val="9"/>
    </w:pPr>
    <w:rPr>
      <w:lang w:bidi="en-US"/>
    </w:rPr>
  </w:style>
  <w:style w:type="paragraph" w:styleId="Header">
    <w:name w:val="header"/>
    <w:basedOn w:val="Normal"/>
    <w:link w:val="HeaderChar"/>
    <w:uiPriority w:val="99"/>
    <w:unhideWhenUsed/>
    <w:rsid w:val="0095376E"/>
    <w:pPr>
      <w:tabs>
        <w:tab w:val="center" w:pos="4680"/>
        <w:tab w:val="right" w:pos="9360"/>
      </w:tabs>
      <w:spacing w:line="240" w:lineRule="auto"/>
    </w:pPr>
    <w:rPr>
      <w:sz w:val="2"/>
    </w:rPr>
  </w:style>
  <w:style w:type="character" w:customStyle="1" w:styleId="HeaderChar">
    <w:name w:val="Header Char"/>
    <w:basedOn w:val="DefaultParagraphFont"/>
    <w:link w:val="Header"/>
    <w:uiPriority w:val="99"/>
    <w:rsid w:val="0095376E"/>
    <w:rPr>
      <w:sz w:val="2"/>
    </w:rPr>
  </w:style>
  <w:style w:type="paragraph" w:styleId="Footer">
    <w:name w:val="footer"/>
    <w:basedOn w:val="Normal"/>
    <w:link w:val="FooterChar"/>
    <w:uiPriority w:val="99"/>
    <w:unhideWhenUsed/>
    <w:rsid w:val="00F72078"/>
    <w:pPr>
      <w:tabs>
        <w:tab w:val="center" w:pos="4680"/>
        <w:tab w:val="right" w:pos="9360"/>
      </w:tabs>
      <w:spacing w:line="240" w:lineRule="auto"/>
    </w:pPr>
  </w:style>
  <w:style w:type="character" w:customStyle="1" w:styleId="FooterChar">
    <w:name w:val="Footer Char"/>
    <w:basedOn w:val="DefaultParagraphFont"/>
    <w:link w:val="Footer"/>
    <w:uiPriority w:val="99"/>
    <w:rsid w:val="00F72078"/>
    <w:rPr>
      <w:sz w:val="24"/>
    </w:rPr>
  </w:style>
  <w:style w:type="paragraph" w:styleId="BalloonText">
    <w:name w:val="Balloon Text"/>
    <w:basedOn w:val="Normal"/>
    <w:link w:val="BalloonTextChar"/>
    <w:uiPriority w:val="99"/>
    <w:semiHidden/>
    <w:unhideWhenUsed/>
    <w:rsid w:val="00F7207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2078"/>
    <w:rPr>
      <w:rFonts w:ascii="Tahoma" w:hAnsi="Tahoma" w:cs="Tahoma"/>
      <w:sz w:val="16"/>
      <w:szCs w:val="16"/>
    </w:rPr>
  </w:style>
  <w:style w:type="table" w:styleId="TableGrid">
    <w:name w:val="Table Grid"/>
    <w:basedOn w:val="TableNormal"/>
    <w:uiPriority w:val="59"/>
    <w:rsid w:val="00DB77E3"/>
    <w:pPr>
      <w:spacing w:after="0" w:line="240" w:lineRule="auto"/>
      <w:jc w:val="both"/>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autoRedefine/>
    <w:uiPriority w:val="99"/>
    <w:unhideWhenUsed/>
    <w:rsid w:val="00F95600"/>
    <w:pPr>
      <w:pBdr>
        <w:top w:val="nil"/>
        <w:left w:val="nil"/>
        <w:bottom w:val="nil"/>
        <w:right w:val="nil"/>
        <w:between w:val="nil"/>
        <w:bar w:val="nil"/>
      </w:pBdr>
      <w:spacing w:before="120" w:line="240" w:lineRule="auto"/>
      <w:jc w:val="both"/>
    </w:pPr>
    <w:rPr>
      <w:rFonts w:eastAsia="Arial Unicode MS" w:cs="Arial"/>
      <w:sz w:val="18"/>
      <w:szCs w:val="18"/>
      <w:bdr w:val="nil"/>
      <w:lang w:val="fr"/>
    </w:rPr>
  </w:style>
  <w:style w:type="character" w:customStyle="1" w:styleId="FootnoteTextChar">
    <w:name w:val="Footnote Text Char"/>
    <w:basedOn w:val="DefaultParagraphFont"/>
    <w:link w:val="FootnoteText"/>
    <w:uiPriority w:val="99"/>
    <w:rsid w:val="00F95600"/>
    <w:rPr>
      <w:rFonts w:ascii="Arial" w:eastAsia="Arial Unicode MS" w:hAnsi="Arial" w:cs="Arial"/>
      <w:sz w:val="18"/>
      <w:szCs w:val="18"/>
      <w:bdr w:val="nil"/>
      <w:lang w:val="fr"/>
    </w:rPr>
  </w:style>
  <w:style w:type="character" w:styleId="FootnoteReference">
    <w:name w:val="footnote reference"/>
    <w:basedOn w:val="DefaultParagraphFont"/>
    <w:unhideWhenUsed/>
    <w:rsid w:val="006066FA"/>
    <w:rPr>
      <w:vertAlign w:val="superscript"/>
    </w:rPr>
  </w:style>
  <w:style w:type="paragraph" w:customStyle="1" w:styleId="TableHeading">
    <w:name w:val="Table Heading"/>
    <w:basedOn w:val="Normal"/>
    <w:qFormat/>
    <w:rsid w:val="00CE678C"/>
    <w:pPr>
      <w:spacing w:after="160" w:line="256" w:lineRule="auto"/>
      <w:jc w:val="center"/>
    </w:pPr>
    <w:rPr>
      <w:rFonts w:eastAsia="Arial" w:cstheme="minorHAnsi"/>
      <w:b/>
      <w:szCs w:val="24"/>
    </w:rPr>
  </w:style>
  <w:style w:type="paragraph" w:customStyle="1" w:styleId="TableCells">
    <w:name w:val="Table Cells"/>
    <w:basedOn w:val="Normal"/>
    <w:qFormat/>
    <w:rsid w:val="007C2D36"/>
    <w:pPr>
      <w:spacing w:line="240" w:lineRule="auto"/>
      <w:jc w:val="both"/>
    </w:pPr>
    <w:rPr>
      <w:rFonts w:eastAsia="Arial" w:cs="Arial"/>
      <w:bCs/>
    </w:rPr>
  </w:style>
  <w:style w:type="character" w:styleId="CommentReference">
    <w:name w:val="annotation reference"/>
    <w:basedOn w:val="DefaultParagraphFont"/>
    <w:uiPriority w:val="99"/>
    <w:semiHidden/>
    <w:unhideWhenUsed/>
    <w:rsid w:val="00CE678C"/>
    <w:rPr>
      <w:sz w:val="16"/>
      <w:szCs w:val="16"/>
    </w:rPr>
  </w:style>
  <w:style w:type="paragraph" w:styleId="CommentText">
    <w:name w:val="annotation text"/>
    <w:basedOn w:val="Normal"/>
    <w:link w:val="CommentTextChar"/>
    <w:uiPriority w:val="99"/>
    <w:semiHidden/>
    <w:unhideWhenUsed/>
    <w:rsid w:val="00CE678C"/>
    <w:pPr>
      <w:spacing w:line="240" w:lineRule="auto"/>
    </w:pPr>
    <w:rPr>
      <w:sz w:val="20"/>
      <w:szCs w:val="20"/>
    </w:rPr>
  </w:style>
  <w:style w:type="character" w:customStyle="1" w:styleId="CommentTextChar">
    <w:name w:val="Comment Text Char"/>
    <w:basedOn w:val="DefaultParagraphFont"/>
    <w:link w:val="CommentText"/>
    <w:uiPriority w:val="99"/>
    <w:semiHidden/>
    <w:rsid w:val="00CE678C"/>
    <w:rPr>
      <w:sz w:val="20"/>
      <w:szCs w:val="20"/>
    </w:rPr>
  </w:style>
  <w:style w:type="paragraph" w:styleId="CommentSubject">
    <w:name w:val="annotation subject"/>
    <w:basedOn w:val="CommentText"/>
    <w:next w:val="CommentText"/>
    <w:link w:val="CommentSubjectChar"/>
    <w:uiPriority w:val="99"/>
    <w:semiHidden/>
    <w:unhideWhenUsed/>
    <w:rsid w:val="00CE678C"/>
    <w:rPr>
      <w:b/>
      <w:bCs/>
    </w:rPr>
  </w:style>
  <w:style w:type="character" w:customStyle="1" w:styleId="CommentSubjectChar">
    <w:name w:val="Comment Subject Char"/>
    <w:basedOn w:val="CommentTextChar"/>
    <w:link w:val="CommentSubject"/>
    <w:uiPriority w:val="99"/>
    <w:semiHidden/>
    <w:rsid w:val="00CE678C"/>
    <w:rPr>
      <w:b/>
      <w:bCs/>
      <w:sz w:val="20"/>
      <w:szCs w:val="20"/>
    </w:rPr>
  </w:style>
  <w:style w:type="character" w:styleId="Hyperlink">
    <w:name w:val="Hyperlink"/>
    <w:basedOn w:val="DefaultParagraphFont"/>
    <w:uiPriority w:val="99"/>
    <w:unhideWhenUsed/>
    <w:rsid w:val="00372B4F"/>
    <w:rPr>
      <w:color w:val="5F5F5F" w:themeColor="hyperlink"/>
      <w:u w:val="single"/>
    </w:rPr>
  </w:style>
  <w:style w:type="character" w:styleId="UnresolvedMention">
    <w:name w:val="Unresolved Mention"/>
    <w:basedOn w:val="DefaultParagraphFont"/>
    <w:uiPriority w:val="99"/>
    <w:semiHidden/>
    <w:unhideWhenUsed/>
    <w:rsid w:val="00372B4F"/>
    <w:rPr>
      <w:color w:val="605E5C"/>
      <w:shd w:val="clear" w:color="auto" w:fill="E1DFDD"/>
    </w:rPr>
  </w:style>
  <w:style w:type="paragraph" w:styleId="EndnoteText">
    <w:name w:val="endnote text"/>
    <w:basedOn w:val="Normal"/>
    <w:link w:val="EndnoteTextChar"/>
    <w:uiPriority w:val="99"/>
    <w:semiHidden/>
    <w:unhideWhenUsed/>
    <w:rsid w:val="00E210CB"/>
    <w:pPr>
      <w:spacing w:line="240" w:lineRule="auto"/>
    </w:pPr>
    <w:rPr>
      <w:sz w:val="20"/>
      <w:szCs w:val="20"/>
    </w:rPr>
  </w:style>
  <w:style w:type="character" w:customStyle="1" w:styleId="EndnoteTextChar">
    <w:name w:val="Endnote Text Char"/>
    <w:basedOn w:val="DefaultParagraphFont"/>
    <w:link w:val="EndnoteText"/>
    <w:uiPriority w:val="99"/>
    <w:semiHidden/>
    <w:rsid w:val="00E210CB"/>
    <w:rPr>
      <w:rFonts w:ascii="Arial" w:hAnsi="Arial"/>
      <w:sz w:val="20"/>
      <w:szCs w:val="20"/>
    </w:rPr>
  </w:style>
  <w:style w:type="character" w:styleId="EndnoteReference">
    <w:name w:val="endnote reference"/>
    <w:basedOn w:val="DefaultParagraphFont"/>
    <w:uiPriority w:val="99"/>
    <w:semiHidden/>
    <w:unhideWhenUsed/>
    <w:rsid w:val="00E210CB"/>
    <w:rPr>
      <w:vertAlign w:val="superscript"/>
    </w:rPr>
  </w:style>
  <w:style w:type="character" w:customStyle="1" w:styleId="Prompt">
    <w:name w:val="Prompt"/>
    <w:aliases w:val="PR,Pr"/>
    <w:basedOn w:val="DefaultParagraphFont"/>
    <w:rsid w:val="00E210CB"/>
    <w:rPr>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7192595">
      <w:bodyDiv w:val="1"/>
      <w:marLeft w:val="0"/>
      <w:marRight w:val="0"/>
      <w:marTop w:val="0"/>
      <w:marBottom w:val="0"/>
      <w:divBdr>
        <w:top w:val="none" w:sz="0" w:space="0" w:color="auto"/>
        <w:left w:val="none" w:sz="0" w:space="0" w:color="auto"/>
        <w:bottom w:val="none" w:sz="0" w:space="0" w:color="auto"/>
        <w:right w:val="none" w:sz="0" w:space="0" w:color="auto"/>
      </w:divBdr>
    </w:div>
    <w:div w:id="2125732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lawfoundation.on.ca/download/martin_v-_barrett_2008_o-j-_no-_3813/"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B56CC48A3C5640A73567317D0FE497" ma:contentTypeVersion="13" ma:contentTypeDescription="Create a new document." ma:contentTypeScope="" ma:versionID="88d02cdf057d2d891822cb7c9fd2c9bf">
  <xsd:schema xmlns:xsd="http://www.w3.org/2001/XMLSchema" xmlns:xs="http://www.w3.org/2001/XMLSchema" xmlns:p="http://schemas.microsoft.com/office/2006/metadata/properties" xmlns:ns3="0a7d2919-ea8a-4715-9269-5a5ff0794665" xmlns:ns4="721b8bf2-f702-4f86-b787-fa2b0955a374" targetNamespace="http://schemas.microsoft.com/office/2006/metadata/properties" ma:root="true" ma:fieldsID="a4c8dadb73ba11a2bf476759512fd9cc" ns3:_="" ns4:_="">
    <xsd:import namespace="0a7d2919-ea8a-4715-9269-5a5ff0794665"/>
    <xsd:import namespace="721b8bf2-f702-4f86-b787-fa2b0955a37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7d2919-ea8a-4715-9269-5a5ff07946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1b8bf2-f702-4f86-b787-fa2b0955a3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DF47F2-209B-4734-998E-25401D5986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7d2919-ea8a-4715-9269-5a5ff0794665"/>
    <ds:schemaRef ds:uri="721b8bf2-f702-4f86-b787-fa2b0955a3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347721-468E-48AA-8D57-1AF565912D36}">
  <ds:schemaRefs>
    <ds:schemaRef ds:uri="http://schemas.openxmlformats.org/officeDocument/2006/bibliography"/>
  </ds:schemaRefs>
</ds:datastoreItem>
</file>

<file path=customXml/itemProps3.xml><?xml version="1.0" encoding="utf-8"?>
<ds:datastoreItem xmlns:ds="http://schemas.openxmlformats.org/officeDocument/2006/customXml" ds:itemID="{B73E34B8-7EE3-4DF2-BAF5-E2F8FC141F30}">
  <ds:schemaRefs>
    <ds:schemaRef ds:uri="http://schemas.microsoft.com/sharepoint/v3/contenttype/forms"/>
  </ds:schemaRefs>
</ds:datastoreItem>
</file>

<file path=customXml/itemProps4.xml><?xml version="1.0" encoding="utf-8"?>
<ds:datastoreItem xmlns:ds="http://schemas.openxmlformats.org/officeDocument/2006/customXml" ds:itemID="{8E158296-0A59-4588-A716-9E5A3F369F1C}">
  <ds:schemaRefs>
    <ds:schemaRef ds:uri="0a7d2919-ea8a-4715-9269-5a5ff0794665"/>
    <ds:schemaRef ds:uri="http://purl.org/dc/terms/"/>
    <ds:schemaRef ds:uri="721b8bf2-f702-4f86-b787-fa2b0955a374"/>
    <ds:schemaRef ds:uri="http://purl.org/dc/dcmitype/"/>
    <ds:schemaRef ds:uri="http://schemas.openxmlformats.org/package/2006/metadata/core-properties"/>
    <ds:schemaRef ds:uri="http://purl.org/dc/elements/1.1/"/>
    <ds:schemaRef ds:uri="http://schemas.microsoft.com/office/2006/documentManagement/types"/>
    <ds:schemaRef ds:uri="http://schemas.microsoft.com/office/infopath/2007/PartnerControl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Pages>
  <Words>823</Words>
  <Characters>4692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Ordonnance (Approbation des honoraires)</vt:lpstr>
    </vt:vector>
  </TitlesOfParts>
  <Company/>
  <LinksUpToDate>false</LinksUpToDate>
  <CharactersWithSpaces>5504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Ordonnance (Approbation des honoraires)</dc:title>
  <dc:subject>Formulaire</dc:subject>
  <dc:creator>Cour supérieure de justice</dc:creator>
  <cp:keywords/>
  <dc:description/>
  <cp:lastModifiedBy>Rottman, Mike (MAG)</cp:lastModifiedBy>
  <cp:revision>11</cp:revision>
  <dcterms:created xsi:type="dcterms:W3CDTF">2022-04-01T20:54:00Z</dcterms:created>
  <dcterms:modified xsi:type="dcterms:W3CDTF">2022-04-11T15:55:00Z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0x0101007FB56CC48A3C5640A73567317D0FE497</vt:lpwstr>
  </property>
  <property fmtid="{D5CDD505-2E9C-101B-9397-08002B2CF9AE}" pid="3" name="MSIP_Label_034a106e-6316-442c-ad35-738afd673d2b_Enabled">
    <vt:lpwstr>true</vt:lpwstr>
  </property>
  <property fmtid="{D5CDD505-2E9C-101B-9397-08002B2CF9AE}" pid="4" name="MSIP_Label_034a106e-6316-442c-ad35-738afd673d2b_SetDate">
    <vt:lpwstr>2022-03-30T22:04:34Z</vt:lpwstr>
  </property>
  <property fmtid="{D5CDD505-2E9C-101B-9397-08002B2CF9AE}" pid="5" name="MSIP_Label_034a106e-6316-442c-ad35-738afd673d2b_Method">
    <vt:lpwstr>Standard</vt:lpwstr>
  </property>
  <property fmtid="{D5CDD505-2E9C-101B-9397-08002B2CF9AE}" pid="6" name="MSIP_Label_034a106e-6316-442c-ad35-738afd673d2b_Name">
    <vt:lpwstr>034a106e-6316-442c-ad35-738afd673d2b</vt:lpwstr>
  </property>
  <property fmtid="{D5CDD505-2E9C-101B-9397-08002B2CF9AE}" pid="7" name="MSIP_Label_034a106e-6316-442c-ad35-738afd673d2b_SiteId">
    <vt:lpwstr>cddc1229-ac2a-4b97-b78a-0e5cacb5865c</vt:lpwstr>
  </property>
  <property fmtid="{D5CDD505-2E9C-101B-9397-08002B2CF9AE}" pid="8" name="MSIP_Label_034a106e-6316-442c-ad35-738afd673d2b_ActionId">
    <vt:lpwstr>d749d6bb-fe1f-49be-9765-97bf4bd98190</vt:lpwstr>
  </property>
  <property fmtid="{D5CDD505-2E9C-101B-9397-08002B2CF9AE}" pid="9" name="MSIP_Label_034a106e-6316-442c-ad35-738afd673d2b_ContentBits">
    <vt:lpwstr>0</vt:lpwstr>
  </property>
</Properties>
</file>