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61B0" w14:textId="3B7531B7" w:rsidR="007C2D36" w:rsidRDefault="007C2D36" w:rsidP="007C2D36">
      <w:pPr>
        <w:spacing w:line="240" w:lineRule="auto"/>
        <w:jc w:val="right"/>
        <w:rPr>
          <w:b/>
          <w:bCs/>
          <w:szCs w:val="24"/>
        </w:rPr>
      </w:pPr>
      <w:r>
        <w:rPr>
          <w:b/>
          <w:bCs/>
          <w:szCs w:val="24"/>
        </w:rPr>
        <w:t xml:space="preserve">Court File No.: </w:t>
      </w:r>
    </w:p>
    <w:p w14:paraId="5FB82099" w14:textId="77777777" w:rsidR="007C2D36" w:rsidRDefault="007C2D36" w:rsidP="007C2D36">
      <w:pPr>
        <w:spacing w:line="240" w:lineRule="auto"/>
        <w:jc w:val="center"/>
        <w:rPr>
          <w:b/>
          <w:bCs/>
          <w:szCs w:val="24"/>
        </w:rPr>
      </w:pPr>
    </w:p>
    <w:p w14:paraId="25C63B2A" w14:textId="5E4D8A1B" w:rsidR="007C2D36" w:rsidRDefault="00DB77E3" w:rsidP="007C2D36">
      <w:pPr>
        <w:spacing w:line="240" w:lineRule="auto"/>
        <w:jc w:val="center"/>
        <w:rPr>
          <w:b/>
          <w:bCs/>
          <w:szCs w:val="24"/>
        </w:rPr>
      </w:pPr>
      <w:r>
        <w:rPr>
          <w:b/>
          <w:bCs/>
          <w:szCs w:val="24"/>
        </w:rPr>
        <w:t xml:space="preserve">ONTARIO </w:t>
      </w:r>
    </w:p>
    <w:p w14:paraId="23D38F8D" w14:textId="3B7F82B5" w:rsidR="000109F8" w:rsidRDefault="00356500" w:rsidP="007C2D36">
      <w:pPr>
        <w:spacing w:after="80"/>
        <w:jc w:val="center"/>
        <w:rPr>
          <w:szCs w:val="24"/>
        </w:rPr>
      </w:pPr>
      <w:r>
        <w:rPr>
          <w:b/>
          <w:bCs/>
          <w:szCs w:val="24"/>
        </w:rPr>
        <w:t>SUPERIOR COURT OF JUSTICE</w:t>
      </w:r>
    </w:p>
    <w:tbl>
      <w:tblPr>
        <w:tblStyle w:val="TableGrid"/>
        <w:tblpPr w:leftFromText="180" w:rightFromText="180" w:vertAnchor="text" w:tblpX="36"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6004"/>
        <w:gridCol w:w="208"/>
        <w:gridCol w:w="4948"/>
      </w:tblGrid>
      <w:tr w:rsidR="00552408" w:rsidRPr="005903EA" w14:paraId="7DA4DA08" w14:textId="77777777" w:rsidTr="00552408">
        <w:trPr>
          <w:trHeight w:val="403"/>
        </w:trPr>
        <w:tc>
          <w:tcPr>
            <w:tcW w:w="2690" w:type="pct"/>
            <w:vAlign w:val="center"/>
          </w:tcPr>
          <w:p w14:paraId="55EB4C91" w14:textId="378756C3" w:rsidR="007C2D36" w:rsidRPr="00DF49C2" w:rsidRDefault="007C2D36" w:rsidP="00552408">
            <w:pPr>
              <w:pStyle w:val="TableHeading"/>
              <w:spacing w:after="0" w:line="257" w:lineRule="auto"/>
              <w:jc w:val="left"/>
              <w:rPr>
                <w:bCs/>
              </w:rPr>
            </w:pPr>
            <w:r w:rsidRPr="00DF49C2">
              <w:t>THE HONOURABLE JUSTICE</w:t>
            </w:r>
          </w:p>
        </w:tc>
        <w:tc>
          <w:tcPr>
            <w:tcW w:w="93" w:type="pct"/>
            <w:vAlign w:val="center"/>
          </w:tcPr>
          <w:p w14:paraId="4DDC7E54" w14:textId="7EBAE0D8" w:rsidR="007C2D36" w:rsidRPr="005903EA" w:rsidRDefault="007C2D36" w:rsidP="00552408">
            <w:pPr>
              <w:spacing w:line="240" w:lineRule="auto"/>
              <w:rPr>
                <w:rFonts w:asciiTheme="minorHAnsi" w:eastAsia="Arial" w:hAnsiTheme="minorHAnsi" w:cstheme="minorHAnsi"/>
                <w:bCs/>
                <w:sz w:val="22"/>
              </w:rPr>
            </w:pPr>
            <w:r>
              <w:rPr>
                <w:rFonts w:asciiTheme="minorHAnsi" w:eastAsia="Arial" w:hAnsiTheme="minorHAnsi" w:cstheme="minorHAnsi"/>
                <w:bCs/>
                <w:sz w:val="22"/>
              </w:rPr>
              <w:t>)</w:t>
            </w:r>
          </w:p>
        </w:tc>
        <w:tc>
          <w:tcPr>
            <w:tcW w:w="2217" w:type="pct"/>
            <w:vAlign w:val="center"/>
          </w:tcPr>
          <w:p w14:paraId="3EE54C17" w14:textId="690A2B06" w:rsidR="007C2D36" w:rsidRPr="005903EA" w:rsidRDefault="00F830B9" w:rsidP="00552408">
            <w:pPr>
              <w:jc w:val="right"/>
              <w:rPr>
                <w:rFonts w:asciiTheme="minorHAnsi" w:eastAsia="Arial" w:hAnsiTheme="minorHAnsi" w:cstheme="minorHAnsi"/>
                <w:bCs/>
                <w:sz w:val="22"/>
                <w:szCs w:val="22"/>
              </w:rPr>
            </w:pPr>
            <w:r w:rsidRPr="00F830B9">
              <w:rPr>
                <w:rFonts w:eastAsia="Arial" w:cstheme="minorHAnsi"/>
                <w:bCs/>
              </w:rPr>
              <w:t>[weekday]</w:t>
            </w:r>
            <w:r w:rsidR="007C2D36">
              <w:rPr>
                <w:rFonts w:eastAsia="Arial" w:cstheme="minorHAnsi"/>
                <w:bCs/>
              </w:rPr>
              <w:t xml:space="preserve">, the </w:t>
            </w:r>
            <w:r w:rsidRPr="00F830B9">
              <w:rPr>
                <w:rFonts w:eastAsia="Arial" w:cstheme="minorHAnsi"/>
                <w:bCs/>
              </w:rPr>
              <w:t>[#]</w:t>
            </w:r>
            <w:r w:rsidR="007C2D36">
              <w:rPr>
                <w:rFonts w:eastAsia="Arial" w:cstheme="minorHAnsi"/>
                <w:bCs/>
              </w:rPr>
              <w:t xml:space="preserve"> day </w:t>
            </w:r>
          </w:p>
        </w:tc>
      </w:tr>
      <w:tr w:rsidR="007C2D36" w:rsidRPr="005903EA" w14:paraId="69AE7E1F" w14:textId="77777777" w:rsidTr="00552408">
        <w:trPr>
          <w:trHeight w:val="403"/>
        </w:trPr>
        <w:tc>
          <w:tcPr>
            <w:tcW w:w="2690" w:type="pct"/>
            <w:vAlign w:val="center"/>
          </w:tcPr>
          <w:p w14:paraId="384D5047" w14:textId="44C63A17" w:rsidR="007C2D36" w:rsidRPr="00E075B4" w:rsidRDefault="007C2D36" w:rsidP="00552408">
            <w:pPr>
              <w:pStyle w:val="TableCells"/>
            </w:pPr>
          </w:p>
        </w:tc>
        <w:tc>
          <w:tcPr>
            <w:tcW w:w="93" w:type="pct"/>
            <w:vAlign w:val="center"/>
          </w:tcPr>
          <w:p w14:paraId="6749C1DB" w14:textId="6250B933" w:rsidR="007C2D36" w:rsidRPr="005903EA" w:rsidRDefault="007C2D36" w:rsidP="00552408">
            <w:pPr>
              <w:spacing w:line="240" w:lineRule="auto"/>
              <w:rPr>
                <w:rFonts w:asciiTheme="minorHAnsi" w:eastAsia="Arial" w:hAnsiTheme="minorHAnsi" w:cstheme="minorHAnsi"/>
                <w:bCs/>
                <w:sz w:val="22"/>
              </w:rPr>
            </w:pPr>
            <w:r>
              <w:rPr>
                <w:rFonts w:asciiTheme="minorHAnsi" w:eastAsia="Arial" w:hAnsiTheme="minorHAnsi" w:cstheme="minorHAnsi"/>
                <w:bCs/>
                <w:sz w:val="22"/>
              </w:rPr>
              <w:t>)</w:t>
            </w:r>
          </w:p>
        </w:tc>
        <w:tc>
          <w:tcPr>
            <w:tcW w:w="2217" w:type="pct"/>
            <w:vAlign w:val="center"/>
          </w:tcPr>
          <w:p w14:paraId="090D98E0" w14:textId="37F81EE6" w:rsidR="007C2D36" w:rsidRPr="005903EA" w:rsidRDefault="007C2D36" w:rsidP="00552408">
            <w:pPr>
              <w:jc w:val="right"/>
              <w:rPr>
                <w:rFonts w:asciiTheme="minorHAnsi" w:eastAsia="Arial" w:hAnsiTheme="minorHAnsi" w:cstheme="minorHAnsi"/>
                <w:bCs/>
                <w:sz w:val="22"/>
                <w:szCs w:val="22"/>
              </w:rPr>
            </w:pPr>
            <w:r>
              <w:rPr>
                <w:rFonts w:eastAsia="Arial" w:cstheme="minorHAnsi"/>
                <w:bCs/>
              </w:rPr>
              <w:t xml:space="preserve">of </w:t>
            </w:r>
            <w:r w:rsidR="00F830B9" w:rsidRPr="00F830B9">
              <w:rPr>
                <w:rFonts w:eastAsia="Arial"/>
                <w:bCs/>
              </w:rPr>
              <w:t>[month]</w:t>
            </w:r>
            <w:r>
              <w:rPr>
                <w:rFonts w:eastAsia="Arial"/>
                <w:bCs/>
              </w:rPr>
              <w:t>, 20</w:t>
            </w:r>
            <w:r w:rsidR="00F830B9" w:rsidRPr="00F830B9">
              <w:rPr>
                <w:rFonts w:eastAsia="Arial" w:cstheme="minorHAnsi"/>
                <w:bCs/>
              </w:rPr>
              <w:t>[year]</w:t>
            </w:r>
          </w:p>
        </w:tc>
      </w:tr>
      <w:tr w:rsidR="00552408" w:rsidRPr="005903EA" w14:paraId="40B6E8BE" w14:textId="77777777" w:rsidTr="00552408">
        <w:trPr>
          <w:trHeight w:val="403"/>
        </w:trPr>
        <w:tc>
          <w:tcPr>
            <w:tcW w:w="5000" w:type="pct"/>
            <w:gridSpan w:val="3"/>
            <w:vAlign w:val="bottom"/>
          </w:tcPr>
          <w:p w14:paraId="63C2BC19" w14:textId="16A22EBF" w:rsidR="00552408" w:rsidRPr="00552408" w:rsidRDefault="00552408" w:rsidP="00552408">
            <w:pPr>
              <w:spacing w:before="360" w:line="240" w:lineRule="auto"/>
            </w:pPr>
            <w:r>
              <w:t>BETWEEN</w:t>
            </w:r>
          </w:p>
        </w:tc>
      </w:tr>
      <w:tr w:rsidR="00552408" w:rsidRPr="005903EA" w14:paraId="0C07E818" w14:textId="77777777" w:rsidTr="00552408">
        <w:trPr>
          <w:trHeight w:val="403"/>
        </w:trPr>
        <w:tc>
          <w:tcPr>
            <w:tcW w:w="5000" w:type="pct"/>
            <w:gridSpan w:val="3"/>
            <w:vAlign w:val="bottom"/>
          </w:tcPr>
          <w:p w14:paraId="232CE2DC" w14:textId="0C2F7471" w:rsidR="00552408" w:rsidRDefault="00F830B9" w:rsidP="00552408">
            <w:pPr>
              <w:spacing w:before="120" w:after="120" w:line="240" w:lineRule="auto"/>
              <w:jc w:val="center"/>
            </w:pPr>
            <w:r w:rsidRPr="00F830B9">
              <w:rPr>
                <w:rFonts w:eastAsia="Arial" w:cstheme="minorHAnsi"/>
                <w:b/>
              </w:rPr>
              <w:t>[Plaintiff(s)]</w:t>
            </w:r>
          </w:p>
        </w:tc>
      </w:tr>
      <w:tr w:rsidR="00552408" w:rsidRPr="005903EA" w14:paraId="16A2D47A" w14:textId="77777777" w:rsidTr="00552408">
        <w:trPr>
          <w:trHeight w:val="403"/>
        </w:trPr>
        <w:tc>
          <w:tcPr>
            <w:tcW w:w="5000" w:type="pct"/>
            <w:gridSpan w:val="3"/>
            <w:vAlign w:val="bottom"/>
          </w:tcPr>
          <w:p w14:paraId="3B1E5B56" w14:textId="18362908" w:rsidR="00552408" w:rsidRDefault="00552408" w:rsidP="00552408">
            <w:pPr>
              <w:spacing w:before="80" w:after="80" w:line="240" w:lineRule="auto"/>
              <w:jc w:val="center"/>
            </w:pPr>
            <w:r w:rsidRPr="007C2D36">
              <w:rPr>
                <w:rFonts w:eastAsia="Arial" w:cstheme="minorHAnsi"/>
                <w:bCs/>
              </w:rPr>
              <w:t>-</w:t>
            </w:r>
            <w:r>
              <w:rPr>
                <w:rFonts w:eastAsia="Arial" w:cstheme="minorHAnsi"/>
                <w:bCs/>
              </w:rPr>
              <w:t xml:space="preserve"> a</w:t>
            </w:r>
            <w:r w:rsidRPr="007C2D36">
              <w:rPr>
                <w:rFonts w:eastAsia="Arial" w:cstheme="minorHAnsi"/>
                <w:bCs/>
              </w:rPr>
              <w:t>nd-</w:t>
            </w:r>
          </w:p>
        </w:tc>
      </w:tr>
      <w:tr w:rsidR="00552408" w:rsidRPr="005903EA" w14:paraId="5B004E9C" w14:textId="77777777" w:rsidTr="00552408">
        <w:trPr>
          <w:trHeight w:val="403"/>
        </w:trPr>
        <w:tc>
          <w:tcPr>
            <w:tcW w:w="5000" w:type="pct"/>
            <w:gridSpan w:val="3"/>
            <w:vAlign w:val="bottom"/>
          </w:tcPr>
          <w:p w14:paraId="17FCDEE9" w14:textId="579E23AB" w:rsidR="00552408" w:rsidRPr="007C2D36" w:rsidRDefault="00F830B9" w:rsidP="00552408">
            <w:pPr>
              <w:spacing w:before="120" w:after="120" w:line="240" w:lineRule="auto"/>
              <w:jc w:val="center"/>
              <w:rPr>
                <w:rFonts w:eastAsia="Arial" w:cstheme="minorHAnsi"/>
                <w:bCs/>
              </w:rPr>
            </w:pPr>
            <w:r w:rsidRPr="00F830B9">
              <w:rPr>
                <w:rFonts w:eastAsia="Arial" w:cstheme="minorHAnsi"/>
                <w:b/>
              </w:rPr>
              <w:t>[Defendant(s)]</w:t>
            </w:r>
          </w:p>
        </w:tc>
      </w:tr>
    </w:tbl>
    <w:p w14:paraId="24EE3F31" w14:textId="0C2BD649" w:rsidR="007C2D36" w:rsidRDefault="007C2D36" w:rsidP="007C2D36">
      <w:pPr>
        <w:jc w:val="center"/>
      </w:pPr>
    </w:p>
    <w:p w14:paraId="08C86C90" w14:textId="0BF99314" w:rsidR="007C2D36" w:rsidRDefault="007C2D36" w:rsidP="007C2D36">
      <w:pPr>
        <w:jc w:val="center"/>
      </w:pPr>
    </w:p>
    <w:p w14:paraId="008C13AD" w14:textId="77506A3C" w:rsidR="007C2D36" w:rsidRDefault="007C2D36" w:rsidP="007C2D36">
      <w:pPr>
        <w:jc w:val="center"/>
      </w:pPr>
      <w:r w:rsidRPr="007C2D36">
        <w:t xml:space="preserve">Proceeding under the </w:t>
      </w:r>
      <w:r w:rsidRPr="007C2D36">
        <w:rPr>
          <w:i/>
          <w:iCs/>
        </w:rPr>
        <w:t>Class Proceedings Act</w:t>
      </w:r>
      <w:r w:rsidRPr="007C2D36">
        <w:t>, 1992, S.O. 1992, c. 6</w:t>
      </w:r>
    </w:p>
    <w:p w14:paraId="6A5961C9" w14:textId="3526275E" w:rsidR="007C2D36" w:rsidRDefault="007C2D36" w:rsidP="007C2D36">
      <w:pPr>
        <w:pStyle w:val="Title"/>
        <w:spacing w:before="360" w:line="240" w:lineRule="auto"/>
        <w:jc w:val="center"/>
      </w:pPr>
      <w:r>
        <w:t>ORDER</w:t>
      </w:r>
    </w:p>
    <w:p w14:paraId="09720BC3" w14:textId="77777777" w:rsidR="00EB0033" w:rsidRDefault="007C2D36" w:rsidP="007C2D36">
      <w:pPr>
        <w:pStyle w:val="Heading2"/>
        <w:spacing w:before="0"/>
        <w:jc w:val="center"/>
        <w:sectPr w:rsidR="00EB0033" w:rsidSect="0008363D">
          <w:headerReference w:type="even" r:id="rId11"/>
          <w:headerReference w:type="default" r:id="rId12"/>
          <w:footerReference w:type="even" r:id="rId13"/>
          <w:footerReference w:type="default" r:id="rId14"/>
          <w:headerReference w:type="first" r:id="rId15"/>
          <w:footerReference w:type="first" r:id="rId16"/>
          <w:pgSz w:w="12240" w:h="15840"/>
          <w:pgMar w:top="630" w:right="540" w:bottom="540" w:left="540" w:header="540" w:footer="288" w:gutter="0"/>
          <w:cols w:space="708"/>
          <w:docGrid w:linePitch="360"/>
        </w:sectPr>
      </w:pPr>
      <w:r>
        <w:t>(Fee Approval)</w:t>
      </w:r>
      <w:r w:rsidR="00E210CB">
        <w:rPr>
          <w:rStyle w:val="FootnoteReference"/>
        </w:rPr>
        <w:footnoteReference w:id="1"/>
      </w:r>
    </w:p>
    <w:p w14:paraId="2F3BB72C" w14:textId="0EE2192B" w:rsidR="007C2D36" w:rsidRDefault="007C2D36" w:rsidP="00552408">
      <w:pPr>
        <w:spacing w:before="360"/>
        <w:ind w:firstLine="720"/>
        <w:jc w:val="both"/>
      </w:pPr>
      <w:r w:rsidRPr="006E3DB8">
        <w:rPr>
          <w:b/>
        </w:rPr>
        <w:t>THIS MOTION</w:t>
      </w:r>
      <w:r w:rsidRPr="006E3DB8">
        <w:t xml:space="preserve"> made by Class Counsel for an order approving the Class Action Contingency Fee Retainer Agreement, approving the fees and disbursements of Class Counsel </w:t>
      </w:r>
      <w:r w:rsidR="00552408" w:rsidRPr="00552408">
        <w:t>[and approving the payment of honoraria to the Plaintiffs] [and approving payment to the litigation funder]</w:t>
      </w:r>
      <w:r w:rsidRPr="006E3DB8">
        <w:t xml:space="preserve">, was heard this day [by judicial videoconference at </w:t>
      </w:r>
      <w:r w:rsidR="00552408" w:rsidRPr="00552408">
        <w:rPr>
          <w:i/>
          <w:iCs/>
        </w:rPr>
        <w:t>(</w:t>
      </w:r>
      <w:r w:rsidRPr="006E3DB8">
        <w:rPr>
          <w:i/>
        </w:rPr>
        <w:t>City</w:t>
      </w:r>
      <w:r w:rsidRPr="00552408">
        <w:rPr>
          <w:i/>
          <w:iCs/>
        </w:rPr>
        <w:t>)</w:t>
      </w:r>
      <w:r w:rsidRPr="006E3DB8">
        <w:t>]</w:t>
      </w:r>
      <w:proofErr w:type="gramStart"/>
      <w:r w:rsidRPr="006E3DB8">
        <w:t>/[</w:t>
      </w:r>
      <w:proofErr w:type="gramEnd"/>
      <w:r w:rsidRPr="006E3DB8">
        <w:t xml:space="preserve">at </w:t>
      </w:r>
      <w:r w:rsidRPr="00552408">
        <w:rPr>
          <w:i/>
          <w:iCs/>
        </w:rPr>
        <w:t>(</w:t>
      </w:r>
      <w:r w:rsidRPr="006E3DB8">
        <w:rPr>
          <w:i/>
        </w:rPr>
        <w:t>address of courthouse)</w:t>
      </w:r>
      <w:r w:rsidRPr="006E3DB8">
        <w:rPr>
          <w:spacing w:val="-1"/>
          <w:lang w:val="en-US"/>
        </w:rPr>
        <w:t>], Ontario</w:t>
      </w:r>
      <w:r w:rsidRPr="006E3DB8">
        <w:t>.</w:t>
      </w:r>
    </w:p>
    <w:p w14:paraId="088E4B4C" w14:textId="448AC636" w:rsidR="007C2D36" w:rsidRDefault="00552408" w:rsidP="00552408">
      <w:pPr>
        <w:spacing w:before="240"/>
        <w:ind w:firstLine="720"/>
        <w:jc w:val="both"/>
      </w:pPr>
      <w:r w:rsidRPr="006E3DB8">
        <w:rPr>
          <w:b/>
        </w:rPr>
        <w:t>ON READING</w:t>
      </w:r>
      <w:r w:rsidRPr="006E3DB8">
        <w:t xml:space="preserve"> the materials filed, </w:t>
      </w:r>
      <w:r w:rsidRPr="006E3DB8">
        <w:rPr>
          <w:lang w:val="en-GB"/>
        </w:rPr>
        <w:t>including the settlement agreement with the Defendants [</w:t>
      </w:r>
      <w:r w:rsidRPr="006E3DB8">
        <w:rPr>
          <w:i/>
          <w:lang w:val="en-GB"/>
        </w:rPr>
        <w:t>insert Defendant(s) intending to be bound by the settlement agreement</w:t>
      </w:r>
      <w:r w:rsidRPr="006E3DB8">
        <w:rPr>
          <w:lang w:val="en-GB"/>
        </w:rPr>
        <w:t>] (collectively, the “Settling Defendant(s)”), dated as of [</w:t>
      </w:r>
      <w:r w:rsidRPr="006E3DB8">
        <w:rPr>
          <w:i/>
          <w:lang w:val="en-GB"/>
        </w:rPr>
        <w:t>insert date</w:t>
      </w:r>
      <w:r w:rsidRPr="006E3DB8">
        <w:rPr>
          <w:lang w:val="en-GB"/>
        </w:rPr>
        <w:t xml:space="preserve">] (the “Settlement Agreement”), and on hearing the submissions of counsel for the Plaintiff(s) and counsel for the Settling Defendant(s), [the </w:t>
      </w:r>
      <w:r>
        <w:rPr>
          <w:lang w:val="en-GB"/>
        </w:rPr>
        <w:t>non-settling d</w:t>
      </w:r>
      <w:r w:rsidRPr="006E3DB8">
        <w:rPr>
          <w:lang w:val="en-GB"/>
        </w:rPr>
        <w:t>efendant(s) taking no position</w:t>
      </w:r>
      <w:proofErr w:type="gramStart"/>
      <w:r w:rsidRPr="006E3DB8">
        <w:t>];</w:t>
      </w:r>
      <w:proofErr w:type="gramEnd"/>
    </w:p>
    <w:p w14:paraId="3BE25840" w14:textId="15E43689" w:rsidR="00552408" w:rsidRDefault="00552408" w:rsidP="00552408">
      <w:pPr>
        <w:spacing w:before="240"/>
        <w:ind w:firstLine="720"/>
        <w:jc w:val="both"/>
      </w:pPr>
      <w:r w:rsidRPr="006E3DB8">
        <w:rPr>
          <w:b/>
          <w:bCs/>
          <w:lang w:val="en-GB"/>
        </w:rPr>
        <w:t xml:space="preserve">AND ON BEING ADVISED </w:t>
      </w:r>
      <w:r w:rsidRPr="006E3DB8">
        <w:rPr>
          <w:bCs/>
          <w:lang w:val="en-GB"/>
        </w:rPr>
        <w:t>that the Plaintiff(s), the Settling Defendant(s), and the [</w:t>
      </w:r>
      <w:r w:rsidRPr="006E3DB8">
        <w:rPr>
          <w:bCs/>
          <w:i/>
          <w:lang w:val="en-GB"/>
        </w:rPr>
        <w:t>litigation funder</w:t>
      </w:r>
      <w:r w:rsidRPr="006E3DB8">
        <w:rPr>
          <w:bCs/>
          <w:lang w:val="en-GB"/>
        </w:rPr>
        <w:t xml:space="preserve">] consent to this Order [and that the </w:t>
      </w:r>
      <w:r>
        <w:rPr>
          <w:bCs/>
          <w:lang w:val="en-GB"/>
        </w:rPr>
        <w:t>non-settling d</w:t>
      </w:r>
      <w:r w:rsidRPr="006E3DB8">
        <w:rPr>
          <w:bCs/>
          <w:lang w:val="en-GB"/>
        </w:rPr>
        <w:t>efendant(s) take no position]:</w:t>
      </w:r>
    </w:p>
    <w:p w14:paraId="0FE2DB10" w14:textId="540D887C" w:rsidR="00552408" w:rsidRDefault="00552408" w:rsidP="007C2D36"/>
    <w:p w14:paraId="2639D145" w14:textId="6D7DC1D3" w:rsidR="00552408" w:rsidRDefault="00552408" w:rsidP="00552408">
      <w:pPr>
        <w:pStyle w:val="ListParagraph"/>
        <w:numPr>
          <w:ilvl w:val="0"/>
          <w:numId w:val="4"/>
        </w:numPr>
        <w:ind w:left="360"/>
        <w:jc w:val="both"/>
      </w:pPr>
      <w:r w:rsidRPr="006E3DB8">
        <w:rPr>
          <w:b/>
        </w:rPr>
        <w:t>THIS COURT ORDERS</w:t>
      </w:r>
      <w:r w:rsidRPr="006E3DB8">
        <w:t xml:space="preserve"> that, in addition to the definitions used elsewhere in this Order, for the purposes of this Order, the definitions set out in the Settlement Agreement apply to, and are incorporated into, this Order.</w:t>
      </w:r>
    </w:p>
    <w:p w14:paraId="0C81B62A" w14:textId="190459DD" w:rsidR="00552408" w:rsidRPr="00E210CB" w:rsidRDefault="00E210CB" w:rsidP="00E210CB">
      <w:pPr>
        <w:pStyle w:val="ListParagraph"/>
        <w:numPr>
          <w:ilvl w:val="0"/>
          <w:numId w:val="4"/>
        </w:numPr>
        <w:spacing w:before="240"/>
        <w:ind w:left="360"/>
        <w:contextualSpacing w:val="0"/>
        <w:jc w:val="both"/>
      </w:pPr>
      <w:r w:rsidRPr="006E3DB8">
        <w:rPr>
          <w:b/>
        </w:rPr>
        <w:lastRenderedPageBreak/>
        <w:t xml:space="preserve">THIS COURT ORDERS AND DECLARES </w:t>
      </w:r>
      <w:r w:rsidRPr="006E3DB8">
        <w:t>that the Contingency Fee Retainer Agreement, dated [</w:t>
      </w:r>
      <w:r w:rsidRPr="006E3DB8">
        <w:rPr>
          <w:i/>
        </w:rPr>
        <w:t>date</w:t>
      </w:r>
      <w:r w:rsidRPr="006E3DB8">
        <w:t xml:space="preserve">], made between the Plaintiff(s) and Class Counsel, is fair and reasonable, and is hereby approved pursuant to s. 32(2) of the </w:t>
      </w:r>
      <w:r w:rsidRPr="006E3DB8">
        <w:rPr>
          <w:i/>
          <w:iCs/>
        </w:rPr>
        <w:t>Class Proceedings Act, 1992</w:t>
      </w:r>
      <w:r w:rsidRPr="006E3DB8">
        <w:rPr>
          <w:iCs/>
        </w:rPr>
        <w:t>, S.O. 1992, c. 6.</w:t>
      </w:r>
    </w:p>
    <w:p w14:paraId="56F82CFB" w14:textId="00FD568C" w:rsidR="00E210CB" w:rsidRDefault="00E210CB" w:rsidP="00E210CB">
      <w:pPr>
        <w:pStyle w:val="ListParagraph"/>
        <w:numPr>
          <w:ilvl w:val="0"/>
          <w:numId w:val="4"/>
        </w:numPr>
        <w:spacing w:before="240"/>
        <w:ind w:left="360"/>
        <w:contextualSpacing w:val="0"/>
        <w:jc w:val="both"/>
      </w:pPr>
      <w:r w:rsidRPr="00E210CB">
        <w:rPr>
          <w:b/>
        </w:rPr>
        <w:t>THIS COURT ORDERS AND DECLARES</w:t>
      </w:r>
      <w:r w:rsidRPr="00E210CB">
        <w:t xml:space="preserve"> that the legal fees of Class Counsel, totalling $</w:t>
      </w:r>
      <w:r w:rsidRPr="00E210CB">
        <w:rPr>
          <w:rStyle w:val="Prompt"/>
          <w:color w:val="auto"/>
        </w:rPr>
        <w:t>[</w:t>
      </w:r>
      <w:r w:rsidRPr="00E210CB">
        <w:rPr>
          <w:rStyle w:val="Prompt"/>
          <w:i/>
          <w:iCs/>
          <w:color w:val="auto"/>
        </w:rPr>
        <w:t>amount</w:t>
      </w:r>
      <w:r w:rsidRPr="00E210CB">
        <w:rPr>
          <w:rStyle w:val="Prompt"/>
          <w:color w:val="auto"/>
        </w:rPr>
        <w:t>]</w:t>
      </w:r>
      <w:r w:rsidRPr="00E210CB">
        <w:t xml:space="preserve"> ([</w:t>
      </w:r>
      <w:r w:rsidRPr="00E210CB">
        <w:rPr>
          <w:i/>
        </w:rPr>
        <w:t>percent</w:t>
      </w:r>
      <w:r w:rsidRPr="00E210CB">
        <w:t>] per cent of the Settlement Fund), plus applicable taxes of $</w:t>
      </w:r>
      <w:r w:rsidRPr="00E210CB">
        <w:rPr>
          <w:rStyle w:val="Prompt"/>
          <w:color w:val="auto"/>
        </w:rPr>
        <w:t>[</w:t>
      </w:r>
      <w:r w:rsidRPr="00E210CB">
        <w:rPr>
          <w:rStyle w:val="Prompt"/>
          <w:i/>
          <w:iCs/>
          <w:color w:val="auto"/>
        </w:rPr>
        <w:t>amount</w:t>
      </w:r>
      <w:r w:rsidRPr="00E210CB">
        <w:rPr>
          <w:rStyle w:val="Prompt"/>
          <w:color w:val="auto"/>
        </w:rPr>
        <w:t>],</w:t>
      </w:r>
      <w:r w:rsidRPr="00E210CB">
        <w:t xml:space="preserve"> and the disbursements of Class Counsel, totalling $</w:t>
      </w:r>
      <w:r w:rsidRPr="00E210CB">
        <w:rPr>
          <w:rStyle w:val="Prompt"/>
          <w:color w:val="auto"/>
        </w:rPr>
        <w:t>[</w:t>
      </w:r>
      <w:r w:rsidRPr="00E210CB">
        <w:rPr>
          <w:rStyle w:val="Prompt"/>
          <w:i/>
          <w:iCs/>
          <w:color w:val="auto"/>
        </w:rPr>
        <w:t>amount</w:t>
      </w:r>
      <w:r w:rsidRPr="00E210CB">
        <w:rPr>
          <w:rStyle w:val="Prompt"/>
          <w:color w:val="auto"/>
        </w:rPr>
        <w:t xml:space="preserve">], </w:t>
      </w:r>
      <w:r w:rsidRPr="00E210CB">
        <w:rPr>
          <w:rFonts w:eastAsia="Calibri"/>
        </w:rPr>
        <w:t>inclusive of interest and applicable taxes</w:t>
      </w:r>
      <w:r w:rsidRPr="00E210CB">
        <w:t>, are fair and reasonable, and are hereby approved.</w:t>
      </w:r>
    </w:p>
    <w:p w14:paraId="11EDE00D" w14:textId="72793476" w:rsidR="00E210CB" w:rsidRDefault="00E210CB" w:rsidP="00E210CB">
      <w:pPr>
        <w:pStyle w:val="ListParagraph"/>
        <w:numPr>
          <w:ilvl w:val="0"/>
          <w:numId w:val="4"/>
        </w:numPr>
        <w:spacing w:before="240"/>
        <w:ind w:left="360"/>
        <w:contextualSpacing w:val="0"/>
        <w:jc w:val="both"/>
      </w:pPr>
      <w:r w:rsidRPr="006E3DB8">
        <w:rPr>
          <w:b/>
        </w:rPr>
        <w:t>THIS COURT ORDERS</w:t>
      </w:r>
      <w:r w:rsidRPr="006E3DB8">
        <w:t xml:space="preserve"> that the legal fees, disbursements, </w:t>
      </w:r>
      <w:proofErr w:type="gramStart"/>
      <w:r w:rsidRPr="006E3DB8">
        <w:t>interest</w:t>
      </w:r>
      <w:proofErr w:type="gramEnd"/>
      <w:r w:rsidRPr="006E3DB8">
        <w:t xml:space="preserve"> and applicable taxes payable to Class Counsel, as fixed in paragraph 3 of this Order, be paid [from the Settlement Fund</w:t>
      </w:r>
      <w:r>
        <w:t>] [</w:t>
      </w:r>
      <w:r w:rsidRPr="006E3DB8">
        <w:t>by the Settling Defendant(s)].</w:t>
      </w:r>
    </w:p>
    <w:p w14:paraId="2EDE8489" w14:textId="3F8CE59B" w:rsidR="00E210CB" w:rsidRDefault="00E210CB" w:rsidP="00E210CB">
      <w:pPr>
        <w:pStyle w:val="ListParagraph"/>
        <w:numPr>
          <w:ilvl w:val="0"/>
          <w:numId w:val="4"/>
        </w:numPr>
        <w:spacing w:before="240"/>
        <w:ind w:left="360"/>
        <w:contextualSpacing w:val="0"/>
        <w:jc w:val="both"/>
      </w:pPr>
      <w:r w:rsidRPr="00E210CB">
        <w:rPr>
          <w:bCs/>
        </w:rPr>
        <w:t>[</w:t>
      </w:r>
      <w:r w:rsidRPr="00E210CB">
        <w:rPr>
          <w:bCs/>
          <w:i/>
          <w:iCs/>
        </w:rPr>
        <w:t>* if appropriate</w:t>
      </w:r>
      <w:r w:rsidRPr="00E210CB">
        <w:rPr>
          <w:bCs/>
        </w:rPr>
        <w:t>]</w:t>
      </w:r>
      <w:r w:rsidRPr="006E3DB8">
        <w:rPr>
          <w:b/>
        </w:rPr>
        <w:t xml:space="preserve"> THIS COURT ORDERS</w:t>
      </w:r>
      <w:r w:rsidRPr="006E3DB8">
        <w:t xml:space="preserve"> that the fees and disbursements payable to Class Counsel, as fixed in paragraph 3 of this Order, are a first charge upon the Settlement Fund in favour of Class Counsel.</w:t>
      </w:r>
    </w:p>
    <w:p w14:paraId="1B5142D4" w14:textId="5C91316E" w:rsidR="00E210CB" w:rsidRDefault="00E210CB" w:rsidP="00E210CB">
      <w:pPr>
        <w:pStyle w:val="ListParagraph"/>
        <w:numPr>
          <w:ilvl w:val="0"/>
          <w:numId w:val="4"/>
        </w:numPr>
        <w:spacing w:before="240"/>
        <w:ind w:left="360"/>
        <w:contextualSpacing w:val="0"/>
        <w:jc w:val="both"/>
      </w:pPr>
      <w:r w:rsidRPr="00E210CB">
        <w:rPr>
          <w:bCs/>
        </w:rPr>
        <w:t>[</w:t>
      </w:r>
      <w:r w:rsidRPr="00E210CB">
        <w:rPr>
          <w:bCs/>
          <w:i/>
          <w:iCs/>
        </w:rPr>
        <w:t>* if appropriate</w:t>
      </w:r>
      <w:r w:rsidRPr="00E210CB">
        <w:rPr>
          <w:bCs/>
        </w:rPr>
        <w:t>]</w:t>
      </w:r>
      <w:r w:rsidRPr="006E3DB8">
        <w:rPr>
          <w:b/>
        </w:rPr>
        <w:t xml:space="preserve"> THIS COURTS ORDERS</w:t>
      </w:r>
      <w:r w:rsidRPr="006E3DB8">
        <w:t xml:space="preserve"> that the Plaintiffs are each awarded honoraria of $[</w:t>
      </w:r>
      <w:r w:rsidRPr="006E3DB8">
        <w:rPr>
          <w:i/>
        </w:rPr>
        <w:t>amount</w:t>
      </w:r>
      <w:r w:rsidRPr="006E3DB8">
        <w:t>] for the contributions that they made to the prosecution of this action for the benefit of the Class as a whole, and that these amounts shall be paid [from the Settlement Fund]</w:t>
      </w:r>
      <w:proofErr w:type="gramStart"/>
      <w:r w:rsidRPr="006E3DB8">
        <w:t>/[</w:t>
      </w:r>
      <w:proofErr w:type="gramEnd"/>
      <w:r w:rsidRPr="006E3DB8">
        <w:t>by the Defendants]/[by Class Counsel from their legal fee award as fixed in paragraph 3 of this Order].</w:t>
      </w:r>
    </w:p>
    <w:p w14:paraId="4922439E" w14:textId="11984614" w:rsidR="00E30699" w:rsidRDefault="00E30699" w:rsidP="00E210CB">
      <w:pPr>
        <w:pStyle w:val="ListParagraph"/>
        <w:numPr>
          <w:ilvl w:val="0"/>
          <w:numId w:val="4"/>
        </w:numPr>
        <w:spacing w:before="240"/>
        <w:ind w:left="360"/>
        <w:contextualSpacing w:val="0"/>
        <w:jc w:val="both"/>
      </w:pPr>
      <w:r w:rsidRPr="00E30699">
        <w:rPr>
          <w:bCs/>
        </w:rPr>
        <w:t>[</w:t>
      </w:r>
      <w:r w:rsidRPr="00E30699">
        <w:rPr>
          <w:bCs/>
          <w:i/>
          <w:iCs/>
        </w:rPr>
        <w:t>* if appropriate</w:t>
      </w:r>
      <w:r w:rsidRPr="00E30699">
        <w:rPr>
          <w:bCs/>
        </w:rPr>
        <w:t xml:space="preserve">] </w:t>
      </w:r>
      <w:r w:rsidRPr="006E3DB8">
        <w:rPr>
          <w:b/>
        </w:rPr>
        <w:t>THIS COURT ORDERS</w:t>
      </w:r>
      <w:r w:rsidRPr="006E3DB8">
        <w:t xml:space="preserve"> that the Class Proceedings Fund of the Law Foundation of Ontario (“Fund</w:t>
      </w:r>
      <w:r w:rsidRPr="00E8256E">
        <w:t>”) shall be paid a levy in</w:t>
      </w:r>
      <w:r>
        <w:t xml:space="preserve"> the amount of 10% of the net settlement amount to which one or more Class Members is entitled (the “</w:t>
      </w:r>
      <w:r>
        <w:rPr>
          <w:b/>
          <w:bCs/>
        </w:rPr>
        <w:t>Levy</w:t>
      </w:r>
      <w:r>
        <w:t>”)</w:t>
      </w:r>
      <w:r>
        <w:rPr>
          <w:rStyle w:val="FootnoteReference"/>
        </w:rPr>
        <w:footnoteReference w:id="2"/>
      </w:r>
      <w:r>
        <w:t xml:space="preserve"> plus the amount of any financial support provided to the Plaintiff under s. 59.3 of the </w:t>
      </w:r>
      <w:r>
        <w:rPr>
          <w:i/>
        </w:rPr>
        <w:t>Law Society Act</w:t>
      </w:r>
      <w:r>
        <w:t>, R.S.O. 1990, c. L.8,</w:t>
      </w:r>
      <w:r>
        <w:rPr>
          <w:i/>
        </w:rPr>
        <w:t xml:space="preserve"> </w:t>
      </w:r>
      <w:r>
        <w:t>which has not been repaid to the Fund, in accordance with s. 10(3) of O. Reg. 771/92 (“</w:t>
      </w:r>
      <w:r>
        <w:rPr>
          <w:b/>
          <w:bCs/>
        </w:rPr>
        <w:t>Outstanding Disbursements</w:t>
      </w:r>
      <w:r>
        <w:t>”).</w:t>
      </w:r>
      <w:r>
        <w:rPr>
          <w:rStyle w:val="FootnoteReference"/>
        </w:rPr>
        <w:footnoteReference w:id="3"/>
      </w:r>
      <w:r>
        <w:t xml:space="preserve"> For greater certainty, the Fund is entitled to a payment of:</w:t>
      </w:r>
    </w:p>
    <w:p w14:paraId="19C51B20" w14:textId="38D12CE8" w:rsidR="002564DF" w:rsidRDefault="002564DF" w:rsidP="002564DF">
      <w:pPr>
        <w:pStyle w:val="ListParagraph"/>
        <w:numPr>
          <w:ilvl w:val="1"/>
          <w:numId w:val="4"/>
        </w:numPr>
        <w:spacing w:before="240"/>
        <w:contextualSpacing w:val="0"/>
        <w:jc w:val="both"/>
      </w:pPr>
      <w:r w:rsidRPr="002564DF">
        <w:t>$</w:t>
      </w:r>
      <w:r w:rsidRPr="002564DF">
        <w:rPr>
          <w:rStyle w:val="Prompt"/>
          <w:color w:val="auto"/>
        </w:rPr>
        <w:t>[</w:t>
      </w:r>
      <w:r w:rsidRPr="002564DF">
        <w:rPr>
          <w:rStyle w:val="Prompt"/>
          <w:i/>
          <w:iCs/>
          <w:color w:val="auto"/>
        </w:rPr>
        <w:t>amount</w:t>
      </w:r>
      <w:r w:rsidRPr="002564DF">
        <w:rPr>
          <w:rStyle w:val="Prompt"/>
          <w:color w:val="auto"/>
        </w:rPr>
        <w:t xml:space="preserve">] from the Settlement Fund, </w:t>
      </w:r>
      <w:r w:rsidRPr="002564DF">
        <w:rPr>
          <w:bCs/>
        </w:rPr>
        <w:t xml:space="preserve">in respect of Outstanding Disbursements </w:t>
      </w:r>
      <w:r w:rsidRPr="002564DF">
        <w:t>[to date]; and</w:t>
      </w:r>
    </w:p>
    <w:p w14:paraId="4BB499E5" w14:textId="13AB5201" w:rsidR="002564DF" w:rsidRDefault="002564DF" w:rsidP="002564DF">
      <w:pPr>
        <w:pStyle w:val="ListParagraph"/>
        <w:numPr>
          <w:ilvl w:val="1"/>
          <w:numId w:val="4"/>
        </w:numPr>
        <w:spacing w:before="120"/>
        <w:contextualSpacing w:val="0"/>
        <w:jc w:val="both"/>
      </w:pPr>
      <w:r>
        <w:t>$[</w:t>
      </w:r>
      <w:r w:rsidRPr="00895344">
        <w:rPr>
          <w:i/>
        </w:rPr>
        <w:t>amount</w:t>
      </w:r>
      <w:r>
        <w:t>] from the Settlement Fund in respect of the Levy.</w:t>
      </w:r>
    </w:p>
    <w:p w14:paraId="79FE3F73" w14:textId="3E817745" w:rsidR="002564DF" w:rsidRDefault="002564DF" w:rsidP="002564DF">
      <w:pPr>
        <w:pStyle w:val="ListParagraph"/>
        <w:numPr>
          <w:ilvl w:val="0"/>
          <w:numId w:val="4"/>
        </w:numPr>
        <w:spacing w:before="240"/>
        <w:ind w:left="360"/>
        <w:contextualSpacing w:val="0"/>
        <w:jc w:val="both"/>
      </w:pPr>
      <w:r w:rsidRPr="002564DF">
        <w:rPr>
          <w:bCs/>
        </w:rPr>
        <w:t>[</w:t>
      </w:r>
      <w:r w:rsidRPr="002564DF">
        <w:rPr>
          <w:bCs/>
          <w:i/>
          <w:iCs/>
        </w:rPr>
        <w:t>* if appropriate</w:t>
      </w:r>
      <w:r w:rsidRPr="002564DF">
        <w:rPr>
          <w:bCs/>
        </w:rPr>
        <w:t>]</w:t>
      </w:r>
      <w:r w:rsidRPr="002564DF">
        <w:rPr>
          <w:b/>
        </w:rPr>
        <w:t xml:space="preserve"> </w:t>
      </w:r>
      <w:r w:rsidRPr="006E3DB8">
        <w:rPr>
          <w:b/>
          <w:bCs/>
        </w:rPr>
        <w:t xml:space="preserve">THIS COURT ORDERS </w:t>
      </w:r>
      <w:r w:rsidRPr="006E3DB8">
        <w:t>that</w:t>
      </w:r>
      <w:r>
        <w:t xml:space="preserve"> no amounts shall be distributed to any Class Members until the Law Foundation of Ontario has had an opportunity to review and confirm the calculation of the </w:t>
      </w:r>
      <w:r>
        <w:lastRenderedPageBreak/>
        <w:t>Levy in paragraph 7.</w:t>
      </w:r>
      <w:r>
        <w:rPr>
          <w:rStyle w:val="FootnoteReference"/>
        </w:rPr>
        <w:footnoteReference w:id="4"/>
      </w:r>
      <w:r>
        <w:t xml:space="preserve"> I</w:t>
      </w:r>
      <w:r w:rsidRPr="006E3DB8">
        <w:t xml:space="preserve">f there is any dispute </w:t>
      </w:r>
      <w:r>
        <w:t xml:space="preserve">or question </w:t>
      </w:r>
      <w:r w:rsidRPr="006E3DB8">
        <w:t xml:space="preserve">as to the calculation of the levy to the Fund, </w:t>
      </w:r>
      <w:r>
        <w:t>Class Counsel</w:t>
      </w:r>
      <w:r w:rsidRPr="006E3DB8">
        <w:t xml:space="preserve"> and counsel for the Fund shall arrange an appearance before the class action case management judge to resolve the issues</w:t>
      </w:r>
      <w:r>
        <w:t xml:space="preserve"> [and that, pending any appearance, no amounts shall be distributed to any Class Members].</w:t>
      </w:r>
    </w:p>
    <w:p w14:paraId="07C95D73" w14:textId="6559E66E" w:rsidR="002564DF" w:rsidRPr="002564DF" w:rsidRDefault="002564DF" w:rsidP="002564DF">
      <w:pPr>
        <w:pStyle w:val="ListParagraph"/>
        <w:numPr>
          <w:ilvl w:val="0"/>
          <w:numId w:val="4"/>
        </w:numPr>
        <w:spacing w:before="240"/>
        <w:ind w:left="360"/>
        <w:contextualSpacing w:val="0"/>
        <w:jc w:val="both"/>
      </w:pPr>
      <w:r w:rsidRPr="002564DF">
        <w:rPr>
          <w:bCs/>
        </w:rPr>
        <w:t>[</w:t>
      </w:r>
      <w:r w:rsidRPr="002564DF">
        <w:rPr>
          <w:bCs/>
          <w:i/>
          <w:iCs/>
        </w:rPr>
        <w:t>* if appropriate</w:t>
      </w:r>
      <w:r w:rsidRPr="002564DF">
        <w:rPr>
          <w:bCs/>
        </w:rPr>
        <w:t>]</w:t>
      </w:r>
      <w:r w:rsidRPr="002564DF">
        <w:rPr>
          <w:b/>
        </w:rPr>
        <w:t xml:space="preserve"> THIS COURT ORDERS</w:t>
      </w:r>
      <w:r w:rsidRPr="002564DF">
        <w:t xml:space="preserve"> that the [</w:t>
      </w:r>
      <w:r w:rsidRPr="002564DF">
        <w:rPr>
          <w:i/>
        </w:rPr>
        <w:t>third-party litigation funder</w:t>
      </w:r>
      <w:r w:rsidRPr="002564DF">
        <w:t>] is entitled be paid $</w:t>
      </w:r>
      <w:r w:rsidRPr="002564DF">
        <w:rPr>
          <w:rStyle w:val="Prompt"/>
          <w:color w:val="auto"/>
        </w:rPr>
        <w:t>[</w:t>
      </w:r>
      <w:r w:rsidRPr="002564DF">
        <w:rPr>
          <w:rStyle w:val="Prompt"/>
          <w:i/>
          <w:iCs/>
          <w:color w:val="auto"/>
        </w:rPr>
        <w:t>amount</w:t>
      </w:r>
      <w:r w:rsidRPr="002564DF">
        <w:rPr>
          <w:rStyle w:val="Prompt"/>
          <w:color w:val="auto"/>
        </w:rPr>
        <w:t>]</w:t>
      </w:r>
      <w:r w:rsidRPr="002564DF">
        <w:t>, in accordance with the terms of the Litigation Funding Agreement, dated [</w:t>
      </w:r>
      <w:r w:rsidRPr="002564DF">
        <w:rPr>
          <w:i/>
        </w:rPr>
        <w:t>date</w:t>
      </w:r>
      <w:r w:rsidRPr="002564DF">
        <w:t>].</w:t>
      </w:r>
    </w:p>
    <w:p w14:paraId="2C8812DC" w14:textId="77777777" w:rsidR="00EB0033" w:rsidRDefault="00EB0033" w:rsidP="0008363D">
      <w:pPr>
        <w:spacing w:after="360"/>
        <w:sectPr w:rsidR="00EB0033" w:rsidSect="00EB0033">
          <w:type w:val="continuous"/>
          <w:pgSz w:w="12240" w:h="15840"/>
          <w:pgMar w:top="630" w:right="540" w:bottom="540" w:left="540" w:header="540" w:footer="288" w:gutter="0"/>
          <w:cols w:space="708"/>
          <w:docGrid w:linePitch="360"/>
        </w:sectPr>
      </w:pPr>
    </w:p>
    <w:p w14:paraId="009FD64F" w14:textId="4C5679B6" w:rsidR="00552408" w:rsidRDefault="00552408" w:rsidP="0008363D">
      <w:pPr>
        <w:spacing w:after="360"/>
      </w:pPr>
    </w:p>
    <w:tbl>
      <w:tblPr>
        <w:tblStyle w:val="TableGrid"/>
        <w:tblW w:w="0" w:type="auto"/>
        <w:tblCellMar>
          <w:left w:w="58" w:type="dxa"/>
          <w:right w:w="58" w:type="dxa"/>
        </w:tblCellMar>
        <w:tblLook w:val="04A0" w:firstRow="1" w:lastRow="0" w:firstColumn="1" w:lastColumn="0" w:noHBand="0" w:noVBand="1"/>
      </w:tblPr>
      <w:tblGrid>
        <w:gridCol w:w="4378"/>
        <w:gridCol w:w="212"/>
        <w:gridCol w:w="6560"/>
      </w:tblGrid>
      <w:tr w:rsidR="002564DF" w14:paraId="36669385" w14:textId="77777777" w:rsidTr="002564DF">
        <w:trPr>
          <w:trHeight w:val="359"/>
        </w:trPr>
        <w:tc>
          <w:tcPr>
            <w:tcW w:w="4378" w:type="dxa"/>
            <w:tcBorders>
              <w:top w:val="nil"/>
              <w:left w:val="nil"/>
              <w:bottom w:val="nil"/>
              <w:right w:val="nil"/>
            </w:tcBorders>
            <w:vAlign w:val="center"/>
          </w:tcPr>
          <w:p w14:paraId="08DB52C6" w14:textId="68CB311C" w:rsidR="002564DF" w:rsidRDefault="002564DF" w:rsidP="002564DF">
            <w:pPr>
              <w:spacing w:line="240" w:lineRule="auto"/>
            </w:pPr>
            <w:r>
              <w:t xml:space="preserve">Date: </w:t>
            </w:r>
          </w:p>
        </w:tc>
        <w:tc>
          <w:tcPr>
            <w:tcW w:w="212" w:type="dxa"/>
            <w:tcBorders>
              <w:top w:val="nil"/>
              <w:left w:val="nil"/>
              <w:bottom w:val="nil"/>
              <w:right w:val="nil"/>
            </w:tcBorders>
            <w:vAlign w:val="center"/>
          </w:tcPr>
          <w:p w14:paraId="6C3E28B8" w14:textId="4263C723" w:rsidR="002564DF" w:rsidRDefault="002564DF" w:rsidP="002564DF">
            <w:pPr>
              <w:spacing w:line="240" w:lineRule="auto"/>
              <w:jc w:val="left"/>
            </w:pPr>
          </w:p>
        </w:tc>
        <w:tc>
          <w:tcPr>
            <w:tcW w:w="6560" w:type="dxa"/>
            <w:tcBorders>
              <w:top w:val="nil"/>
              <w:left w:val="nil"/>
              <w:bottom w:val="single" w:sz="4" w:space="0" w:color="auto"/>
              <w:right w:val="nil"/>
            </w:tcBorders>
          </w:tcPr>
          <w:p w14:paraId="27AD1760" w14:textId="77777777" w:rsidR="002564DF" w:rsidRDefault="002564DF" w:rsidP="0008363D">
            <w:pPr>
              <w:spacing w:line="240" w:lineRule="auto"/>
            </w:pPr>
          </w:p>
        </w:tc>
      </w:tr>
      <w:tr w:rsidR="002564DF" w14:paraId="035F280E" w14:textId="77777777" w:rsidTr="002564DF">
        <w:trPr>
          <w:trHeight w:val="359"/>
        </w:trPr>
        <w:tc>
          <w:tcPr>
            <w:tcW w:w="4378" w:type="dxa"/>
            <w:tcBorders>
              <w:top w:val="nil"/>
              <w:left w:val="nil"/>
              <w:bottom w:val="nil"/>
              <w:right w:val="nil"/>
            </w:tcBorders>
            <w:vAlign w:val="center"/>
          </w:tcPr>
          <w:p w14:paraId="19007A62" w14:textId="77777777" w:rsidR="002564DF" w:rsidRDefault="002564DF" w:rsidP="002564DF">
            <w:pPr>
              <w:spacing w:line="240" w:lineRule="auto"/>
            </w:pPr>
          </w:p>
        </w:tc>
        <w:tc>
          <w:tcPr>
            <w:tcW w:w="212" w:type="dxa"/>
            <w:tcBorders>
              <w:top w:val="nil"/>
              <w:left w:val="nil"/>
              <w:bottom w:val="nil"/>
              <w:right w:val="nil"/>
            </w:tcBorders>
            <w:vAlign w:val="center"/>
          </w:tcPr>
          <w:p w14:paraId="1D22EFA5" w14:textId="46612CCC" w:rsidR="002564DF" w:rsidRDefault="002564DF" w:rsidP="002564DF">
            <w:pPr>
              <w:spacing w:line="240" w:lineRule="auto"/>
            </w:pPr>
          </w:p>
        </w:tc>
        <w:tc>
          <w:tcPr>
            <w:tcW w:w="6560" w:type="dxa"/>
            <w:tcBorders>
              <w:left w:val="nil"/>
              <w:bottom w:val="nil"/>
              <w:right w:val="nil"/>
            </w:tcBorders>
          </w:tcPr>
          <w:p w14:paraId="60504B21" w14:textId="25EBF046" w:rsidR="002564DF" w:rsidRDefault="002564DF" w:rsidP="002564DF">
            <w:pPr>
              <w:spacing w:line="240" w:lineRule="auto"/>
              <w:jc w:val="center"/>
            </w:pPr>
            <w:r w:rsidRPr="006E3DB8">
              <w:rPr>
                <w:bCs/>
                <w:lang w:val="en-GB"/>
              </w:rPr>
              <w:t xml:space="preserve">THE HONOURABLE JUSTICE </w:t>
            </w:r>
            <w:r w:rsidR="00F830B9" w:rsidRPr="00F830B9">
              <w:rPr>
                <w:rFonts w:eastAsia="Arial" w:cstheme="minorHAnsi"/>
                <w:bCs/>
              </w:rPr>
              <w:t>[LAST NAME]</w:t>
            </w:r>
          </w:p>
        </w:tc>
      </w:tr>
    </w:tbl>
    <w:p w14:paraId="2B28FD9A" w14:textId="5E95BAE9" w:rsidR="00552408" w:rsidRDefault="00552408" w:rsidP="007C2D36"/>
    <w:p w14:paraId="3A2F73FB" w14:textId="77777777" w:rsidR="0008363D" w:rsidRDefault="0008363D" w:rsidP="007C2D36">
      <w:pPr>
        <w:sectPr w:rsidR="0008363D" w:rsidSect="00EB0033">
          <w:type w:val="continuous"/>
          <w:pgSz w:w="12240" w:h="15840"/>
          <w:pgMar w:top="630" w:right="540" w:bottom="540" w:left="540" w:header="540" w:footer="288" w:gutter="0"/>
          <w:cols w:space="708"/>
          <w:docGrid w:linePitch="360"/>
        </w:sectPr>
      </w:pPr>
    </w:p>
    <w:tbl>
      <w:tblPr>
        <w:tblStyle w:val="TableGrid"/>
        <w:tblpPr w:leftFromText="180" w:rightFromText="180" w:vertAnchor="text" w:tblpY="1"/>
        <w:tblOverlap w:val="never"/>
        <w:tblW w:w="5035" w:type="pct"/>
        <w:tblCellMar>
          <w:left w:w="58" w:type="dxa"/>
          <w:right w:w="58" w:type="dxa"/>
        </w:tblCellMar>
        <w:tblLook w:val="04A0" w:firstRow="1" w:lastRow="0" w:firstColumn="1" w:lastColumn="0" w:noHBand="0" w:noVBand="1"/>
      </w:tblPr>
      <w:tblGrid>
        <w:gridCol w:w="5155"/>
        <w:gridCol w:w="1244"/>
        <w:gridCol w:w="2503"/>
        <w:gridCol w:w="2653"/>
        <w:gridCol w:w="148"/>
        <w:gridCol w:w="3070"/>
      </w:tblGrid>
      <w:tr w:rsidR="00D650CD" w:rsidRPr="005903EA" w14:paraId="2E184BC2" w14:textId="77777777" w:rsidTr="00D650CD">
        <w:tc>
          <w:tcPr>
            <w:tcW w:w="1745" w:type="pct"/>
            <w:tcBorders>
              <w:top w:val="nil"/>
              <w:left w:val="nil"/>
              <w:bottom w:val="dotted" w:sz="4" w:space="0" w:color="auto"/>
              <w:right w:val="nil"/>
            </w:tcBorders>
            <w:shd w:val="clear" w:color="auto" w:fill="auto"/>
            <w:vAlign w:val="bottom"/>
          </w:tcPr>
          <w:p w14:paraId="114746B3" w14:textId="5F36A57C" w:rsidR="00D650CD" w:rsidRPr="00372B4F" w:rsidRDefault="00D650CD" w:rsidP="00D650CD">
            <w:pPr>
              <w:spacing w:line="240" w:lineRule="auto"/>
              <w:jc w:val="left"/>
            </w:pPr>
          </w:p>
        </w:tc>
        <w:tc>
          <w:tcPr>
            <w:tcW w:w="421" w:type="pct"/>
            <w:tcBorders>
              <w:top w:val="nil"/>
              <w:left w:val="nil"/>
              <w:bottom w:val="nil"/>
              <w:right w:val="nil"/>
            </w:tcBorders>
            <w:shd w:val="clear" w:color="auto" w:fill="auto"/>
            <w:vAlign w:val="bottom"/>
          </w:tcPr>
          <w:p w14:paraId="76700A3B" w14:textId="437B9B50" w:rsidR="00D650CD" w:rsidRPr="00D650CD" w:rsidRDefault="00D650CD" w:rsidP="00D650CD">
            <w:pPr>
              <w:spacing w:line="240" w:lineRule="auto"/>
              <w:jc w:val="center"/>
            </w:pPr>
            <w:r w:rsidRPr="00D650CD">
              <w:t>-</w:t>
            </w:r>
            <w:r>
              <w:t xml:space="preserve"> </w:t>
            </w:r>
            <w:r w:rsidRPr="00D650CD">
              <w:t>and</w:t>
            </w:r>
            <w:r>
              <w:t xml:space="preserve"> -</w:t>
            </w:r>
          </w:p>
        </w:tc>
        <w:tc>
          <w:tcPr>
            <w:tcW w:w="1745" w:type="pct"/>
            <w:gridSpan w:val="2"/>
            <w:tcBorders>
              <w:top w:val="nil"/>
              <w:left w:val="nil"/>
              <w:bottom w:val="dotted" w:sz="4" w:space="0" w:color="auto"/>
              <w:right w:val="nil"/>
            </w:tcBorders>
            <w:shd w:val="clear" w:color="auto" w:fill="auto"/>
            <w:vAlign w:val="bottom"/>
          </w:tcPr>
          <w:p w14:paraId="38ADFD75" w14:textId="4E776787" w:rsidR="00D650CD" w:rsidRPr="00372B4F" w:rsidRDefault="00D650CD" w:rsidP="00D650CD">
            <w:pPr>
              <w:spacing w:line="240" w:lineRule="auto"/>
              <w:jc w:val="left"/>
            </w:pPr>
          </w:p>
        </w:tc>
        <w:tc>
          <w:tcPr>
            <w:tcW w:w="50" w:type="pct"/>
            <w:vMerge w:val="restart"/>
            <w:tcBorders>
              <w:top w:val="nil"/>
              <w:left w:val="nil"/>
              <w:right w:val="nil"/>
            </w:tcBorders>
            <w:shd w:val="clear" w:color="auto" w:fill="auto"/>
            <w:vAlign w:val="bottom"/>
          </w:tcPr>
          <w:p w14:paraId="3D9BFB9E" w14:textId="12B1C92D" w:rsidR="00D650CD" w:rsidRPr="00372B4F" w:rsidRDefault="00D650CD" w:rsidP="00D650CD">
            <w:pPr>
              <w:spacing w:line="240" w:lineRule="auto"/>
              <w:jc w:val="left"/>
            </w:pPr>
          </w:p>
        </w:tc>
        <w:tc>
          <w:tcPr>
            <w:tcW w:w="1039" w:type="pct"/>
            <w:tcBorders>
              <w:top w:val="nil"/>
              <w:left w:val="nil"/>
              <w:bottom w:val="dotted" w:sz="4" w:space="0" w:color="auto"/>
              <w:right w:val="nil"/>
            </w:tcBorders>
            <w:shd w:val="clear" w:color="auto" w:fill="auto"/>
            <w:vAlign w:val="bottom"/>
          </w:tcPr>
          <w:p w14:paraId="2410A861" w14:textId="7BB7CF61" w:rsidR="00D650CD" w:rsidRPr="005903EA" w:rsidRDefault="002B4AF3" w:rsidP="00D650CD">
            <w:pPr>
              <w:pStyle w:val="TableCells"/>
              <w:jc w:val="center"/>
            </w:pPr>
            <w:r>
              <w:rPr>
                <w:sz w:val="22"/>
                <w:lang w:val="fr-CA"/>
              </w:rPr>
              <w:t>CV</w:t>
            </w:r>
            <w:proofErr w:type="gramStart"/>
            <w:r>
              <w:rPr>
                <w:sz w:val="22"/>
                <w:lang w:val="fr-CA"/>
              </w:rPr>
              <w:t>-</w:t>
            </w:r>
            <w:r w:rsidR="00D64763">
              <w:rPr>
                <w:sz w:val="22"/>
                <w:lang w:val="fr-CA"/>
              </w:rPr>
              <w:t>[</w:t>
            </w:r>
            <w:proofErr w:type="gramEnd"/>
            <w:r w:rsidR="00D64763">
              <w:rPr>
                <w:sz w:val="22"/>
                <w:lang w:val="fr-CA"/>
              </w:rPr>
              <w:t>#]</w:t>
            </w:r>
            <w:r>
              <w:rPr>
                <w:sz w:val="22"/>
                <w:lang w:val="fr-CA"/>
              </w:rPr>
              <w:t>-00CP</w:t>
            </w:r>
          </w:p>
        </w:tc>
      </w:tr>
      <w:tr w:rsidR="00D650CD" w:rsidRPr="005903EA" w14:paraId="37118B0A" w14:textId="77777777" w:rsidTr="00D650CD">
        <w:tc>
          <w:tcPr>
            <w:tcW w:w="1745" w:type="pct"/>
            <w:tcBorders>
              <w:top w:val="dotted" w:sz="4" w:space="0" w:color="auto"/>
              <w:left w:val="nil"/>
              <w:right w:val="nil"/>
            </w:tcBorders>
            <w:shd w:val="clear" w:color="auto" w:fill="auto"/>
          </w:tcPr>
          <w:p w14:paraId="78853BC1" w14:textId="046514D0" w:rsidR="00D650CD" w:rsidRPr="00372B4F" w:rsidRDefault="00D650CD" w:rsidP="00D650CD">
            <w:pPr>
              <w:spacing w:line="240" w:lineRule="auto"/>
            </w:pPr>
            <w:r>
              <w:t>Plaintiff(s)</w:t>
            </w:r>
          </w:p>
        </w:tc>
        <w:tc>
          <w:tcPr>
            <w:tcW w:w="421" w:type="pct"/>
            <w:tcBorders>
              <w:top w:val="nil"/>
              <w:left w:val="nil"/>
              <w:right w:val="nil"/>
            </w:tcBorders>
            <w:shd w:val="clear" w:color="auto" w:fill="auto"/>
          </w:tcPr>
          <w:p w14:paraId="2A525FAA" w14:textId="77777777" w:rsidR="00D650CD" w:rsidRPr="00372B4F" w:rsidRDefault="00D650CD" w:rsidP="00D650CD">
            <w:pPr>
              <w:spacing w:line="240" w:lineRule="auto"/>
            </w:pPr>
          </w:p>
        </w:tc>
        <w:tc>
          <w:tcPr>
            <w:tcW w:w="1745" w:type="pct"/>
            <w:gridSpan w:val="2"/>
            <w:tcBorders>
              <w:top w:val="dotted" w:sz="4" w:space="0" w:color="auto"/>
              <w:left w:val="nil"/>
              <w:right w:val="nil"/>
            </w:tcBorders>
            <w:shd w:val="clear" w:color="auto" w:fill="auto"/>
          </w:tcPr>
          <w:p w14:paraId="32DAE5E1" w14:textId="6B062FD2" w:rsidR="00D650CD" w:rsidRPr="00372B4F" w:rsidRDefault="00D650CD" w:rsidP="00D650CD">
            <w:pPr>
              <w:spacing w:line="240" w:lineRule="auto"/>
            </w:pPr>
            <w:r>
              <w:t>Defendant(s)</w:t>
            </w:r>
          </w:p>
        </w:tc>
        <w:tc>
          <w:tcPr>
            <w:tcW w:w="50" w:type="pct"/>
            <w:vMerge/>
            <w:tcBorders>
              <w:left w:val="nil"/>
              <w:right w:val="nil"/>
            </w:tcBorders>
            <w:shd w:val="clear" w:color="auto" w:fill="auto"/>
          </w:tcPr>
          <w:p w14:paraId="1610C979" w14:textId="49A644B4" w:rsidR="00D650CD" w:rsidRPr="00372B4F" w:rsidRDefault="00D650CD" w:rsidP="00D650CD">
            <w:pPr>
              <w:spacing w:line="240" w:lineRule="auto"/>
              <w:jc w:val="left"/>
            </w:pPr>
          </w:p>
        </w:tc>
        <w:tc>
          <w:tcPr>
            <w:tcW w:w="1039" w:type="pct"/>
            <w:tcBorders>
              <w:top w:val="dotted" w:sz="4" w:space="0" w:color="auto"/>
              <w:left w:val="nil"/>
              <w:right w:val="nil"/>
            </w:tcBorders>
            <w:shd w:val="clear" w:color="auto" w:fill="auto"/>
          </w:tcPr>
          <w:p w14:paraId="1D0DD783" w14:textId="07740F40" w:rsidR="00D650CD" w:rsidRPr="005903EA" w:rsidRDefault="00D650CD" w:rsidP="00D650CD">
            <w:pPr>
              <w:pStyle w:val="TableCells"/>
              <w:spacing w:after="240"/>
              <w:jc w:val="center"/>
            </w:pPr>
            <w:r>
              <w:t>Court File No.</w:t>
            </w:r>
          </w:p>
        </w:tc>
      </w:tr>
      <w:tr w:rsidR="006C0C56" w:rsidRPr="005903EA" w14:paraId="0B7EF186" w14:textId="77777777" w:rsidTr="006C0C56">
        <w:trPr>
          <w:trHeight w:val="374"/>
        </w:trPr>
        <w:tc>
          <w:tcPr>
            <w:tcW w:w="3013" w:type="pct"/>
            <w:gridSpan w:val="3"/>
            <w:vMerge w:val="restart"/>
            <w:tcBorders>
              <w:left w:val="nil"/>
              <w:bottom w:val="nil"/>
            </w:tcBorders>
            <w:vAlign w:val="center"/>
          </w:tcPr>
          <w:p w14:paraId="1F2FFE50" w14:textId="18F51D8C" w:rsidR="006C0C56" w:rsidRPr="005903EA" w:rsidRDefault="006C0C56" w:rsidP="00FE148B">
            <w:pPr>
              <w:pStyle w:val="TableCells"/>
              <w:jc w:val="left"/>
              <w:rPr>
                <w:sz w:val="22"/>
                <w:szCs w:val="22"/>
              </w:rPr>
            </w:pPr>
          </w:p>
        </w:tc>
        <w:tc>
          <w:tcPr>
            <w:tcW w:w="1987" w:type="pct"/>
            <w:gridSpan w:val="3"/>
            <w:tcBorders>
              <w:bottom w:val="single" w:sz="18" w:space="0" w:color="auto"/>
              <w:right w:val="nil"/>
            </w:tcBorders>
          </w:tcPr>
          <w:p w14:paraId="5776A55D" w14:textId="77777777" w:rsidR="006C0C56" w:rsidRPr="006E3DB8" w:rsidRDefault="006C0C56" w:rsidP="00D650CD">
            <w:pPr>
              <w:spacing w:before="120"/>
              <w:jc w:val="center"/>
              <w:rPr>
                <w:rFonts w:eastAsiaTheme="minorEastAsia"/>
                <w:snapToGrid w:val="0"/>
              </w:rPr>
            </w:pPr>
            <w:r w:rsidRPr="006E3DB8">
              <w:rPr>
                <w:rFonts w:eastAsiaTheme="minorEastAsia"/>
                <w:b/>
                <w:i/>
                <w:snapToGrid w:val="0"/>
              </w:rPr>
              <w:t>ONTARIO</w:t>
            </w:r>
          </w:p>
          <w:p w14:paraId="7DB2D572" w14:textId="77777777" w:rsidR="006C0C56" w:rsidRPr="006E3DB8" w:rsidRDefault="006C0C56" w:rsidP="00D650CD">
            <w:pPr>
              <w:jc w:val="center"/>
              <w:rPr>
                <w:rFonts w:eastAsiaTheme="minorEastAsia"/>
                <w:caps/>
                <w:snapToGrid w:val="0"/>
              </w:rPr>
            </w:pPr>
            <w:r w:rsidRPr="006E3DB8">
              <w:rPr>
                <w:rFonts w:eastAsiaTheme="minorEastAsia"/>
                <w:b/>
                <w:caps/>
                <w:snapToGrid w:val="0"/>
              </w:rPr>
              <w:t>SUPERIOR COURT OF JUSTICE</w:t>
            </w:r>
          </w:p>
          <w:p w14:paraId="50B36F7F" w14:textId="77777777" w:rsidR="006C0C56" w:rsidRPr="006E3DB8" w:rsidRDefault="006C0C56" w:rsidP="00D650CD">
            <w:pPr>
              <w:spacing w:line="240" w:lineRule="auto"/>
              <w:jc w:val="center"/>
              <w:rPr>
                <w:rFonts w:eastAsiaTheme="minorEastAsia"/>
                <w:iCs/>
                <w:snapToGrid w:val="0"/>
                <w:szCs w:val="18"/>
              </w:rPr>
            </w:pPr>
          </w:p>
          <w:p w14:paraId="76C47C37" w14:textId="77777777" w:rsidR="006C0C56" w:rsidRDefault="006C0C56" w:rsidP="00D650CD">
            <w:pPr>
              <w:jc w:val="center"/>
              <w:rPr>
                <w:rFonts w:eastAsiaTheme="minorEastAsia"/>
                <w:snapToGrid w:val="0"/>
              </w:rPr>
            </w:pPr>
            <w:r w:rsidRPr="006E3DB8">
              <w:rPr>
                <w:rFonts w:eastAsiaTheme="minorEastAsia"/>
                <w:snapToGrid w:val="0"/>
              </w:rPr>
              <w:t>PROCEEDING COMMENCED AT</w:t>
            </w:r>
          </w:p>
          <w:p w14:paraId="0F3BFDA9" w14:textId="559BA3CA" w:rsidR="006C0C56" w:rsidRPr="005903EA" w:rsidRDefault="006C0C56" w:rsidP="00D64763">
            <w:pPr>
              <w:spacing w:before="120" w:after="120"/>
              <w:jc w:val="center"/>
            </w:pPr>
          </w:p>
        </w:tc>
      </w:tr>
      <w:tr w:rsidR="006C0C56" w:rsidRPr="005903EA" w14:paraId="1B638A66" w14:textId="77777777" w:rsidTr="006C0C56">
        <w:trPr>
          <w:trHeight w:val="374"/>
        </w:trPr>
        <w:tc>
          <w:tcPr>
            <w:tcW w:w="3013" w:type="pct"/>
            <w:gridSpan w:val="3"/>
            <w:vMerge/>
            <w:tcBorders>
              <w:left w:val="nil"/>
              <w:bottom w:val="nil"/>
            </w:tcBorders>
            <w:vAlign w:val="center"/>
          </w:tcPr>
          <w:p w14:paraId="2C6A076B" w14:textId="306074A6" w:rsidR="006C0C56" w:rsidRPr="005903EA" w:rsidRDefault="006C0C56" w:rsidP="00FE148B">
            <w:pPr>
              <w:pStyle w:val="TableCells"/>
              <w:jc w:val="left"/>
              <w:rPr>
                <w:sz w:val="22"/>
                <w:szCs w:val="22"/>
              </w:rPr>
            </w:pPr>
          </w:p>
        </w:tc>
        <w:tc>
          <w:tcPr>
            <w:tcW w:w="1987" w:type="pct"/>
            <w:gridSpan w:val="3"/>
            <w:tcBorders>
              <w:top w:val="single" w:sz="18" w:space="0" w:color="auto"/>
              <w:bottom w:val="single" w:sz="18" w:space="0" w:color="auto"/>
              <w:right w:val="nil"/>
            </w:tcBorders>
            <w:vAlign w:val="center"/>
          </w:tcPr>
          <w:p w14:paraId="4948B9DA" w14:textId="5B1D020C" w:rsidR="006C0C56" w:rsidRPr="00F154C7" w:rsidRDefault="006C0C56" w:rsidP="006C0C56">
            <w:pPr>
              <w:spacing w:before="120" w:line="240" w:lineRule="auto"/>
              <w:jc w:val="center"/>
              <w:rPr>
                <w:rFonts w:eastAsiaTheme="minorEastAsia"/>
                <w:b/>
                <w:caps/>
                <w:noProof/>
                <w:snapToGrid w:val="0"/>
              </w:rPr>
            </w:pPr>
            <w:r w:rsidRPr="00F154C7">
              <w:rPr>
                <w:rFonts w:eastAsiaTheme="minorEastAsia"/>
                <w:b/>
                <w:caps/>
                <w:noProof/>
                <w:snapToGrid w:val="0"/>
              </w:rPr>
              <w:t>ORDER</w:t>
            </w:r>
          </w:p>
          <w:p w14:paraId="7AAB5EDF" w14:textId="060EBBD6" w:rsidR="006C0C56" w:rsidRPr="00F154C7" w:rsidRDefault="006C0C56" w:rsidP="006C0C56">
            <w:pPr>
              <w:spacing w:after="120" w:line="240" w:lineRule="auto"/>
              <w:jc w:val="center"/>
            </w:pPr>
            <w:r w:rsidRPr="00F154C7">
              <w:rPr>
                <w:rFonts w:eastAsiaTheme="minorEastAsia"/>
                <w:b/>
                <w:caps/>
                <w:noProof/>
                <w:snapToGrid w:val="0"/>
              </w:rPr>
              <w:t>(</w:t>
            </w:r>
            <w:r w:rsidRPr="00F154C7">
              <w:rPr>
                <w:rFonts w:eastAsiaTheme="minorEastAsia"/>
                <w:b/>
                <w:noProof/>
                <w:snapToGrid w:val="0"/>
              </w:rPr>
              <w:t>Motion For Approval of Class Counsel Fees</w:t>
            </w:r>
            <w:r w:rsidRPr="00F154C7">
              <w:rPr>
                <w:rFonts w:eastAsiaTheme="minorEastAsia"/>
                <w:b/>
                <w:caps/>
                <w:noProof/>
                <w:snapToGrid w:val="0"/>
              </w:rPr>
              <w:t>)</w:t>
            </w:r>
          </w:p>
        </w:tc>
      </w:tr>
    </w:tbl>
    <w:p w14:paraId="25DD7A41" w14:textId="48D7519E" w:rsidR="006C0C56" w:rsidRPr="006C0C56" w:rsidRDefault="006C0C56" w:rsidP="006C0C56">
      <w:pPr>
        <w:spacing w:line="240" w:lineRule="auto"/>
        <w:rPr>
          <w:sz w:val="4"/>
          <w:szCs w:val="4"/>
        </w:rPr>
      </w:pPr>
    </w:p>
    <w:p w14:paraId="1B9B2ED6" w14:textId="77777777" w:rsidR="006C0C56" w:rsidRPr="008B5ECB" w:rsidRDefault="006C0C56" w:rsidP="006C0C56">
      <w:pPr>
        <w:spacing w:line="240" w:lineRule="auto"/>
        <w:rPr>
          <w:sz w:val="4"/>
          <w:szCs w:val="4"/>
        </w:rPr>
        <w:sectPr w:rsidR="006C0C56" w:rsidRPr="008B5ECB" w:rsidSect="0008363D">
          <w:pgSz w:w="15840" w:h="12240" w:orient="landscape"/>
          <w:pgMar w:top="540" w:right="540" w:bottom="540" w:left="630" w:header="540" w:footer="288" w:gutter="0"/>
          <w:cols w:space="708"/>
          <w:docGrid w:linePitch="360"/>
        </w:sectPr>
      </w:pPr>
    </w:p>
    <w:tbl>
      <w:tblPr>
        <w:tblStyle w:val="TableGrid"/>
        <w:tblpPr w:leftFromText="180" w:rightFromText="180" w:vertAnchor="text" w:tblpY="1"/>
        <w:tblOverlap w:val="never"/>
        <w:tblW w:w="5035" w:type="pct"/>
        <w:tblCellMar>
          <w:left w:w="58" w:type="dxa"/>
          <w:right w:w="58" w:type="dxa"/>
        </w:tblCellMar>
        <w:tblLook w:val="04A0" w:firstRow="1" w:lastRow="0" w:firstColumn="1" w:lastColumn="0" w:noHBand="0" w:noVBand="1"/>
      </w:tblPr>
      <w:tblGrid>
        <w:gridCol w:w="8902"/>
        <w:gridCol w:w="5871"/>
      </w:tblGrid>
      <w:tr w:rsidR="006C0C56" w:rsidRPr="005903EA" w14:paraId="6C7D0244" w14:textId="77777777" w:rsidTr="006C0C56">
        <w:trPr>
          <w:trHeight w:val="6096"/>
        </w:trPr>
        <w:tc>
          <w:tcPr>
            <w:tcW w:w="3013" w:type="pct"/>
            <w:tcBorders>
              <w:top w:val="nil"/>
              <w:left w:val="nil"/>
              <w:bottom w:val="nil"/>
            </w:tcBorders>
            <w:vAlign w:val="center"/>
          </w:tcPr>
          <w:p w14:paraId="00F0D907" w14:textId="77777777" w:rsidR="006C0C56" w:rsidRPr="005903EA" w:rsidRDefault="006C0C56" w:rsidP="00FE148B">
            <w:pPr>
              <w:pStyle w:val="TableCells"/>
              <w:jc w:val="left"/>
              <w:rPr>
                <w:sz w:val="22"/>
              </w:rPr>
            </w:pPr>
          </w:p>
        </w:tc>
        <w:tc>
          <w:tcPr>
            <w:tcW w:w="1987" w:type="pct"/>
            <w:tcBorders>
              <w:top w:val="nil"/>
              <w:bottom w:val="nil"/>
              <w:right w:val="nil"/>
            </w:tcBorders>
          </w:tcPr>
          <w:p w14:paraId="3A910A75" w14:textId="77777777" w:rsidR="006C0C56" w:rsidRPr="006C0C56" w:rsidRDefault="006C0C56" w:rsidP="006C0C56">
            <w:pPr>
              <w:spacing w:before="360"/>
              <w:jc w:val="left"/>
              <w:rPr>
                <w:rFonts w:eastAsiaTheme="minorEastAsia"/>
                <w:noProof/>
                <w:snapToGrid w:val="0"/>
              </w:rPr>
            </w:pPr>
            <w:r w:rsidRPr="006C0C56">
              <w:rPr>
                <w:rFonts w:eastAsiaTheme="minorEastAsia"/>
                <w:noProof/>
                <w:snapToGrid w:val="0"/>
              </w:rPr>
              <w:t xml:space="preserve">[FIRM NAME] </w:t>
            </w:r>
          </w:p>
          <w:p w14:paraId="694AF189" w14:textId="77777777" w:rsidR="006C0C56" w:rsidRPr="006C0C56" w:rsidRDefault="006C0C56" w:rsidP="006C0C56">
            <w:pPr>
              <w:jc w:val="left"/>
              <w:rPr>
                <w:rFonts w:eastAsiaTheme="minorEastAsia"/>
                <w:noProof/>
                <w:snapToGrid w:val="0"/>
              </w:rPr>
            </w:pPr>
            <w:r w:rsidRPr="006C0C56">
              <w:rPr>
                <w:rFonts w:eastAsiaTheme="minorEastAsia"/>
                <w:noProof/>
                <w:snapToGrid w:val="0"/>
              </w:rPr>
              <w:t>[Address]</w:t>
            </w:r>
          </w:p>
          <w:p w14:paraId="7B20F619" w14:textId="77777777" w:rsidR="006C0C56" w:rsidRPr="006C0C56" w:rsidRDefault="006C0C56" w:rsidP="006C0C56">
            <w:pPr>
              <w:jc w:val="left"/>
              <w:rPr>
                <w:rFonts w:eastAsiaTheme="minorEastAsia"/>
                <w:noProof/>
                <w:snapToGrid w:val="0"/>
              </w:rPr>
            </w:pPr>
          </w:p>
          <w:p w14:paraId="3A8E1B69" w14:textId="292BD8F0" w:rsidR="006C0C56" w:rsidRPr="006C0C56" w:rsidRDefault="006C0C56" w:rsidP="006C0C56">
            <w:pPr>
              <w:jc w:val="left"/>
              <w:rPr>
                <w:rFonts w:eastAsiaTheme="minorEastAsia"/>
                <w:noProof/>
                <w:snapToGrid w:val="0"/>
              </w:rPr>
            </w:pPr>
            <w:r w:rsidRPr="006C0C56">
              <w:rPr>
                <w:rFonts w:eastAsiaTheme="minorEastAsia"/>
                <w:noProof/>
                <w:snapToGrid w:val="0"/>
              </w:rPr>
              <w:t>[Name] (LSO No.: )</w:t>
            </w:r>
          </w:p>
          <w:p w14:paraId="78BE6E92" w14:textId="77777777" w:rsidR="006C0C56" w:rsidRPr="006C0C56" w:rsidRDefault="006C0C56" w:rsidP="006C0C56">
            <w:pPr>
              <w:jc w:val="left"/>
              <w:rPr>
                <w:rFonts w:eastAsiaTheme="minorEastAsia"/>
                <w:noProof/>
                <w:snapToGrid w:val="0"/>
              </w:rPr>
            </w:pPr>
            <w:r w:rsidRPr="006C0C56">
              <w:rPr>
                <w:rFonts w:eastAsiaTheme="minorEastAsia"/>
                <w:noProof/>
                <w:snapToGrid w:val="0"/>
              </w:rPr>
              <w:t>[Email]</w:t>
            </w:r>
          </w:p>
          <w:p w14:paraId="3CA4D8AA" w14:textId="77777777" w:rsidR="006C0C56" w:rsidRPr="006C0C56" w:rsidRDefault="006C0C56" w:rsidP="006C0C56">
            <w:pPr>
              <w:jc w:val="left"/>
              <w:rPr>
                <w:rFonts w:eastAsiaTheme="minorEastAsia"/>
                <w:noProof/>
                <w:snapToGrid w:val="0"/>
              </w:rPr>
            </w:pPr>
          </w:p>
          <w:p w14:paraId="1B18D4E4" w14:textId="1804E290" w:rsidR="006C0C56" w:rsidRPr="006C0C56" w:rsidRDefault="006C0C56" w:rsidP="006C0C56">
            <w:pPr>
              <w:jc w:val="left"/>
              <w:rPr>
                <w:rFonts w:eastAsiaTheme="minorEastAsia"/>
                <w:noProof/>
                <w:snapToGrid w:val="0"/>
              </w:rPr>
            </w:pPr>
            <w:r w:rsidRPr="006C0C56">
              <w:rPr>
                <w:rFonts w:eastAsiaTheme="minorEastAsia"/>
                <w:noProof/>
                <w:snapToGrid w:val="0"/>
              </w:rPr>
              <w:t>Tel: [</w:t>
            </w:r>
            <w:r>
              <w:rPr>
                <w:rFonts w:eastAsiaTheme="minorEastAsia"/>
                <w:noProof/>
                <w:snapToGrid w:val="0"/>
              </w:rPr>
              <w:t xml:space="preserve">  </w:t>
            </w:r>
            <w:r w:rsidRPr="006C0C56">
              <w:rPr>
                <w:rFonts w:eastAsiaTheme="minorEastAsia"/>
                <w:noProof/>
                <w:snapToGrid w:val="0"/>
              </w:rPr>
              <w:t>]</w:t>
            </w:r>
          </w:p>
          <w:p w14:paraId="22ABEE38" w14:textId="0E747AAB" w:rsidR="006C0C56" w:rsidRPr="006C0C56" w:rsidRDefault="006C0C56" w:rsidP="006C0C56">
            <w:pPr>
              <w:jc w:val="left"/>
              <w:rPr>
                <w:rFonts w:eastAsiaTheme="minorEastAsia"/>
                <w:noProof/>
                <w:snapToGrid w:val="0"/>
              </w:rPr>
            </w:pPr>
            <w:r w:rsidRPr="006C0C56">
              <w:rPr>
                <w:rFonts w:eastAsiaTheme="minorEastAsia"/>
                <w:noProof/>
                <w:snapToGrid w:val="0"/>
              </w:rPr>
              <w:t>Fax: [</w:t>
            </w:r>
            <w:r>
              <w:rPr>
                <w:rFonts w:eastAsiaTheme="minorEastAsia"/>
                <w:noProof/>
                <w:snapToGrid w:val="0"/>
              </w:rPr>
              <w:t xml:space="preserve">  </w:t>
            </w:r>
            <w:r w:rsidRPr="006C0C56">
              <w:rPr>
                <w:rFonts w:eastAsiaTheme="minorEastAsia"/>
                <w:noProof/>
                <w:snapToGrid w:val="0"/>
              </w:rPr>
              <w:t>]</w:t>
            </w:r>
          </w:p>
          <w:p w14:paraId="38DEA772" w14:textId="77777777" w:rsidR="006C0C56" w:rsidRPr="006C0C56" w:rsidRDefault="006C0C56" w:rsidP="006C0C56">
            <w:pPr>
              <w:jc w:val="left"/>
              <w:rPr>
                <w:rFonts w:eastAsiaTheme="minorEastAsia"/>
                <w:noProof/>
                <w:snapToGrid w:val="0"/>
              </w:rPr>
            </w:pPr>
          </w:p>
          <w:p w14:paraId="32C28BE1" w14:textId="50CA96BB" w:rsidR="006C0C56" w:rsidRPr="00F154C7" w:rsidRDefault="006C0C56" w:rsidP="006C0C56">
            <w:pPr>
              <w:jc w:val="left"/>
              <w:rPr>
                <w:rFonts w:eastAsiaTheme="minorEastAsia"/>
                <w:noProof/>
                <w:snapToGrid w:val="0"/>
              </w:rPr>
            </w:pPr>
            <w:r w:rsidRPr="006C0C56">
              <w:rPr>
                <w:rFonts w:eastAsiaTheme="minorEastAsia"/>
                <w:noProof/>
                <w:snapToGrid w:val="0"/>
              </w:rPr>
              <w:t>Class Counsel</w:t>
            </w:r>
          </w:p>
        </w:tc>
      </w:tr>
    </w:tbl>
    <w:p w14:paraId="31305ECD" w14:textId="50D29874" w:rsidR="00552408" w:rsidRDefault="00552408" w:rsidP="007C2D36"/>
    <w:sectPr w:rsidR="00552408" w:rsidSect="006C0C56">
      <w:type w:val="continuous"/>
      <w:pgSz w:w="15840" w:h="12240" w:orient="landscape"/>
      <w:pgMar w:top="540" w:right="540" w:bottom="540" w:left="630" w:header="540"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F1E8" w14:textId="77777777" w:rsidR="004C038B" w:rsidRDefault="004C038B" w:rsidP="00F72078">
      <w:pPr>
        <w:spacing w:line="240" w:lineRule="auto"/>
      </w:pPr>
      <w:r>
        <w:separator/>
      </w:r>
    </w:p>
  </w:endnote>
  <w:endnote w:type="continuationSeparator" w:id="0">
    <w:p w14:paraId="7633B379" w14:textId="77777777" w:rsidR="004C038B" w:rsidRDefault="004C038B" w:rsidP="00F72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17DD" w14:textId="77777777" w:rsidR="0008363D" w:rsidRDefault="00083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0A22" w14:textId="5922E74A" w:rsidR="00F72078" w:rsidRDefault="00E210CB" w:rsidP="005903EA">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7BB5" w14:textId="77777777" w:rsidR="0008363D" w:rsidRDefault="00083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547F" w14:textId="77777777" w:rsidR="004C038B" w:rsidRDefault="004C038B" w:rsidP="00F72078">
      <w:pPr>
        <w:spacing w:line="240" w:lineRule="auto"/>
      </w:pPr>
      <w:r>
        <w:separator/>
      </w:r>
    </w:p>
  </w:footnote>
  <w:footnote w:type="continuationSeparator" w:id="0">
    <w:p w14:paraId="0B4A4726" w14:textId="77777777" w:rsidR="004C038B" w:rsidRDefault="004C038B" w:rsidP="00F72078">
      <w:pPr>
        <w:spacing w:line="240" w:lineRule="auto"/>
      </w:pPr>
      <w:r>
        <w:continuationSeparator/>
      </w:r>
    </w:p>
  </w:footnote>
  <w:footnote w:id="1">
    <w:p w14:paraId="31C1F3CF" w14:textId="141780B9" w:rsidR="00E210CB" w:rsidRPr="00E210CB" w:rsidRDefault="00E210CB" w:rsidP="002564DF">
      <w:pPr>
        <w:pStyle w:val="FootnoteText"/>
      </w:pPr>
      <w:r>
        <w:rPr>
          <w:rStyle w:val="FootnoteReference"/>
        </w:rPr>
        <w:footnoteRef/>
      </w:r>
      <w:r>
        <w:t xml:space="preserve"> </w:t>
      </w:r>
      <w:r w:rsidRPr="00E8256E">
        <w:t xml:space="preserve">Prepared by the Ontario Class Action Bench-Bar Liaison Committee as a guide for courts and practitioners. This template can be tailored to suit the </w:t>
      </w:r>
      <w:proofErr w:type="gramStart"/>
      <w:r w:rsidRPr="00E8256E">
        <w:t>particular circumstances</w:t>
      </w:r>
      <w:proofErr w:type="gramEnd"/>
      <w:r w:rsidRPr="00E8256E">
        <w:t xml:space="preserve"> of each case.</w:t>
      </w:r>
    </w:p>
  </w:footnote>
  <w:footnote w:id="2">
    <w:p w14:paraId="4BD8F20E" w14:textId="77777777" w:rsidR="00E30699" w:rsidRPr="00E8256E" w:rsidRDefault="00E30699" w:rsidP="002564DF">
      <w:pPr>
        <w:pStyle w:val="FootnoteText"/>
      </w:pPr>
      <w:r w:rsidRPr="00E8256E">
        <w:rPr>
          <w:rStyle w:val="FootnoteReference"/>
        </w:rPr>
        <w:footnoteRef/>
      </w:r>
      <w:r w:rsidRPr="00E8256E">
        <w:t xml:space="preserve"> The 10 per cent Fund levy is calculated to be 10 per cent of the net settlement amount, after payment of administration expenses, Class Counsel fees and disbursements. Please see </w:t>
      </w:r>
      <w:hyperlink r:id="rId1" w:history="1">
        <w:r w:rsidRPr="00E8256E">
          <w:rPr>
            <w:rStyle w:val="Emphasis"/>
            <w:color w:val="0000FF"/>
            <w:u w:val="single"/>
          </w:rPr>
          <w:t>Martin v. Barret</w:t>
        </w:r>
        <w:r w:rsidRPr="00E8256E">
          <w:rPr>
            <w:rStyle w:val="Hyperlink"/>
            <w:i/>
            <w:iCs/>
          </w:rPr>
          <w:t>t</w:t>
        </w:r>
        <w:r w:rsidRPr="00E8256E">
          <w:rPr>
            <w:rStyle w:val="Hyperlink"/>
          </w:rPr>
          <w:t>, [2008] O.J. No. 3813</w:t>
        </w:r>
      </w:hyperlink>
      <w:r w:rsidRPr="00E8256E">
        <w:t>.</w:t>
      </w:r>
    </w:p>
  </w:footnote>
  <w:footnote w:id="3">
    <w:p w14:paraId="5CCAE28B" w14:textId="77777777" w:rsidR="00E30699" w:rsidRPr="00E8256E" w:rsidRDefault="00E30699" w:rsidP="002564DF">
      <w:pPr>
        <w:pStyle w:val="FootnoteText"/>
      </w:pPr>
      <w:r w:rsidRPr="00E8256E">
        <w:rPr>
          <w:rStyle w:val="FootnoteReference"/>
        </w:rPr>
        <w:footnoteRef/>
      </w:r>
      <w:r w:rsidRPr="002564DF">
        <w:t>As the model order contemplates that the litigation funder consent to the order, the Fund requires that the draft fee approval order be provided to it in advance of it being submitted to the Court, so that Fund counsel can review and, as appropriate provide the Fund’s consent and/or arrange for an appearance to speak to any dispute.</w:t>
      </w:r>
    </w:p>
  </w:footnote>
  <w:footnote w:id="4">
    <w:p w14:paraId="570E7B85" w14:textId="77777777" w:rsidR="002564DF" w:rsidRDefault="002564DF" w:rsidP="002564DF">
      <w:pPr>
        <w:pStyle w:val="FootnoteText"/>
      </w:pPr>
      <w:r w:rsidRPr="00E8256E">
        <w:rPr>
          <w:rStyle w:val="FootnoteReference"/>
        </w:rPr>
        <w:footnoteRef/>
      </w:r>
      <w:r w:rsidRPr="00E8256E">
        <w:t xml:space="preserve"> This provision may not be required if footnote 3 is adhered to by providing the draft to the Fund in advance or if the Fund attends to speak to a dispute.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04F5" w14:textId="77777777" w:rsidR="0008363D" w:rsidRDefault="00083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AF19" w14:textId="77777777" w:rsidR="0008363D" w:rsidRDefault="00083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A8409" w14:textId="77777777" w:rsidR="0008363D" w:rsidRDefault="00083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191"/>
    <w:multiLevelType w:val="hybridMultilevel"/>
    <w:tmpl w:val="43B02A5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DA6AAE"/>
    <w:multiLevelType w:val="hybridMultilevel"/>
    <w:tmpl w:val="D436A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69246847"/>
    <w:multiLevelType w:val="hybridMultilevel"/>
    <w:tmpl w:val="84C03CB4"/>
    <w:lvl w:ilvl="0" w:tplc="32B2640C">
      <w:start w:val="1"/>
      <w:numFmt w:val="lowerRoman"/>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725E586E"/>
    <w:multiLevelType w:val="hybridMultilevel"/>
    <w:tmpl w:val="BA1C6C86"/>
    <w:lvl w:ilvl="0" w:tplc="F6E09064">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BE83966"/>
    <w:multiLevelType w:val="hybridMultilevel"/>
    <w:tmpl w:val="1C986B40"/>
    <w:lvl w:ilvl="0" w:tplc="BB309A7C">
      <w:start w:val="19"/>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E4"/>
    <w:rsid w:val="000109F8"/>
    <w:rsid w:val="0008363D"/>
    <w:rsid w:val="000A0119"/>
    <w:rsid w:val="000A511A"/>
    <w:rsid w:val="000C4AD7"/>
    <w:rsid w:val="000E178A"/>
    <w:rsid w:val="001800DC"/>
    <w:rsid w:val="00191F30"/>
    <w:rsid w:val="001C37B4"/>
    <w:rsid w:val="001E281A"/>
    <w:rsid w:val="001F129E"/>
    <w:rsid w:val="00214076"/>
    <w:rsid w:val="00225BE4"/>
    <w:rsid w:val="00251089"/>
    <w:rsid w:val="00252CF1"/>
    <w:rsid w:val="002564DF"/>
    <w:rsid w:val="002B4AF3"/>
    <w:rsid w:val="002C42E6"/>
    <w:rsid w:val="002E6FF6"/>
    <w:rsid w:val="00306635"/>
    <w:rsid w:val="00317F1F"/>
    <w:rsid w:val="00356500"/>
    <w:rsid w:val="0036413B"/>
    <w:rsid w:val="00372B4F"/>
    <w:rsid w:val="003A3B0F"/>
    <w:rsid w:val="00404C1A"/>
    <w:rsid w:val="00415D68"/>
    <w:rsid w:val="0048428F"/>
    <w:rsid w:val="00487378"/>
    <w:rsid w:val="004A2238"/>
    <w:rsid w:val="004A392D"/>
    <w:rsid w:val="004B347D"/>
    <w:rsid w:val="004B69F7"/>
    <w:rsid w:val="004C038B"/>
    <w:rsid w:val="004D35BD"/>
    <w:rsid w:val="004E6065"/>
    <w:rsid w:val="004F1B03"/>
    <w:rsid w:val="004F20C3"/>
    <w:rsid w:val="00552408"/>
    <w:rsid w:val="0056619E"/>
    <w:rsid w:val="0057735C"/>
    <w:rsid w:val="005903EA"/>
    <w:rsid w:val="0059090D"/>
    <w:rsid w:val="006066FA"/>
    <w:rsid w:val="00613611"/>
    <w:rsid w:val="00617930"/>
    <w:rsid w:val="006233E4"/>
    <w:rsid w:val="00623700"/>
    <w:rsid w:val="00624B02"/>
    <w:rsid w:val="0063131D"/>
    <w:rsid w:val="00695E04"/>
    <w:rsid w:val="006C0C56"/>
    <w:rsid w:val="006C7751"/>
    <w:rsid w:val="006D0AAE"/>
    <w:rsid w:val="006D72AA"/>
    <w:rsid w:val="00744B83"/>
    <w:rsid w:val="00767151"/>
    <w:rsid w:val="007707B1"/>
    <w:rsid w:val="00780273"/>
    <w:rsid w:val="00794C32"/>
    <w:rsid w:val="007C2D36"/>
    <w:rsid w:val="007D1EB2"/>
    <w:rsid w:val="007D6DDD"/>
    <w:rsid w:val="007E14E4"/>
    <w:rsid w:val="00880C4F"/>
    <w:rsid w:val="00895671"/>
    <w:rsid w:val="008A2543"/>
    <w:rsid w:val="008B5ECB"/>
    <w:rsid w:val="009126FB"/>
    <w:rsid w:val="00934502"/>
    <w:rsid w:val="00945107"/>
    <w:rsid w:val="0095376E"/>
    <w:rsid w:val="009976DE"/>
    <w:rsid w:val="009A5F1B"/>
    <w:rsid w:val="009B1D63"/>
    <w:rsid w:val="009B65DE"/>
    <w:rsid w:val="00A4736E"/>
    <w:rsid w:val="00A70FB8"/>
    <w:rsid w:val="00A963FC"/>
    <w:rsid w:val="00AC25A0"/>
    <w:rsid w:val="00AD71CE"/>
    <w:rsid w:val="00AF0BE6"/>
    <w:rsid w:val="00B027EF"/>
    <w:rsid w:val="00B02851"/>
    <w:rsid w:val="00B11014"/>
    <w:rsid w:val="00B93223"/>
    <w:rsid w:val="00C029AC"/>
    <w:rsid w:val="00C442F5"/>
    <w:rsid w:val="00C80C4C"/>
    <w:rsid w:val="00C93AB7"/>
    <w:rsid w:val="00CC034D"/>
    <w:rsid w:val="00CE678C"/>
    <w:rsid w:val="00D64763"/>
    <w:rsid w:val="00D650CD"/>
    <w:rsid w:val="00D83F89"/>
    <w:rsid w:val="00DB7691"/>
    <w:rsid w:val="00DB77E3"/>
    <w:rsid w:val="00DF49C2"/>
    <w:rsid w:val="00E075B4"/>
    <w:rsid w:val="00E210CB"/>
    <w:rsid w:val="00E2366F"/>
    <w:rsid w:val="00E30699"/>
    <w:rsid w:val="00E67524"/>
    <w:rsid w:val="00EB0033"/>
    <w:rsid w:val="00EB3B25"/>
    <w:rsid w:val="00EE5445"/>
    <w:rsid w:val="00F0075F"/>
    <w:rsid w:val="00F154C7"/>
    <w:rsid w:val="00F17B57"/>
    <w:rsid w:val="00F61F85"/>
    <w:rsid w:val="00F717C8"/>
    <w:rsid w:val="00F72078"/>
    <w:rsid w:val="00F830B9"/>
    <w:rsid w:val="00F85186"/>
    <w:rsid w:val="00FA62DB"/>
    <w:rsid w:val="00FB11EB"/>
    <w:rsid w:val="00FC728F"/>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91950A"/>
  <w15:chartTrackingRefBased/>
  <w15:docId w15:val="{DCFC0E19-ACD0-42D2-B2C2-5D8C5983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08"/>
    <w:pPr>
      <w:spacing w:after="0" w:line="360" w:lineRule="auto"/>
    </w:pPr>
    <w:rPr>
      <w:rFonts w:ascii="Arial" w:hAnsi="Arial"/>
      <w:sz w:val="24"/>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E678C"/>
    <w:pPr>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CE678C"/>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qFormat/>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95376E"/>
    <w:pPr>
      <w:tabs>
        <w:tab w:val="center" w:pos="4680"/>
        <w:tab w:val="right" w:pos="9360"/>
      </w:tabs>
      <w:spacing w:line="240" w:lineRule="auto"/>
    </w:pPr>
    <w:rPr>
      <w:sz w:val="2"/>
    </w:rPr>
  </w:style>
  <w:style w:type="character" w:customStyle="1" w:styleId="HeaderChar">
    <w:name w:val="Header Char"/>
    <w:basedOn w:val="DefaultParagraphFont"/>
    <w:link w:val="Header"/>
    <w:uiPriority w:val="99"/>
    <w:rsid w:val="0095376E"/>
    <w:rPr>
      <w:sz w:val="2"/>
    </w:rPr>
  </w:style>
  <w:style w:type="paragraph" w:styleId="Footer">
    <w:name w:val="footer"/>
    <w:basedOn w:val="Normal"/>
    <w:link w:val="FooterChar"/>
    <w:uiPriority w:val="99"/>
    <w:unhideWhenUsed/>
    <w:rsid w:val="00F72078"/>
    <w:pPr>
      <w:tabs>
        <w:tab w:val="center" w:pos="4680"/>
        <w:tab w:val="right" w:pos="9360"/>
      </w:tabs>
      <w:spacing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DB77E3"/>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unhideWhenUsed/>
    <w:rsid w:val="002564DF"/>
    <w:pPr>
      <w:pBdr>
        <w:top w:val="nil"/>
        <w:left w:val="nil"/>
        <w:bottom w:val="nil"/>
        <w:right w:val="nil"/>
        <w:between w:val="nil"/>
        <w:bar w:val="nil"/>
      </w:pBdr>
      <w:spacing w:before="120" w:line="240" w:lineRule="auto"/>
      <w:jc w:val="both"/>
    </w:pPr>
    <w:rPr>
      <w:rFonts w:eastAsia="Arial Unicode MS" w:cs="Arial"/>
      <w:sz w:val="18"/>
      <w:szCs w:val="18"/>
      <w:bdr w:val="nil"/>
      <w:lang w:val="en-US"/>
    </w:rPr>
  </w:style>
  <w:style w:type="character" w:customStyle="1" w:styleId="FootnoteTextChar">
    <w:name w:val="Footnote Text Char"/>
    <w:basedOn w:val="DefaultParagraphFont"/>
    <w:link w:val="FootnoteText"/>
    <w:uiPriority w:val="99"/>
    <w:rsid w:val="002564DF"/>
    <w:rPr>
      <w:rFonts w:ascii="Arial" w:eastAsia="Arial Unicode MS" w:hAnsi="Arial" w:cs="Arial"/>
      <w:sz w:val="18"/>
      <w:szCs w:val="18"/>
      <w:bdr w:val="nil"/>
      <w:lang w:val="en-US"/>
    </w:rPr>
  </w:style>
  <w:style w:type="character" w:styleId="FootnoteReference">
    <w:name w:val="footnote reference"/>
    <w:basedOn w:val="DefaultParagraphFont"/>
    <w:unhideWhenUsed/>
    <w:rsid w:val="006066FA"/>
    <w:rPr>
      <w:vertAlign w:val="superscript"/>
    </w:rPr>
  </w:style>
  <w:style w:type="paragraph" w:customStyle="1" w:styleId="TableHeading">
    <w:name w:val="Table Heading"/>
    <w:basedOn w:val="Normal"/>
    <w:qFormat/>
    <w:rsid w:val="00CE678C"/>
    <w:pPr>
      <w:spacing w:after="160" w:line="256" w:lineRule="auto"/>
      <w:jc w:val="center"/>
    </w:pPr>
    <w:rPr>
      <w:rFonts w:eastAsia="Arial" w:cstheme="minorHAnsi"/>
      <w:b/>
      <w:szCs w:val="24"/>
    </w:rPr>
  </w:style>
  <w:style w:type="paragraph" w:customStyle="1" w:styleId="TableCells">
    <w:name w:val="Table Cells"/>
    <w:basedOn w:val="Normal"/>
    <w:qFormat/>
    <w:rsid w:val="007C2D36"/>
    <w:pPr>
      <w:spacing w:line="240" w:lineRule="auto"/>
      <w:jc w:val="both"/>
    </w:pPr>
    <w:rPr>
      <w:rFonts w:eastAsia="Arial" w:cs="Arial"/>
      <w:bCs/>
    </w:rPr>
  </w:style>
  <w:style w:type="character" w:styleId="CommentReference">
    <w:name w:val="annotation reference"/>
    <w:basedOn w:val="DefaultParagraphFont"/>
    <w:uiPriority w:val="99"/>
    <w:semiHidden/>
    <w:unhideWhenUsed/>
    <w:rsid w:val="00CE678C"/>
    <w:rPr>
      <w:sz w:val="16"/>
      <w:szCs w:val="16"/>
    </w:rPr>
  </w:style>
  <w:style w:type="paragraph" w:styleId="CommentText">
    <w:name w:val="annotation text"/>
    <w:basedOn w:val="Normal"/>
    <w:link w:val="CommentTextChar"/>
    <w:uiPriority w:val="99"/>
    <w:semiHidden/>
    <w:unhideWhenUsed/>
    <w:rsid w:val="00CE678C"/>
    <w:pPr>
      <w:spacing w:line="240" w:lineRule="auto"/>
    </w:pPr>
    <w:rPr>
      <w:sz w:val="20"/>
      <w:szCs w:val="20"/>
    </w:rPr>
  </w:style>
  <w:style w:type="character" w:customStyle="1" w:styleId="CommentTextChar">
    <w:name w:val="Comment Text Char"/>
    <w:basedOn w:val="DefaultParagraphFont"/>
    <w:link w:val="CommentText"/>
    <w:uiPriority w:val="99"/>
    <w:semiHidden/>
    <w:rsid w:val="00CE678C"/>
    <w:rPr>
      <w:sz w:val="20"/>
      <w:szCs w:val="20"/>
    </w:rPr>
  </w:style>
  <w:style w:type="paragraph" w:styleId="CommentSubject">
    <w:name w:val="annotation subject"/>
    <w:basedOn w:val="CommentText"/>
    <w:next w:val="CommentText"/>
    <w:link w:val="CommentSubjectChar"/>
    <w:uiPriority w:val="99"/>
    <w:semiHidden/>
    <w:unhideWhenUsed/>
    <w:rsid w:val="00CE678C"/>
    <w:rPr>
      <w:b/>
      <w:bCs/>
    </w:rPr>
  </w:style>
  <w:style w:type="character" w:customStyle="1" w:styleId="CommentSubjectChar">
    <w:name w:val="Comment Subject Char"/>
    <w:basedOn w:val="CommentTextChar"/>
    <w:link w:val="CommentSubject"/>
    <w:uiPriority w:val="99"/>
    <w:semiHidden/>
    <w:rsid w:val="00CE678C"/>
    <w:rPr>
      <w:b/>
      <w:bCs/>
      <w:sz w:val="20"/>
      <w:szCs w:val="20"/>
    </w:rPr>
  </w:style>
  <w:style w:type="character" w:styleId="Hyperlink">
    <w:name w:val="Hyperlink"/>
    <w:basedOn w:val="DefaultParagraphFont"/>
    <w:uiPriority w:val="99"/>
    <w:unhideWhenUsed/>
    <w:rsid w:val="00372B4F"/>
    <w:rPr>
      <w:color w:val="5F5F5F" w:themeColor="hyperlink"/>
      <w:u w:val="single"/>
    </w:rPr>
  </w:style>
  <w:style w:type="character" w:styleId="UnresolvedMention">
    <w:name w:val="Unresolved Mention"/>
    <w:basedOn w:val="DefaultParagraphFont"/>
    <w:uiPriority w:val="99"/>
    <w:semiHidden/>
    <w:unhideWhenUsed/>
    <w:rsid w:val="00372B4F"/>
    <w:rPr>
      <w:color w:val="605E5C"/>
      <w:shd w:val="clear" w:color="auto" w:fill="E1DFDD"/>
    </w:rPr>
  </w:style>
  <w:style w:type="paragraph" w:styleId="EndnoteText">
    <w:name w:val="endnote text"/>
    <w:basedOn w:val="Normal"/>
    <w:link w:val="EndnoteTextChar"/>
    <w:uiPriority w:val="99"/>
    <w:semiHidden/>
    <w:unhideWhenUsed/>
    <w:rsid w:val="00E210CB"/>
    <w:pPr>
      <w:spacing w:line="240" w:lineRule="auto"/>
    </w:pPr>
    <w:rPr>
      <w:sz w:val="20"/>
      <w:szCs w:val="20"/>
    </w:rPr>
  </w:style>
  <w:style w:type="character" w:customStyle="1" w:styleId="EndnoteTextChar">
    <w:name w:val="Endnote Text Char"/>
    <w:basedOn w:val="DefaultParagraphFont"/>
    <w:link w:val="EndnoteText"/>
    <w:uiPriority w:val="99"/>
    <w:semiHidden/>
    <w:rsid w:val="00E210CB"/>
    <w:rPr>
      <w:rFonts w:ascii="Arial" w:hAnsi="Arial"/>
      <w:sz w:val="20"/>
      <w:szCs w:val="20"/>
    </w:rPr>
  </w:style>
  <w:style w:type="character" w:styleId="EndnoteReference">
    <w:name w:val="endnote reference"/>
    <w:basedOn w:val="DefaultParagraphFont"/>
    <w:uiPriority w:val="99"/>
    <w:semiHidden/>
    <w:unhideWhenUsed/>
    <w:rsid w:val="00E210CB"/>
    <w:rPr>
      <w:vertAlign w:val="superscript"/>
    </w:rPr>
  </w:style>
  <w:style w:type="character" w:customStyle="1" w:styleId="Prompt">
    <w:name w:val="Prompt"/>
    <w:aliases w:val="PR,Pr"/>
    <w:basedOn w:val="DefaultParagraphFont"/>
    <w:rsid w:val="00E210CB"/>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192595">
      <w:bodyDiv w:val="1"/>
      <w:marLeft w:val="0"/>
      <w:marRight w:val="0"/>
      <w:marTop w:val="0"/>
      <w:marBottom w:val="0"/>
      <w:divBdr>
        <w:top w:val="none" w:sz="0" w:space="0" w:color="auto"/>
        <w:left w:val="none" w:sz="0" w:space="0" w:color="auto"/>
        <w:bottom w:val="none" w:sz="0" w:space="0" w:color="auto"/>
        <w:right w:val="none" w:sz="0" w:space="0" w:color="auto"/>
      </w:divBdr>
    </w:div>
    <w:div w:id="212573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lawfoundation.on.ca/download/martin_v-_barrett_2008_o-j-_no-_3813/"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B56CC48A3C5640A73567317D0FE497" ma:contentTypeVersion="13" ma:contentTypeDescription="Create a new document." ma:contentTypeScope="" ma:versionID="88d02cdf057d2d891822cb7c9fd2c9bf">
  <xsd:schema xmlns:xsd="http://www.w3.org/2001/XMLSchema" xmlns:xs="http://www.w3.org/2001/XMLSchema" xmlns:p="http://schemas.microsoft.com/office/2006/metadata/properties" xmlns:ns3="0a7d2919-ea8a-4715-9269-5a5ff0794665" xmlns:ns4="721b8bf2-f702-4f86-b787-fa2b0955a374" targetNamespace="http://schemas.microsoft.com/office/2006/metadata/properties" ma:root="true" ma:fieldsID="a4c8dadb73ba11a2bf476759512fd9cc" ns3:_="" ns4:_="">
    <xsd:import namespace="0a7d2919-ea8a-4715-9269-5a5ff0794665"/>
    <xsd:import namespace="721b8bf2-f702-4f86-b787-fa2b0955a3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d2919-ea8a-4715-9269-5a5ff0794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1b8bf2-f702-4f86-b787-fa2b0955a3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DF47F2-209B-4734-998E-25401D598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d2919-ea8a-4715-9269-5a5ff0794665"/>
    <ds:schemaRef ds:uri="721b8bf2-f702-4f86-b787-fa2b0955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47721-468E-48AA-8D57-1AF565912D36}">
  <ds:schemaRefs>
    <ds:schemaRef ds:uri="http://schemas.openxmlformats.org/officeDocument/2006/bibliography"/>
  </ds:schemaRefs>
</ds:datastoreItem>
</file>

<file path=customXml/itemProps3.xml><?xml version="1.0" encoding="utf-8"?>
<ds:datastoreItem xmlns:ds="http://schemas.openxmlformats.org/officeDocument/2006/customXml" ds:itemID="{B73E34B8-7EE3-4DF2-BAF5-E2F8FC141F30}">
  <ds:schemaRefs>
    <ds:schemaRef ds:uri="http://schemas.microsoft.com/sharepoint/v3/contenttype/forms"/>
  </ds:schemaRefs>
</ds:datastoreItem>
</file>

<file path=customXml/itemProps4.xml><?xml version="1.0" encoding="utf-8"?>
<ds:datastoreItem xmlns:ds="http://schemas.openxmlformats.org/officeDocument/2006/customXml" ds:itemID="{8E158296-0A59-4588-A716-9E5A3F369F1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1b8bf2-f702-4f86-b787-fa2b0955a374"/>
    <ds:schemaRef ds:uri="0a7d2919-ea8a-4715-9269-5a5ff07946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4</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Order (Fee Approval)</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(Fee Approval)</dc:title>
  <dc:subject>Form</dc:subject>
  <dc:creator>Superior Court of Justice</dc:creator>
  <cp:keywords/>
  <dc:description/>
  <cp:lastModifiedBy>Rottman, Mike (MAG)</cp:lastModifiedBy>
  <cp:revision>11</cp:revision>
  <dcterms:created xsi:type="dcterms:W3CDTF">2022-03-31T15:33:00Z</dcterms:created>
  <dcterms:modified xsi:type="dcterms:W3CDTF">2022-04-11T15:37:00Z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0x0101007FB56CC48A3C5640A73567317D0FE497</vt:lpwstr>
  </property>
  <property fmtid="{D5CDD505-2E9C-101B-9397-08002B2CF9AE}" pid="3" name="MSIP_Label_034a106e-6316-442c-ad35-738afd673d2b_Enabled">
    <vt:lpwstr>true</vt:lpwstr>
  </property>
  <property fmtid="{D5CDD505-2E9C-101B-9397-08002B2CF9AE}" pid="4" name="MSIP_Label_034a106e-6316-442c-ad35-738afd673d2b_SetDate">
    <vt:lpwstr>2022-03-30T22:04:34Z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d749d6bb-fe1f-49be-9765-97bf4bd98190</vt:lpwstr>
  </property>
  <property fmtid="{D5CDD505-2E9C-101B-9397-08002B2CF9AE}" pid="9" name="MSIP_Label_034a106e-6316-442c-ad35-738afd673d2b_ContentBits">
    <vt:lpwstr>0</vt:lpwstr>
  </property>
</Properties>
</file>