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333"/>
        <w:gridCol w:w="144"/>
        <w:gridCol w:w="4732"/>
        <w:gridCol w:w="217"/>
        <w:gridCol w:w="153"/>
        <w:gridCol w:w="288"/>
        <w:gridCol w:w="1710"/>
        <w:gridCol w:w="185"/>
        <w:gridCol w:w="3218"/>
      </w:tblGrid>
      <w:tr w:rsidR="004274B1" w14:paraId="3B64FF50" w14:textId="77777777" w:rsidTr="004274B1">
        <w:trPr>
          <w:cantSplit/>
        </w:trPr>
        <w:tc>
          <w:tcPr>
            <w:tcW w:w="10980" w:type="dxa"/>
            <w:gridSpan w:val="9"/>
            <w:noWrap/>
            <w:vAlign w:val="bottom"/>
          </w:tcPr>
          <w:p w14:paraId="71FE147D" w14:textId="77777777" w:rsidR="004274B1" w:rsidRDefault="004274B1" w:rsidP="00521F86">
            <w:pPr>
              <w:pStyle w:val="Province"/>
            </w:pPr>
            <w:r>
              <w:t xml:space="preserve">ONTARIO </w:t>
            </w:r>
          </w:p>
        </w:tc>
      </w:tr>
      <w:tr w:rsidR="004274B1" w14:paraId="0451B119" w14:textId="77777777" w:rsidTr="004274B1">
        <w:trPr>
          <w:cantSplit/>
        </w:trPr>
        <w:tc>
          <w:tcPr>
            <w:tcW w:w="7577" w:type="dxa"/>
            <w:gridSpan w:val="7"/>
            <w:tcBorders>
              <w:bottom w:val="dotted" w:sz="4" w:space="0" w:color="auto"/>
            </w:tcBorders>
            <w:noWrap/>
            <w:vAlign w:val="bottom"/>
          </w:tcPr>
          <w:p w14:paraId="2CA37C4D" w14:textId="2C57C340" w:rsidR="004274B1" w:rsidRDefault="004274B1" w:rsidP="004274B1">
            <w:pPr>
              <w:pStyle w:val="fillablefield0"/>
              <w:ind w:left="-471"/>
              <w:jc w:val="center"/>
            </w:pPr>
            <w:r>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0" w:name="Dropdown1"/>
            <w:r>
              <w:instrText xml:space="preserve"> FORMDROPDOWN </w:instrText>
            </w:r>
            <w:r w:rsidR="00AC065F">
              <w:fldChar w:fldCharType="separate"/>
            </w:r>
            <w:r>
              <w:fldChar w:fldCharType="end"/>
            </w:r>
            <w:bookmarkEnd w:id="0"/>
          </w:p>
        </w:tc>
        <w:tc>
          <w:tcPr>
            <w:tcW w:w="185" w:type="dxa"/>
            <w:vMerge w:val="restart"/>
            <w:tcBorders>
              <w:right w:val="single" w:sz="4" w:space="0" w:color="auto"/>
            </w:tcBorders>
            <w:noWrap/>
          </w:tcPr>
          <w:p w14:paraId="16E46074" w14:textId="77777777" w:rsidR="004274B1" w:rsidRDefault="004274B1" w:rsidP="00521F86">
            <w:pPr>
              <w:pStyle w:val="normal6ptbefore"/>
            </w:pPr>
          </w:p>
        </w:tc>
        <w:tc>
          <w:tcPr>
            <w:tcW w:w="3218" w:type="dxa"/>
            <w:tcBorders>
              <w:top w:val="single" w:sz="4" w:space="0" w:color="auto"/>
              <w:left w:val="single" w:sz="4" w:space="0" w:color="auto"/>
              <w:bottom w:val="single" w:sz="2" w:space="0" w:color="auto"/>
              <w:right w:val="single" w:sz="4" w:space="0" w:color="auto"/>
            </w:tcBorders>
            <w:noWrap/>
          </w:tcPr>
          <w:p w14:paraId="52550ABF" w14:textId="77777777" w:rsidR="004274B1" w:rsidRDefault="004274B1" w:rsidP="00521F86">
            <w:pPr>
              <w:pStyle w:val="CourtFileNumber"/>
              <w:spacing w:after="0"/>
            </w:pPr>
            <w:r>
              <w:t>Court File Number</w:t>
            </w:r>
          </w:p>
          <w:p w14:paraId="238A1B9A" w14:textId="77777777" w:rsidR="004274B1" w:rsidRDefault="004274B1" w:rsidP="00521F86">
            <w:pPr>
              <w:pStyle w:val="fillablefield0"/>
              <w:spacing w:before="60" w:after="60"/>
            </w:pPr>
            <w:r>
              <w:fldChar w:fldCharType="begin">
                <w:ffData>
                  <w:name w:val="CourtFileNo"/>
                  <w:enabled/>
                  <w:calcOnExit/>
                  <w:textInput>
                    <w:maxLength w:val="32000"/>
                  </w:textInput>
                </w:ffData>
              </w:fldChar>
            </w:r>
            <w:bookmarkStart w:id="1" w:name="CourtFileNo"/>
            <w:r>
              <w:instrText xml:space="preserve"> FORMTEXT </w:instrText>
            </w:r>
            <w:r>
              <w:fldChar w:fldCharType="separate"/>
            </w:r>
            <w:r>
              <w:t> </w:t>
            </w:r>
            <w:r>
              <w:t> </w:t>
            </w:r>
            <w:r>
              <w:t> </w:t>
            </w:r>
            <w:r>
              <w:t> </w:t>
            </w:r>
            <w:r>
              <w:t> </w:t>
            </w:r>
            <w:r>
              <w:fldChar w:fldCharType="end"/>
            </w:r>
            <w:bookmarkEnd w:id="1"/>
          </w:p>
        </w:tc>
      </w:tr>
      <w:tr w:rsidR="004274B1" w14:paraId="55A1103B" w14:textId="77777777" w:rsidTr="004274B1">
        <w:trPr>
          <w:cantSplit/>
        </w:trPr>
        <w:tc>
          <w:tcPr>
            <w:tcW w:w="7577" w:type="dxa"/>
            <w:gridSpan w:val="7"/>
            <w:tcBorders>
              <w:top w:val="dotted" w:sz="4" w:space="0" w:color="auto"/>
            </w:tcBorders>
            <w:noWrap/>
          </w:tcPr>
          <w:p w14:paraId="4D03D0DE" w14:textId="77777777" w:rsidR="004274B1" w:rsidRDefault="004274B1" w:rsidP="00521F86">
            <w:pPr>
              <w:pStyle w:val="UserInstructions"/>
              <w:jc w:val="center"/>
            </w:pPr>
            <w:r>
              <w:t xml:space="preserve">(Name of court) </w:t>
            </w:r>
          </w:p>
        </w:tc>
        <w:tc>
          <w:tcPr>
            <w:tcW w:w="185" w:type="dxa"/>
            <w:vMerge/>
            <w:noWrap/>
          </w:tcPr>
          <w:p w14:paraId="2670A4C0" w14:textId="77777777" w:rsidR="004274B1" w:rsidRDefault="004274B1" w:rsidP="00521F86">
            <w:pPr>
              <w:pStyle w:val="UserInstructions"/>
              <w:jc w:val="center"/>
            </w:pPr>
          </w:p>
        </w:tc>
        <w:tc>
          <w:tcPr>
            <w:tcW w:w="3218" w:type="dxa"/>
            <w:vMerge w:val="restart"/>
            <w:tcBorders>
              <w:top w:val="single" w:sz="2" w:space="0" w:color="auto"/>
            </w:tcBorders>
            <w:noWrap/>
          </w:tcPr>
          <w:p w14:paraId="4A6D13E5" w14:textId="30334CFA" w:rsidR="004274B1" w:rsidRPr="004274B1" w:rsidRDefault="004274B1" w:rsidP="004274B1">
            <w:pPr>
              <w:pStyle w:val="FormandName"/>
              <w:spacing w:before="120" w:after="120"/>
              <w:rPr>
                <w:sz w:val="24"/>
                <w:szCs w:val="32"/>
              </w:rPr>
            </w:pPr>
            <w:r w:rsidRPr="004274B1">
              <w:rPr>
                <w:sz w:val="24"/>
                <w:szCs w:val="32"/>
              </w:rPr>
              <w:t xml:space="preserve">Binding Judicial Dispute Resolution (JDR) Hearing Request and Consent </w:t>
            </w:r>
          </w:p>
        </w:tc>
      </w:tr>
      <w:tr w:rsidR="004274B1" w14:paraId="6C9140A7" w14:textId="77777777" w:rsidTr="004274B1">
        <w:trPr>
          <w:cantSplit/>
        </w:trPr>
        <w:tc>
          <w:tcPr>
            <w:tcW w:w="333" w:type="dxa"/>
            <w:noWrap/>
            <w:vAlign w:val="bottom"/>
          </w:tcPr>
          <w:p w14:paraId="1EF891AF" w14:textId="77777777" w:rsidR="004274B1" w:rsidRDefault="004274B1" w:rsidP="004274B1">
            <w:pPr>
              <w:pStyle w:val="normal6ptbefore"/>
              <w:spacing w:before="240"/>
              <w:rPr>
                <w:b/>
                <w:bCs/>
              </w:rPr>
            </w:pPr>
            <w:r>
              <w:rPr>
                <w:b/>
                <w:bCs/>
              </w:rPr>
              <w:t>at</w:t>
            </w:r>
          </w:p>
        </w:tc>
        <w:tc>
          <w:tcPr>
            <w:tcW w:w="7244" w:type="dxa"/>
            <w:gridSpan w:val="6"/>
            <w:tcBorders>
              <w:bottom w:val="dotted" w:sz="4" w:space="0" w:color="auto"/>
            </w:tcBorders>
            <w:noWrap/>
            <w:vAlign w:val="bottom"/>
          </w:tcPr>
          <w:p w14:paraId="40F9AFC8" w14:textId="77777777" w:rsidR="004274B1" w:rsidRDefault="004274B1" w:rsidP="004274B1">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85" w:type="dxa"/>
            <w:vMerge/>
            <w:noWrap/>
          </w:tcPr>
          <w:p w14:paraId="45D950E4" w14:textId="77777777" w:rsidR="004274B1" w:rsidRDefault="004274B1" w:rsidP="00521F86">
            <w:pPr>
              <w:pStyle w:val="normal6ptbefore"/>
            </w:pPr>
          </w:p>
        </w:tc>
        <w:tc>
          <w:tcPr>
            <w:tcW w:w="3218" w:type="dxa"/>
            <w:vMerge/>
            <w:noWrap/>
          </w:tcPr>
          <w:p w14:paraId="3D010E60" w14:textId="77777777" w:rsidR="004274B1" w:rsidRDefault="004274B1" w:rsidP="00521F86">
            <w:pPr>
              <w:pStyle w:val="FormandName"/>
              <w:rPr>
                <w:highlight w:val="yellow"/>
              </w:rPr>
            </w:pPr>
          </w:p>
        </w:tc>
      </w:tr>
      <w:tr w:rsidR="004274B1" w14:paraId="230D402D" w14:textId="77777777" w:rsidTr="004274B1">
        <w:trPr>
          <w:cantSplit/>
        </w:trPr>
        <w:tc>
          <w:tcPr>
            <w:tcW w:w="333" w:type="dxa"/>
            <w:noWrap/>
          </w:tcPr>
          <w:p w14:paraId="1B6A4753" w14:textId="77777777" w:rsidR="004274B1" w:rsidRDefault="004274B1" w:rsidP="00521F86">
            <w:pPr>
              <w:pStyle w:val="UserInstructions"/>
              <w:jc w:val="center"/>
            </w:pPr>
          </w:p>
        </w:tc>
        <w:tc>
          <w:tcPr>
            <w:tcW w:w="7244" w:type="dxa"/>
            <w:gridSpan w:val="6"/>
            <w:tcBorders>
              <w:top w:val="dotted" w:sz="4" w:space="0" w:color="auto"/>
            </w:tcBorders>
            <w:noWrap/>
          </w:tcPr>
          <w:p w14:paraId="573EE9FB" w14:textId="77777777" w:rsidR="004274B1" w:rsidRDefault="004274B1" w:rsidP="00521F86">
            <w:pPr>
              <w:pStyle w:val="CourtInformation"/>
            </w:pPr>
            <w:r>
              <w:t xml:space="preserve">Court office address </w:t>
            </w:r>
          </w:p>
        </w:tc>
        <w:tc>
          <w:tcPr>
            <w:tcW w:w="185" w:type="dxa"/>
            <w:vMerge/>
            <w:noWrap/>
          </w:tcPr>
          <w:p w14:paraId="23A3302E" w14:textId="77777777" w:rsidR="004274B1" w:rsidRDefault="004274B1" w:rsidP="00521F86">
            <w:pPr>
              <w:pStyle w:val="UserInstructions"/>
              <w:jc w:val="center"/>
            </w:pPr>
          </w:p>
        </w:tc>
        <w:tc>
          <w:tcPr>
            <w:tcW w:w="3218" w:type="dxa"/>
            <w:vMerge/>
            <w:noWrap/>
          </w:tcPr>
          <w:p w14:paraId="467C2110" w14:textId="77777777" w:rsidR="004274B1" w:rsidRDefault="004274B1" w:rsidP="00521F86">
            <w:pPr>
              <w:pStyle w:val="FormandName"/>
            </w:pPr>
          </w:p>
        </w:tc>
      </w:tr>
      <w:tr w:rsidR="004274B1" w14:paraId="6386E7DB" w14:textId="77777777" w:rsidTr="004274B1">
        <w:trPr>
          <w:cantSplit/>
        </w:trPr>
        <w:tc>
          <w:tcPr>
            <w:tcW w:w="10980" w:type="dxa"/>
            <w:gridSpan w:val="9"/>
            <w:noWrap/>
          </w:tcPr>
          <w:p w14:paraId="4E63BE43" w14:textId="77777777" w:rsidR="004274B1" w:rsidRDefault="004274B1" w:rsidP="00521F86">
            <w:pPr>
              <w:pStyle w:val="Party"/>
              <w:spacing w:before="240"/>
            </w:pPr>
            <w:r>
              <w:t>Applicant(s)</w:t>
            </w:r>
          </w:p>
        </w:tc>
      </w:tr>
      <w:tr w:rsidR="004274B1" w14:paraId="08F7EBD1" w14:textId="77777777" w:rsidTr="004274B1">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49799C64"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9718E61"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74700836"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4274B1" w14:paraId="643907B2" w14:textId="77777777" w:rsidTr="004274B1">
        <w:trPr>
          <w:cantSplit/>
        </w:trPr>
        <w:tc>
          <w:tcPr>
            <w:tcW w:w="5209" w:type="dxa"/>
            <w:gridSpan w:val="3"/>
            <w:vMerge w:val="restart"/>
            <w:tcBorders>
              <w:top w:val="single" w:sz="4" w:space="0" w:color="auto"/>
              <w:left w:val="single" w:sz="4" w:space="0" w:color="auto"/>
              <w:right w:val="single" w:sz="4" w:space="0" w:color="auto"/>
            </w:tcBorders>
            <w:noWrap/>
          </w:tcPr>
          <w:p w14:paraId="2A1E6F7E"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6CA801F2" w14:textId="77777777" w:rsidR="004274B1" w:rsidRDefault="004274B1" w:rsidP="00521F86">
            <w:pPr>
              <w:pStyle w:val="normal12ptbefore"/>
            </w:pPr>
          </w:p>
        </w:tc>
        <w:tc>
          <w:tcPr>
            <w:tcW w:w="5554" w:type="dxa"/>
            <w:gridSpan w:val="5"/>
            <w:vMerge w:val="restart"/>
            <w:tcBorders>
              <w:top w:val="single" w:sz="4" w:space="0" w:color="auto"/>
              <w:left w:val="single" w:sz="4" w:space="0" w:color="auto"/>
              <w:right w:val="single" w:sz="4" w:space="0" w:color="auto"/>
            </w:tcBorders>
          </w:tcPr>
          <w:p w14:paraId="045FA491"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4D9DE2B7" w14:textId="77777777" w:rsidTr="004274B1">
        <w:trPr>
          <w:cantSplit/>
        </w:trPr>
        <w:tc>
          <w:tcPr>
            <w:tcW w:w="5209" w:type="dxa"/>
            <w:gridSpan w:val="3"/>
            <w:vMerge/>
            <w:tcBorders>
              <w:left w:val="single" w:sz="4" w:space="0" w:color="auto"/>
              <w:bottom w:val="single" w:sz="4" w:space="0" w:color="auto"/>
              <w:right w:val="single" w:sz="4" w:space="0" w:color="auto"/>
            </w:tcBorders>
            <w:noWrap/>
          </w:tcPr>
          <w:p w14:paraId="7AE91A44" w14:textId="77777777" w:rsidR="004274B1" w:rsidRDefault="004274B1" w:rsidP="00521F86">
            <w:pPr>
              <w:pStyle w:val="normal12ptbefore"/>
            </w:pPr>
          </w:p>
        </w:tc>
        <w:tc>
          <w:tcPr>
            <w:tcW w:w="217" w:type="dxa"/>
            <w:tcBorders>
              <w:left w:val="single" w:sz="4" w:space="0" w:color="auto"/>
              <w:right w:val="single" w:sz="4" w:space="0" w:color="auto"/>
            </w:tcBorders>
          </w:tcPr>
          <w:p w14:paraId="5BA1A467" w14:textId="77777777" w:rsidR="004274B1" w:rsidRDefault="004274B1" w:rsidP="00521F86">
            <w:pPr>
              <w:pStyle w:val="normal12ptbefore"/>
            </w:pPr>
          </w:p>
        </w:tc>
        <w:tc>
          <w:tcPr>
            <w:tcW w:w="5554" w:type="dxa"/>
            <w:gridSpan w:val="5"/>
            <w:vMerge/>
            <w:tcBorders>
              <w:left w:val="single" w:sz="4" w:space="0" w:color="auto"/>
              <w:bottom w:val="single" w:sz="4" w:space="0" w:color="auto"/>
              <w:right w:val="single" w:sz="4" w:space="0" w:color="auto"/>
            </w:tcBorders>
          </w:tcPr>
          <w:p w14:paraId="632CED71" w14:textId="77777777" w:rsidR="004274B1" w:rsidRDefault="004274B1" w:rsidP="00521F86">
            <w:pPr>
              <w:pStyle w:val="normal12ptbefore"/>
            </w:pPr>
          </w:p>
        </w:tc>
      </w:tr>
      <w:tr w:rsidR="004274B1" w14:paraId="10B2C9B1" w14:textId="77777777" w:rsidTr="004274B1">
        <w:trPr>
          <w:cantSplit/>
        </w:trPr>
        <w:tc>
          <w:tcPr>
            <w:tcW w:w="10980" w:type="dxa"/>
            <w:gridSpan w:val="9"/>
            <w:tcBorders>
              <w:bottom w:val="nil"/>
            </w:tcBorders>
            <w:noWrap/>
            <w:vAlign w:val="bottom"/>
          </w:tcPr>
          <w:p w14:paraId="3D0F5814" w14:textId="77777777" w:rsidR="004274B1" w:rsidRDefault="004274B1" w:rsidP="00521F86">
            <w:pPr>
              <w:pStyle w:val="Party"/>
              <w:spacing w:before="240"/>
            </w:pPr>
            <w:r>
              <w:t>Respondent(s)</w:t>
            </w:r>
          </w:p>
        </w:tc>
      </w:tr>
      <w:tr w:rsidR="004274B1" w14:paraId="5D1F9935" w14:textId="77777777" w:rsidTr="004274B1">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35F03749"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B85B6E5"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33C6650E"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4274B1" w14:paraId="5A65306B" w14:textId="77777777" w:rsidTr="004274B1">
        <w:trPr>
          <w:cantSplit/>
        </w:trPr>
        <w:tc>
          <w:tcPr>
            <w:tcW w:w="5209" w:type="dxa"/>
            <w:gridSpan w:val="3"/>
            <w:vMerge w:val="restart"/>
            <w:tcBorders>
              <w:top w:val="single" w:sz="4" w:space="0" w:color="auto"/>
              <w:left w:val="single" w:sz="4" w:space="0" w:color="auto"/>
              <w:right w:val="single" w:sz="4" w:space="0" w:color="auto"/>
            </w:tcBorders>
            <w:noWrap/>
          </w:tcPr>
          <w:p w14:paraId="20457F44"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25301498" w14:textId="77777777" w:rsidR="004274B1" w:rsidRDefault="004274B1" w:rsidP="00521F86">
            <w:pPr>
              <w:pStyle w:val="normal12ptbefore"/>
            </w:pPr>
          </w:p>
        </w:tc>
        <w:tc>
          <w:tcPr>
            <w:tcW w:w="5554" w:type="dxa"/>
            <w:gridSpan w:val="5"/>
            <w:vMerge w:val="restart"/>
            <w:tcBorders>
              <w:top w:val="single" w:sz="4" w:space="0" w:color="auto"/>
              <w:left w:val="single" w:sz="4" w:space="0" w:color="auto"/>
              <w:right w:val="single" w:sz="4" w:space="0" w:color="auto"/>
            </w:tcBorders>
          </w:tcPr>
          <w:p w14:paraId="4092CA3C"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45C73720" w14:textId="77777777" w:rsidTr="004274B1">
        <w:trPr>
          <w:cantSplit/>
        </w:trPr>
        <w:tc>
          <w:tcPr>
            <w:tcW w:w="5209" w:type="dxa"/>
            <w:gridSpan w:val="3"/>
            <w:vMerge/>
            <w:tcBorders>
              <w:left w:val="single" w:sz="4" w:space="0" w:color="auto"/>
              <w:bottom w:val="single" w:sz="4" w:space="0" w:color="auto"/>
              <w:right w:val="single" w:sz="4" w:space="0" w:color="auto"/>
            </w:tcBorders>
            <w:noWrap/>
          </w:tcPr>
          <w:p w14:paraId="76FF63CA" w14:textId="77777777" w:rsidR="004274B1" w:rsidRDefault="004274B1" w:rsidP="00521F86">
            <w:pPr>
              <w:pStyle w:val="normal12ptbefore"/>
            </w:pPr>
          </w:p>
        </w:tc>
        <w:tc>
          <w:tcPr>
            <w:tcW w:w="217" w:type="dxa"/>
            <w:tcBorders>
              <w:left w:val="single" w:sz="4" w:space="0" w:color="auto"/>
              <w:right w:val="single" w:sz="4" w:space="0" w:color="auto"/>
            </w:tcBorders>
          </w:tcPr>
          <w:p w14:paraId="3EA4444E" w14:textId="77777777" w:rsidR="004274B1" w:rsidRDefault="004274B1" w:rsidP="00521F86">
            <w:pPr>
              <w:pStyle w:val="normal12ptbefore"/>
            </w:pPr>
          </w:p>
        </w:tc>
        <w:tc>
          <w:tcPr>
            <w:tcW w:w="5554" w:type="dxa"/>
            <w:gridSpan w:val="5"/>
            <w:vMerge/>
            <w:tcBorders>
              <w:left w:val="single" w:sz="4" w:space="0" w:color="auto"/>
              <w:bottom w:val="single" w:sz="4" w:space="0" w:color="auto"/>
              <w:right w:val="single" w:sz="4" w:space="0" w:color="auto"/>
            </w:tcBorders>
          </w:tcPr>
          <w:p w14:paraId="3EDD2AFE" w14:textId="77777777" w:rsidR="004274B1" w:rsidRDefault="004274B1" w:rsidP="00521F86">
            <w:pPr>
              <w:pStyle w:val="normal12ptbefore"/>
            </w:pPr>
          </w:p>
        </w:tc>
      </w:tr>
      <w:tr w:rsidR="00042D81" w:rsidRPr="00042D81" w14:paraId="1D8C387D" w14:textId="77777777" w:rsidTr="004274B1">
        <w:trPr>
          <w:cantSplit/>
        </w:trPr>
        <w:tc>
          <w:tcPr>
            <w:tcW w:w="477" w:type="dxa"/>
            <w:gridSpan w:val="2"/>
            <w:noWrap/>
          </w:tcPr>
          <w:p w14:paraId="75E92AE8" w14:textId="79116309" w:rsidR="00042D81" w:rsidRPr="00042D81" w:rsidRDefault="00042D81" w:rsidP="004274B1">
            <w:pPr>
              <w:pStyle w:val="normal18ptbefore"/>
            </w:pPr>
            <w:r>
              <w:t>RE:</w:t>
            </w:r>
          </w:p>
        </w:tc>
        <w:tc>
          <w:tcPr>
            <w:tcW w:w="5102" w:type="dxa"/>
            <w:gridSpan w:val="3"/>
            <w:tcBorders>
              <w:bottom w:val="dotted" w:sz="4" w:space="0" w:color="auto"/>
            </w:tcBorders>
            <w:vAlign w:val="bottom"/>
          </w:tcPr>
          <w:p w14:paraId="2B96C17D" w14:textId="06C7992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189B53F" w14:textId="7C4B4CBF" w:rsidR="00042D81" w:rsidRPr="00042D81" w:rsidRDefault="00042D81" w:rsidP="004274B1">
            <w:pPr>
              <w:pStyle w:val="normal18ptbefore"/>
            </w:pPr>
            <w:r>
              <w:t>v.</w:t>
            </w:r>
          </w:p>
        </w:tc>
        <w:tc>
          <w:tcPr>
            <w:tcW w:w="5113" w:type="dxa"/>
            <w:gridSpan w:val="3"/>
            <w:tcBorders>
              <w:bottom w:val="dotted" w:sz="4" w:space="0" w:color="auto"/>
            </w:tcBorders>
            <w:vAlign w:val="bottom"/>
          </w:tcPr>
          <w:p w14:paraId="0D1FF1CF" w14:textId="324AF79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F8" w:rsidRPr="00A5195C" w14:paraId="2283C4F8" w14:textId="77777777" w:rsidTr="001C6195">
        <w:trPr>
          <w:cantSplit/>
        </w:trPr>
        <w:tc>
          <w:tcPr>
            <w:tcW w:w="10980" w:type="dxa"/>
            <w:gridSpan w:val="9"/>
            <w:tcBorders>
              <w:top w:val="nil"/>
              <w:bottom w:val="single" w:sz="4" w:space="0" w:color="auto"/>
            </w:tcBorders>
            <w:noWrap/>
            <w:tcMar>
              <w:left w:w="58" w:type="dxa"/>
              <w:right w:w="58" w:type="dxa"/>
            </w:tcMar>
          </w:tcPr>
          <w:p w14:paraId="001E392B" w14:textId="44CB7FEB" w:rsidR="006144F8" w:rsidRPr="00A5195C" w:rsidRDefault="00A5195C" w:rsidP="004274B1">
            <w:pPr>
              <w:pStyle w:val="normal18ptbefore"/>
              <w:spacing w:after="240" w:line="300" w:lineRule="auto"/>
              <w:rPr>
                <w:b/>
                <w:bCs/>
              </w:rPr>
            </w:pPr>
            <w:r w:rsidRPr="00F36CAB">
              <w:t xml:space="preserve">A Binding JDR hearing is a party-initiated, consensual, and flexible process which allows parties to obtain final orders on their disputed issues without the need for a trial. </w:t>
            </w:r>
            <w:r w:rsidRPr="00F36CAB">
              <w:rPr>
                <w:color w:val="000000"/>
                <w:lang w:eastAsia="en-CA"/>
              </w:rPr>
              <w:t>The</w:t>
            </w:r>
            <w:r w:rsidRPr="00F36CAB">
              <w:t xml:space="preserve"> judge conducting the hearing will help the parties to try to resolve their issues on consent and then make orders about unresolved issues at the same hearing.</w:t>
            </w:r>
            <w:bookmarkStart w:id="2" w:name="_Hlk127533569"/>
            <w:r w:rsidRPr="00F36CAB">
              <w:t xml:space="preserve"> </w:t>
            </w:r>
            <w:r w:rsidRPr="00F36CAB">
              <w:rPr>
                <w:color w:val="000000"/>
                <w:lang w:eastAsia="en-CA"/>
              </w:rPr>
              <w:t xml:space="preserve">The parties must provide written consent to the process and obtain the court’s approval </w:t>
            </w:r>
            <w:proofErr w:type="gramStart"/>
            <w:r w:rsidRPr="00F36CAB">
              <w:rPr>
                <w:color w:val="000000"/>
                <w:lang w:eastAsia="en-CA"/>
              </w:rPr>
              <w:t>in order to</w:t>
            </w:r>
            <w:proofErr w:type="gramEnd"/>
            <w:r w:rsidRPr="00F36CAB">
              <w:rPr>
                <w:color w:val="000000"/>
                <w:lang w:eastAsia="en-CA"/>
              </w:rPr>
              <w:t xml:space="preserve"> have a Binding JDR hearing.</w:t>
            </w:r>
            <w:bookmarkEnd w:id="2"/>
          </w:p>
        </w:tc>
      </w:tr>
      <w:tr w:rsidR="006144F8" w:rsidRPr="001C6195" w14:paraId="0375A8BA" w14:textId="77777777" w:rsidTr="001C6195">
        <w:trPr>
          <w:cantSplit/>
        </w:trPr>
        <w:tc>
          <w:tcPr>
            <w:tcW w:w="10980" w:type="dxa"/>
            <w:gridSpan w:val="9"/>
            <w:tcBorders>
              <w:top w:val="single" w:sz="4" w:space="0" w:color="auto"/>
              <w:bottom w:val="nil"/>
            </w:tcBorders>
            <w:shd w:val="pct15" w:color="auto" w:fill="auto"/>
            <w:noWrap/>
            <w:tcMar>
              <w:left w:w="58" w:type="dxa"/>
              <w:right w:w="58" w:type="dxa"/>
            </w:tcMar>
            <w:vAlign w:val="bottom"/>
          </w:tcPr>
          <w:p w14:paraId="3428273A" w14:textId="1968D4A4" w:rsidR="006144F8" w:rsidRPr="001C6195" w:rsidRDefault="001C6195" w:rsidP="00026F89">
            <w:pPr>
              <w:pStyle w:val="Heading1"/>
              <w:spacing w:before="60"/>
            </w:pPr>
            <w:r w:rsidRPr="001C6195">
              <w:t>Part A: Request and Consent</w:t>
            </w:r>
          </w:p>
        </w:tc>
      </w:tr>
    </w:tbl>
    <w:p w14:paraId="157F0907" w14:textId="35B05775" w:rsidR="000363B6" w:rsidRDefault="000363B6" w:rsidP="000363B6">
      <w:pPr>
        <w:pStyle w:val="normal6ptbefore"/>
        <w:spacing w:line="300" w:lineRule="auto"/>
        <w:ind w:left="-180" w:hanging="266"/>
      </w:pPr>
      <w:r>
        <w:t>1.</w:t>
      </w:r>
      <w:r w:rsidRPr="000363B6">
        <w:t xml:space="preserve"> </w:t>
      </w:r>
      <w:r>
        <w:t xml:space="preserve"> </w:t>
      </w:r>
      <w:r w:rsidRPr="001C6195">
        <w:t xml:space="preserve">I have read and understand the Binding JDR hearing process as set out in the </w:t>
      </w:r>
      <w:hyperlink r:id="rId9" w:history="1">
        <w:r w:rsidRPr="001514DD">
          <w:rPr>
            <w:rStyle w:val="Hyperlink"/>
          </w:rPr>
          <w:t>Practice Advisory Concerning the Superior Court of Justice’s Binding Judicial Dispute Resolution Pilot Projects</w:t>
        </w:r>
      </w:hyperlink>
      <w:r w:rsidR="001514DD">
        <w:t>.</w:t>
      </w:r>
    </w:p>
    <w:p w14:paraId="08911C5A" w14:textId="482C8169" w:rsidR="000363B6" w:rsidRDefault="000363B6" w:rsidP="000363B6">
      <w:pPr>
        <w:pStyle w:val="normal6ptbefore"/>
        <w:spacing w:line="300" w:lineRule="auto"/>
        <w:ind w:left="-180" w:hanging="266"/>
      </w:pPr>
      <w:r>
        <w:t xml:space="preserve">2.  I,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sidR="004274B1" w:rsidRPr="004274B1">
        <w:t xml:space="preserve">, </w:t>
      </w:r>
      <w:r w:rsidR="004274B1" w:rsidRPr="00E2427D">
        <w:t>request the court conduct a Binding JDR hearing on the</w:t>
      </w:r>
      <w:r w:rsidR="004274B1" w:rsidRPr="004274B1">
        <w:t xml:space="preserve"> </w:t>
      </w:r>
      <w:r w:rsidR="004274B1" w:rsidRPr="00E2427D">
        <w:t>following issues:</w:t>
      </w:r>
    </w:p>
    <w:p w14:paraId="6E6D6BA3" w14:textId="29978846" w:rsidR="004274B1" w:rsidRDefault="004274B1" w:rsidP="004274B1">
      <w:pPr>
        <w:pStyle w:val="normal6ptbefore"/>
        <w:spacing w:line="300" w:lineRule="auto"/>
        <w:ind w:left="-187"/>
        <w:rPr>
          <w:i/>
          <w:iCs/>
        </w:rPr>
      </w:pPr>
      <w:r w:rsidRPr="004274B1">
        <w:rPr>
          <w:i/>
          <w:iCs/>
        </w:rPr>
        <w:t>(Check off the issues that must still be resolved and provide a brief description. Note that only issues that were included in your pleadings and are approved by the Court may be addressed at the Binding JDR hearing unless the judge at the hearing orders otherwise.)</w:t>
      </w:r>
    </w:p>
    <w:p w14:paraId="3553A904" w14:textId="06675308" w:rsidR="004274B1" w:rsidRDefault="004274B1" w:rsidP="004274B1">
      <w:pPr>
        <w:pStyle w:val="normal6ptbefore"/>
        <w:spacing w:line="300" w:lineRule="auto"/>
        <w:ind w:left="-187"/>
        <w:rPr>
          <w:b/>
          <w:bCs/>
          <w:color w:val="0000FF"/>
        </w:rPr>
      </w:pPr>
      <w:r>
        <w:fldChar w:fldCharType="begin">
          <w:ffData>
            <w:name w:val="Check85"/>
            <w:enabled/>
            <w:calcOnExit w:val="0"/>
            <w:checkBox>
              <w:sizeAuto/>
              <w:default w:val="0"/>
            </w:checkBox>
          </w:ffData>
        </w:fldChar>
      </w:r>
      <w:bookmarkStart w:id="3" w:name="Check85"/>
      <w:r>
        <w:instrText xml:space="preserve"> FORMCHECKBOX </w:instrText>
      </w:r>
      <w:r w:rsidR="00AC065F">
        <w:fldChar w:fldCharType="separate"/>
      </w:r>
      <w:r>
        <w:fldChar w:fldCharType="end"/>
      </w:r>
      <w:bookmarkEnd w:id="3"/>
      <w:r>
        <w:t xml:space="preserve"> </w:t>
      </w:r>
      <w:r w:rsidRPr="004274B1">
        <w:t>Decision-making</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17A804C2" w14:textId="08EFB8C5" w:rsidR="004274B1" w:rsidRDefault="004274B1" w:rsidP="004274B1">
      <w:pPr>
        <w:pStyle w:val="normal6ptbefore"/>
        <w:spacing w:line="300" w:lineRule="auto"/>
        <w:ind w:left="-187"/>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4274B1">
        <w:t>Parenting time or contact:</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7D0CFCFD" w14:textId="65D59691" w:rsidR="004274B1" w:rsidRDefault="004274B1" w:rsidP="004274B1">
      <w:pPr>
        <w:pStyle w:val="normal6ptbefore"/>
        <w:spacing w:line="300" w:lineRule="auto"/>
        <w:ind w:left="-187"/>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00D419A7" w:rsidRPr="00D419A7">
        <w:t>Child support:</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32B133DD" w14:textId="2845A6A2" w:rsidR="004274B1" w:rsidRDefault="004274B1" w:rsidP="004274B1">
      <w:pPr>
        <w:pStyle w:val="normal6ptbefore"/>
        <w:spacing w:line="300" w:lineRule="auto"/>
        <w:ind w:left="-187"/>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00D419A7" w:rsidRPr="00D419A7">
        <w:t>Spousal support:</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06CE157B" w14:textId="014EBC7F" w:rsidR="004274B1" w:rsidRDefault="004274B1" w:rsidP="004274B1">
      <w:pPr>
        <w:pStyle w:val="normal6ptbefore"/>
        <w:spacing w:line="300" w:lineRule="auto"/>
        <w:ind w:left="-187"/>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00D419A7" w:rsidRPr="00D419A7">
        <w:t>Division of property:</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2F1DFA71" w14:textId="2C47BC27" w:rsidR="004274B1" w:rsidRDefault="004274B1" w:rsidP="004274B1">
      <w:pPr>
        <w:pStyle w:val="normal6ptbefore"/>
        <w:spacing w:line="300" w:lineRule="auto"/>
        <w:ind w:left="-187"/>
        <w:rPr>
          <w:b/>
          <w:bCs/>
          <w:color w:val="0000FF"/>
        </w:rPr>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00D419A7">
        <w:t xml:space="preserve">Other: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70B36354" w14:textId="405FA7AE" w:rsidR="00480E4D" w:rsidRDefault="00480E4D" w:rsidP="00362DA4">
      <w:pPr>
        <w:pStyle w:val="normal12ptbefore"/>
        <w:spacing w:after="120" w:line="300" w:lineRule="auto"/>
        <w:ind w:left="-187" w:hanging="259"/>
      </w:pPr>
      <w:r>
        <w:t xml:space="preserve">3.  </w:t>
      </w:r>
      <w:r w:rsidRPr="00480E4D">
        <w:t xml:space="preserve">Provide </w:t>
      </w:r>
      <w:proofErr w:type="gramStart"/>
      <w:r w:rsidRPr="00480E4D">
        <w:t>a brief summary</w:t>
      </w:r>
      <w:proofErr w:type="gramEnd"/>
      <w:r w:rsidRPr="00480E4D">
        <w:t xml:space="preserve"> of why you believe a Binding JDR hearing would be an effective way to resolve the issues listed above:</w:t>
      </w:r>
    </w:p>
    <w:p w14:paraId="30B0A131" w14:textId="47369454" w:rsidR="00480E4D" w:rsidRPr="00480E4D" w:rsidRDefault="00480E4D" w:rsidP="00362DA4">
      <w:pPr>
        <w:pStyle w:val="normal12ptbefore"/>
        <w:spacing w:before="0" w:line="480" w:lineRule="auto"/>
        <w:ind w:left="86" w:hanging="259"/>
        <w:rPr>
          <w:sz w:val="24"/>
        </w:rPr>
      </w:pPr>
      <w:r w:rsidRPr="00480E4D">
        <w:rPr>
          <w:b/>
          <w:bCs/>
          <w:color w:val="0000FF"/>
          <w:sz w:val="24"/>
        </w:rPr>
        <w:fldChar w:fldCharType="begin">
          <w:ffData>
            <w:name w:val=""/>
            <w:enabled/>
            <w:calcOnExit w:val="0"/>
            <w:textInput/>
          </w:ffData>
        </w:fldChar>
      </w:r>
      <w:r w:rsidRPr="00480E4D">
        <w:rPr>
          <w:b/>
          <w:bCs/>
          <w:color w:val="0000FF"/>
          <w:sz w:val="24"/>
        </w:rPr>
        <w:instrText xml:space="preserve"> FORMTEXT </w:instrText>
      </w:r>
      <w:r w:rsidRPr="00480E4D">
        <w:rPr>
          <w:b/>
          <w:bCs/>
          <w:color w:val="0000FF"/>
          <w:sz w:val="24"/>
        </w:rPr>
      </w:r>
      <w:r w:rsidRPr="00480E4D">
        <w:rPr>
          <w:b/>
          <w:bCs/>
          <w:color w:val="0000FF"/>
          <w:sz w:val="24"/>
        </w:rPr>
        <w:fldChar w:fldCharType="separate"/>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color w:val="0000FF"/>
          <w:sz w:val="24"/>
        </w:rPr>
        <w:fldChar w:fldCharType="end"/>
      </w:r>
    </w:p>
    <w:p w14:paraId="5709EF9F" w14:textId="00BAE286" w:rsidR="00D419A7" w:rsidRDefault="00480E4D" w:rsidP="00D419A7">
      <w:pPr>
        <w:pStyle w:val="normal12ptbefore"/>
        <w:spacing w:line="300" w:lineRule="auto"/>
        <w:ind w:left="-187" w:hanging="259"/>
      </w:pPr>
      <w:r>
        <w:lastRenderedPageBreak/>
        <w:t>4</w:t>
      </w:r>
      <w:r w:rsidR="00D419A7">
        <w:t xml:space="preserve">.  </w:t>
      </w:r>
      <w:r w:rsidR="00D419A7" w:rsidRPr="00D419A7">
        <w:t>I will serve on all parties and file with the Court the following documents according to the page limits and timelines set out in the Practice Advisory (section 6) unless otherwise directed by the court:</w:t>
      </w:r>
    </w:p>
    <w:p w14:paraId="29887738" w14:textId="31292278" w:rsidR="00D419A7" w:rsidRDefault="00D419A7" w:rsidP="00480E4D">
      <w:pPr>
        <w:pStyle w:val="normal12ptbefore"/>
        <w:numPr>
          <w:ilvl w:val="0"/>
          <w:numId w:val="30"/>
        </w:numPr>
        <w:spacing w:before="120" w:line="300" w:lineRule="auto"/>
        <w:ind w:left="547" w:hanging="187"/>
      </w:pPr>
      <w:r w:rsidRPr="00D419A7">
        <w:t xml:space="preserve">Affidavit (either Form 14A or the </w:t>
      </w:r>
      <w:hyperlink r:id="rId10" w:history="1">
        <w:r w:rsidRPr="0048574E">
          <w:rPr>
            <w:rStyle w:val="Hyperlink"/>
          </w:rPr>
          <w:t>Affidavit for Binding JDR Hearing</w:t>
        </w:r>
      </w:hyperlink>
      <w:r w:rsidR="001514DD">
        <w:t>)</w:t>
      </w:r>
    </w:p>
    <w:p w14:paraId="37B69A7B" w14:textId="101D0CC8" w:rsidR="00D419A7" w:rsidRDefault="00D419A7" w:rsidP="00D419A7">
      <w:pPr>
        <w:pStyle w:val="normal12ptbefore"/>
        <w:numPr>
          <w:ilvl w:val="0"/>
          <w:numId w:val="30"/>
        </w:numPr>
        <w:spacing w:before="0" w:line="300" w:lineRule="auto"/>
        <w:ind w:left="547" w:hanging="187"/>
      </w:pPr>
      <w:r w:rsidRPr="00D419A7">
        <w:t>Draft Final Orders</w:t>
      </w:r>
    </w:p>
    <w:p w14:paraId="458019BD" w14:textId="5B5F5DE8" w:rsidR="00D419A7" w:rsidRDefault="00D419A7" w:rsidP="00D419A7">
      <w:pPr>
        <w:pStyle w:val="normal12ptbefore"/>
        <w:numPr>
          <w:ilvl w:val="0"/>
          <w:numId w:val="30"/>
        </w:numPr>
        <w:spacing w:before="0" w:line="300" w:lineRule="auto"/>
        <w:ind w:left="547" w:hanging="187"/>
        <w:rPr>
          <w:rFonts w:cs="Arial"/>
        </w:rPr>
      </w:pPr>
      <w:r w:rsidRPr="00D419A7">
        <w:rPr>
          <w:rFonts w:cs="Arial"/>
        </w:rPr>
        <w:t>Current Financial Statement with all required attachments (if applicable)</w:t>
      </w:r>
    </w:p>
    <w:p w14:paraId="0C9F14F3" w14:textId="643C64F9" w:rsidR="00D419A7" w:rsidRDefault="00D419A7" w:rsidP="00D419A7">
      <w:pPr>
        <w:pStyle w:val="normal12ptbefore"/>
        <w:numPr>
          <w:ilvl w:val="0"/>
          <w:numId w:val="30"/>
        </w:numPr>
        <w:spacing w:before="0" w:line="300" w:lineRule="auto"/>
        <w:ind w:left="547" w:hanging="187"/>
        <w:rPr>
          <w:rFonts w:cs="Arial"/>
        </w:rPr>
      </w:pPr>
      <w:r w:rsidRPr="00D419A7">
        <w:rPr>
          <w:rFonts w:cs="Arial"/>
        </w:rPr>
        <w:t>Current Net Family Property Statement and Comparison of Net Family Property Statement (if applicable)</w:t>
      </w:r>
    </w:p>
    <w:p w14:paraId="7BFAA268" w14:textId="1D4A7261" w:rsidR="00C07681" w:rsidRDefault="00480E4D" w:rsidP="00362DA4">
      <w:pPr>
        <w:pStyle w:val="normal12ptbefore"/>
        <w:spacing w:after="120"/>
        <w:ind w:left="-446"/>
      </w:pPr>
      <w:r w:rsidRPr="00480E4D">
        <w:t>5.  Here is a list of the types of additional documents that I intend to rely on at the Binding JDR hearing:</w:t>
      </w:r>
    </w:p>
    <w:p w14:paraId="4C12C3DC" w14:textId="34301D8D" w:rsidR="00480E4D" w:rsidRPr="00480E4D" w:rsidRDefault="00480E4D" w:rsidP="00362DA4">
      <w:pPr>
        <w:pStyle w:val="normal12ptbefore"/>
        <w:spacing w:before="0" w:line="480" w:lineRule="auto"/>
        <w:ind w:left="-187"/>
      </w:pPr>
      <w:r w:rsidRPr="00480E4D">
        <w:rPr>
          <w:b/>
          <w:bCs/>
          <w:color w:val="0000FF"/>
          <w:sz w:val="24"/>
        </w:rPr>
        <w:fldChar w:fldCharType="begin">
          <w:ffData>
            <w:name w:val=""/>
            <w:enabled/>
            <w:calcOnExit w:val="0"/>
            <w:textInput/>
          </w:ffData>
        </w:fldChar>
      </w:r>
      <w:r w:rsidRPr="00480E4D">
        <w:rPr>
          <w:b/>
          <w:bCs/>
          <w:color w:val="0000FF"/>
          <w:sz w:val="24"/>
        </w:rPr>
        <w:instrText xml:space="preserve"> FORMTEXT </w:instrText>
      </w:r>
      <w:r w:rsidRPr="00480E4D">
        <w:rPr>
          <w:b/>
          <w:bCs/>
          <w:color w:val="0000FF"/>
          <w:sz w:val="24"/>
        </w:rPr>
      </w:r>
      <w:r w:rsidRPr="00480E4D">
        <w:rPr>
          <w:b/>
          <w:bCs/>
          <w:color w:val="0000FF"/>
          <w:sz w:val="24"/>
        </w:rPr>
        <w:fldChar w:fldCharType="separate"/>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color w:val="0000FF"/>
          <w:sz w:val="24"/>
        </w:rPr>
        <w:fldChar w:fldCharType="end"/>
      </w:r>
    </w:p>
    <w:p w14:paraId="0DA79F3E" w14:textId="083E7BBE" w:rsidR="00480E4D" w:rsidRDefault="00480E4D" w:rsidP="00480E4D">
      <w:pPr>
        <w:pStyle w:val="normal12ptbefore"/>
        <w:spacing w:line="300" w:lineRule="auto"/>
        <w:ind w:left="-180" w:hanging="266"/>
      </w:pPr>
      <w:r>
        <w:t xml:space="preserve">6.  </w:t>
      </w:r>
      <w:r w:rsidRPr="00480E4D">
        <w:t xml:space="preserve">I will provide the other party(ies) with copies of the documents supporting my Financial Statement and the other issues in my case and file them with the court according to the timelines set out in the </w:t>
      </w:r>
      <w:hyperlink r:id="rId11" w:history="1">
        <w:r w:rsidRPr="0048574E">
          <w:rPr>
            <w:rStyle w:val="Hyperlink"/>
          </w:rPr>
          <w:t>Practice Advisory</w:t>
        </w:r>
      </w:hyperlink>
      <w:r w:rsidRPr="00480E4D">
        <w:t xml:space="preserve"> (Part 6)</w:t>
      </w:r>
      <w:r w:rsidR="00CE6287">
        <w:t xml:space="preserve"> </w:t>
      </w:r>
      <w:r w:rsidRPr="00480E4D">
        <w:t>unless otherwise directed by the Court. I understand that if I fail to produce these records, the information in them may not be relied on by the judge deciding my case.</w:t>
      </w:r>
    </w:p>
    <w:p w14:paraId="50A8A411" w14:textId="7C64D382" w:rsidR="00480E4D" w:rsidRDefault="00480E4D" w:rsidP="0067730C">
      <w:pPr>
        <w:pStyle w:val="normal6ptbefore"/>
        <w:spacing w:before="240" w:line="300" w:lineRule="auto"/>
        <w:ind w:left="-180" w:hanging="266"/>
      </w:pPr>
      <w:r>
        <w:t>7.</w:t>
      </w:r>
      <w:r w:rsidR="0067730C">
        <w:t xml:space="preserve"> </w:t>
      </w:r>
      <w:r>
        <w:t xml:space="preserve"> </w:t>
      </w:r>
      <w:r w:rsidRPr="00480E4D">
        <w:t xml:space="preserve">I also understand that I should </w:t>
      </w:r>
      <w:r w:rsidRPr="00480E4D">
        <w:rPr>
          <w:b/>
          <w:bCs/>
        </w:rPr>
        <w:t>only</w:t>
      </w:r>
      <w:r w:rsidRPr="00480E4D">
        <w:t xml:space="preserve"> submit evidence that is relevant and non-repetitive and that will assist the parties to settle the issues or help the judge to </w:t>
      </w:r>
      <w:proofErr w:type="gramStart"/>
      <w:r w:rsidRPr="00480E4D">
        <w:t>make a decision</w:t>
      </w:r>
      <w:proofErr w:type="gramEnd"/>
      <w:r w:rsidRPr="00480E4D">
        <w:t>. I understand that the judge conducting the binding JDR hearing will not take into consideration irrelevant or repetitive documentation. If I submit too much information for the Binding JDR hearing to proceed, the judge may return the case to the regular track for a trial of the issues, and I may have to pay court costs to the other party.</w:t>
      </w:r>
    </w:p>
    <w:p w14:paraId="3C028A3F" w14:textId="21DDD9F9" w:rsidR="0067730C" w:rsidRDefault="0067730C" w:rsidP="0067730C">
      <w:pPr>
        <w:pStyle w:val="normal6ptbefore"/>
        <w:spacing w:before="240" w:line="300" w:lineRule="auto"/>
        <w:ind w:left="-180" w:hanging="266"/>
        <w:rPr>
          <w:rFonts w:cs="Arial"/>
        </w:rPr>
      </w:pPr>
      <w:r w:rsidRPr="0067730C">
        <w:rPr>
          <w:rFonts w:cs="Arial"/>
        </w:rPr>
        <w:t xml:space="preserve">8. </w:t>
      </w:r>
      <w:r>
        <w:rPr>
          <w:rFonts w:cs="Arial"/>
        </w:rPr>
        <w:t xml:space="preserve"> </w:t>
      </w:r>
      <w:r w:rsidRPr="0067730C">
        <w:rPr>
          <w:rFonts w:cs="Arial"/>
        </w:rPr>
        <w:t xml:space="preserve">I will upload to CaseLines all my documents for the Binding JDR hearing as soon as possible after receiving my invitation from the court and not later than </w:t>
      </w:r>
      <w:r w:rsidRPr="0067730C">
        <w:rPr>
          <w:rFonts w:cs="Arial"/>
          <w:b/>
          <w:bCs/>
        </w:rPr>
        <w:t>five (5)</w:t>
      </w:r>
      <w:r w:rsidRPr="0067730C">
        <w:rPr>
          <w:rFonts w:cs="Arial"/>
        </w:rPr>
        <w:t xml:space="preserve"> days before the hearing.</w:t>
      </w:r>
    </w:p>
    <w:p w14:paraId="56FFE751" w14:textId="093317ED" w:rsidR="0067730C" w:rsidRDefault="0067730C" w:rsidP="0067730C">
      <w:pPr>
        <w:pStyle w:val="normal6ptbefore"/>
        <w:spacing w:before="240" w:line="300" w:lineRule="auto"/>
        <w:ind w:left="-180" w:hanging="266"/>
        <w:rPr>
          <w:rFonts w:cs="Arial"/>
        </w:rPr>
      </w:pPr>
      <w:r>
        <w:rPr>
          <w:rFonts w:cs="Arial"/>
        </w:rPr>
        <w:t xml:space="preserve">9.  </w:t>
      </w:r>
      <w:r w:rsidRPr="0067730C">
        <w:rPr>
          <w:rFonts w:cs="Arial"/>
        </w:rPr>
        <w:t>According to subrule 21(e) of the Family Law Rules, parties have 30 days after receiving the report of the Children’s Lawyer to inform the other parties and the Court of any dispute they have with the report.  If my case involves a report of the Children’s Lawyer and I schedule the Binding JDR hearing within 30 days of being served the report, I acknowledge that I am giving up my right to that time according to subrule 21 (e).</w:t>
      </w:r>
    </w:p>
    <w:p w14:paraId="08298D8F" w14:textId="0EC7F6FC" w:rsidR="0067730C" w:rsidRDefault="0067730C" w:rsidP="0067730C">
      <w:pPr>
        <w:pStyle w:val="normal6ptbefore"/>
        <w:spacing w:before="240" w:line="300" w:lineRule="auto"/>
        <w:ind w:left="-45" w:hanging="401"/>
        <w:rPr>
          <w:rFonts w:cs="Arial"/>
        </w:rPr>
      </w:pPr>
      <w:r>
        <w:rPr>
          <w:rFonts w:cs="Arial"/>
        </w:rPr>
        <w:t xml:space="preserve">10.  </w:t>
      </w:r>
      <w:r w:rsidRPr="0067730C">
        <w:rPr>
          <w:rFonts w:cs="Arial"/>
        </w:rPr>
        <w:t xml:space="preserve">I am aware that, unless all parties agree or I </w:t>
      </w:r>
      <w:r w:rsidR="00A32CE8">
        <w:rPr>
          <w:rFonts w:cs="Arial"/>
        </w:rPr>
        <w:t>have the Court’s permission</w:t>
      </w:r>
      <w:r w:rsidRPr="0067730C">
        <w:rPr>
          <w:rFonts w:cs="Arial"/>
        </w:rPr>
        <w:t xml:space="preserve">, I may </w:t>
      </w:r>
      <w:r w:rsidRPr="008619C6">
        <w:rPr>
          <w:rFonts w:cs="Arial"/>
          <w:b/>
          <w:bCs/>
        </w:rPr>
        <w:t>not</w:t>
      </w:r>
      <w:r w:rsidRPr="0067730C">
        <w:rPr>
          <w:rFonts w:cs="Arial"/>
        </w:rPr>
        <w:t xml:space="preserve"> withdraw my consent to participate in the Binding JDR hearing after filing my signed </w:t>
      </w:r>
      <w:r w:rsidRPr="0067730C">
        <w:rPr>
          <w:rFonts w:cs="Arial"/>
          <w:b/>
          <w:bCs/>
        </w:rPr>
        <w:t>Binding Judicial Dispute Resolution Request and Consent form</w:t>
      </w:r>
      <w:r w:rsidRPr="0067730C">
        <w:rPr>
          <w:rFonts w:cs="Arial"/>
        </w:rPr>
        <w:t>.</w:t>
      </w:r>
    </w:p>
    <w:p w14:paraId="2B13B997" w14:textId="054B7FE5" w:rsidR="0067730C" w:rsidRDefault="0067730C" w:rsidP="0067730C">
      <w:pPr>
        <w:pStyle w:val="normal6ptbefore"/>
        <w:spacing w:before="240" w:line="300" w:lineRule="auto"/>
        <w:ind w:left="-45" w:hanging="401"/>
        <w:rPr>
          <w:rFonts w:cs="Arial"/>
        </w:rPr>
      </w:pPr>
      <w:r>
        <w:rPr>
          <w:rFonts w:cs="Arial"/>
        </w:rPr>
        <w:t xml:space="preserve">11.  </w:t>
      </w:r>
      <w:r w:rsidRPr="0067730C">
        <w:rPr>
          <w:rFonts w:cs="Arial"/>
        </w:rPr>
        <w:t xml:space="preserve">I am aware that if I fail to participate in the process after filing my signed </w:t>
      </w:r>
      <w:r w:rsidRPr="0067730C">
        <w:rPr>
          <w:rFonts w:cs="Arial"/>
          <w:b/>
          <w:bCs/>
        </w:rPr>
        <w:t>Binding Judicial Dispute Resolution Request and Consent form</w:t>
      </w:r>
      <w:r w:rsidRPr="0067730C">
        <w:rPr>
          <w:rFonts w:cs="Arial"/>
        </w:rPr>
        <w:t xml:space="preserve"> without the Court’s permission to withdraw, the issues may be decided based on the evidence filed, or on the evidence of the other party(ies).</w:t>
      </w:r>
    </w:p>
    <w:p w14:paraId="3C7621D3" w14:textId="7539DD21" w:rsidR="0067730C" w:rsidRPr="0067730C" w:rsidRDefault="0067730C" w:rsidP="0067730C">
      <w:pPr>
        <w:pStyle w:val="normal6ptbefore"/>
        <w:spacing w:before="240" w:line="300" w:lineRule="auto"/>
        <w:ind w:left="-45" w:hanging="401"/>
        <w:rPr>
          <w:rFonts w:cs="Arial"/>
        </w:rPr>
      </w:pPr>
      <w:r>
        <w:rPr>
          <w:rFonts w:cs="Arial"/>
        </w:rPr>
        <w:t xml:space="preserve">12.  </w:t>
      </w:r>
      <w:r w:rsidRPr="0067730C">
        <w:rPr>
          <w:rFonts w:cs="Arial"/>
        </w:rPr>
        <w:t xml:space="preserve">I am aware that unless I have the Court’s permission, I may </w:t>
      </w:r>
      <w:r w:rsidRPr="00BB4613">
        <w:rPr>
          <w:rFonts w:cs="Arial"/>
          <w:b/>
          <w:bCs/>
        </w:rPr>
        <w:t>not</w:t>
      </w:r>
      <w:r w:rsidRPr="0067730C">
        <w:rPr>
          <w:rFonts w:cs="Arial"/>
        </w:rPr>
        <w:t xml:space="preserve"> adjourn the date scheduled for my Binding JDR hearing even with the consent of the other side.</w:t>
      </w:r>
    </w:p>
    <w:p w14:paraId="6B4EB13A" w14:textId="231C9AA4" w:rsidR="00480E4D" w:rsidRDefault="0067730C" w:rsidP="00480E4D">
      <w:pPr>
        <w:pStyle w:val="normal6ptbefore"/>
        <w:spacing w:before="240" w:line="300" w:lineRule="auto"/>
        <w:ind w:left="-446"/>
      </w:pPr>
      <w:r>
        <w:t xml:space="preserve">13.  </w:t>
      </w:r>
      <w:r w:rsidRPr="0067730C">
        <w:t>I am aware that if appropriate, the Court may award costs in accordance with</w:t>
      </w:r>
      <w:r w:rsidR="003D3ABD">
        <w:t xml:space="preserve"> Family Law</w:t>
      </w:r>
      <w:r w:rsidRPr="0067730C">
        <w:t xml:space="preserve"> Rules 18 and 24.</w:t>
      </w:r>
    </w:p>
    <w:p w14:paraId="0D95D027" w14:textId="6ED01591" w:rsidR="00480E4D" w:rsidRDefault="0067730C" w:rsidP="00480E4D">
      <w:pPr>
        <w:pStyle w:val="normal6ptbefore"/>
        <w:spacing w:before="240" w:line="300" w:lineRule="auto"/>
        <w:ind w:left="-446"/>
      </w:pPr>
      <w:r>
        <w:t xml:space="preserve">14.  </w:t>
      </w:r>
      <w:r w:rsidRPr="0067730C">
        <w:t>I understand that there is no right to the following at a Binding JDR hearing:</w:t>
      </w:r>
    </w:p>
    <w:p w14:paraId="3FD84DCB" w14:textId="2AA5F5D3" w:rsidR="0067730C" w:rsidRDefault="0067730C" w:rsidP="0067730C">
      <w:pPr>
        <w:pStyle w:val="normal6ptbefore"/>
        <w:numPr>
          <w:ilvl w:val="0"/>
          <w:numId w:val="32"/>
        </w:numPr>
        <w:ind w:left="540" w:hanging="180"/>
      </w:pPr>
      <w:r w:rsidRPr="0067730C">
        <w:t xml:space="preserve">to have my case decided on a final basis at a </w:t>
      </w:r>
      <w:proofErr w:type="gramStart"/>
      <w:r w:rsidRPr="0067730C">
        <w:t>trial;</w:t>
      </w:r>
      <w:proofErr w:type="gramEnd"/>
    </w:p>
    <w:p w14:paraId="3BD46350" w14:textId="5914003B" w:rsidR="0067730C" w:rsidRDefault="0067730C" w:rsidP="0067730C">
      <w:pPr>
        <w:pStyle w:val="normal6ptbefore"/>
        <w:numPr>
          <w:ilvl w:val="0"/>
          <w:numId w:val="32"/>
        </w:numPr>
        <w:ind w:left="540" w:hanging="180"/>
      </w:pPr>
      <w:r w:rsidRPr="0067730C">
        <w:t xml:space="preserve">to call and cross-examine witnesses at the hearing, unless otherwise ordered by the court in </w:t>
      </w:r>
      <w:proofErr w:type="gramStart"/>
      <w:r w:rsidRPr="0067730C">
        <w:t>advance;</w:t>
      </w:r>
      <w:proofErr w:type="gramEnd"/>
    </w:p>
    <w:p w14:paraId="6F59AD73" w14:textId="0A85A624" w:rsidR="0067730C" w:rsidRDefault="0067730C" w:rsidP="0067730C">
      <w:pPr>
        <w:pStyle w:val="normal6ptbefore"/>
        <w:numPr>
          <w:ilvl w:val="0"/>
          <w:numId w:val="32"/>
        </w:numPr>
        <w:ind w:left="540" w:hanging="180"/>
      </w:pPr>
      <w:r w:rsidRPr="0067730C">
        <w:t xml:space="preserve">to insist that the judge conducting the hearing apply the formal rules of evidence and </w:t>
      </w:r>
      <w:proofErr w:type="gramStart"/>
      <w:r w:rsidRPr="0067730C">
        <w:t>procedure;</w:t>
      </w:r>
      <w:proofErr w:type="gramEnd"/>
    </w:p>
    <w:p w14:paraId="3F65EFC8" w14:textId="67D2698A" w:rsidR="0067730C" w:rsidRPr="0067730C" w:rsidRDefault="0067730C" w:rsidP="0067730C">
      <w:pPr>
        <w:pStyle w:val="normal6ptbefore"/>
        <w:numPr>
          <w:ilvl w:val="0"/>
          <w:numId w:val="32"/>
        </w:numPr>
        <w:spacing w:after="240" w:line="300" w:lineRule="auto"/>
        <w:ind w:left="547" w:hanging="187"/>
      </w:pPr>
      <w:r w:rsidRPr="0067730C">
        <w:t>to object because the judge deciding the unresolved issues has knowledge of settlement discussions and offers to settle or has provided an opinion about the same issues, (despite subrules 17(24) and 18 (8)(b) of the Family Law Rules).</w:t>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67730C" w:rsidRPr="001C6195" w14:paraId="7F48D6EF" w14:textId="77777777" w:rsidTr="00521F86">
        <w:trPr>
          <w:cantSplit/>
        </w:trPr>
        <w:tc>
          <w:tcPr>
            <w:tcW w:w="10980" w:type="dxa"/>
            <w:tcBorders>
              <w:top w:val="single" w:sz="4" w:space="0" w:color="auto"/>
              <w:bottom w:val="nil"/>
            </w:tcBorders>
            <w:shd w:val="pct15" w:color="auto" w:fill="auto"/>
            <w:noWrap/>
            <w:tcMar>
              <w:left w:w="58" w:type="dxa"/>
              <w:right w:w="58" w:type="dxa"/>
            </w:tcMar>
            <w:vAlign w:val="bottom"/>
          </w:tcPr>
          <w:p w14:paraId="1A63BCA5" w14:textId="02BD893D" w:rsidR="0067730C" w:rsidRPr="001C6195" w:rsidRDefault="0067730C" w:rsidP="00026F89">
            <w:pPr>
              <w:pStyle w:val="Heading1"/>
              <w:spacing w:before="60"/>
            </w:pPr>
            <w:r w:rsidRPr="001C6195">
              <w:lastRenderedPageBreak/>
              <w:t xml:space="preserve">Part </w:t>
            </w:r>
            <w:r>
              <w:t>B</w:t>
            </w:r>
            <w:r w:rsidRPr="001C6195">
              <w:t xml:space="preserve">: </w:t>
            </w:r>
            <w:r>
              <w:t>Legal Advice</w:t>
            </w:r>
          </w:p>
        </w:tc>
      </w:tr>
    </w:tbl>
    <w:p w14:paraId="27977066" w14:textId="71ED0702" w:rsidR="00480E4D" w:rsidRDefault="0067730C" w:rsidP="0067730C">
      <w:pPr>
        <w:pStyle w:val="normal12ptbefore"/>
        <w:spacing w:line="300" w:lineRule="auto"/>
        <w:ind w:left="-446"/>
        <w:rPr>
          <w:color w:val="000000"/>
          <w:lang w:eastAsia="en-CA"/>
        </w:rPr>
      </w:pPr>
      <w:r w:rsidRPr="008E5F68">
        <w:rPr>
          <w:b/>
          <w:bCs/>
        </w:rPr>
        <w:t>NOTE: YOU ARE STRONGLY ADVISED TO GET LEGAL ADVICE PRIOR TO COMPLETING THIS FORM.</w:t>
      </w:r>
      <w:r w:rsidRPr="00F36CAB">
        <w:t xml:space="preserve"> </w:t>
      </w:r>
      <w:r w:rsidRPr="00F36CAB">
        <w:rPr>
          <w:color w:val="000000"/>
          <w:lang w:eastAsia="en-CA"/>
        </w:rPr>
        <w:t>The following services may help you access legal advice or retain counsel:</w:t>
      </w:r>
    </w:p>
    <w:p w14:paraId="79556EF9" w14:textId="2DA5BBEF" w:rsidR="003D3ABD" w:rsidRPr="003D3ABD" w:rsidRDefault="003D3ABD" w:rsidP="003D3ABD">
      <w:pPr>
        <w:pStyle w:val="normal6ptbefore"/>
        <w:numPr>
          <w:ilvl w:val="0"/>
          <w:numId w:val="33"/>
        </w:numPr>
        <w:rPr>
          <w:rFonts w:cs="Arial"/>
          <w:bCs/>
          <w:color w:val="000000"/>
          <w:lang w:eastAsia="en-CA"/>
        </w:rPr>
      </w:pPr>
      <w:r w:rsidRPr="003D3ABD">
        <w:rPr>
          <w:rFonts w:cs="Arial"/>
          <w:color w:val="000000"/>
          <w:lang w:eastAsia="en-CA"/>
        </w:rPr>
        <w:t xml:space="preserve">The </w:t>
      </w:r>
      <w:hyperlink r:id="rId12" w:history="1">
        <w:r w:rsidRPr="003D3ABD">
          <w:rPr>
            <w:rStyle w:val="Hyperlink"/>
            <w:rFonts w:cs="Arial"/>
            <w:lang w:eastAsia="en-CA"/>
          </w:rPr>
          <w:t>Family Law Information Centre</w:t>
        </w:r>
      </w:hyperlink>
      <w:r w:rsidRPr="003D3ABD">
        <w:rPr>
          <w:rFonts w:cs="Arial"/>
          <w:color w:val="000000"/>
          <w:lang w:eastAsia="en-CA"/>
        </w:rPr>
        <w:t xml:space="preserve"> (FLIC) at your local courthouse </w:t>
      </w:r>
    </w:p>
    <w:p w14:paraId="5D8F47B5" w14:textId="5EBA56ED" w:rsidR="003D3ABD" w:rsidRPr="003D3ABD" w:rsidRDefault="003D3ABD" w:rsidP="003D3ABD">
      <w:pPr>
        <w:pStyle w:val="normal6ptbefore"/>
        <w:numPr>
          <w:ilvl w:val="0"/>
          <w:numId w:val="33"/>
        </w:numPr>
        <w:rPr>
          <w:rFonts w:cs="Arial"/>
          <w:color w:val="000000"/>
          <w:lang w:eastAsia="en-CA"/>
        </w:rPr>
      </w:pPr>
      <w:r w:rsidRPr="003D3ABD">
        <w:rPr>
          <w:rFonts w:cs="Arial"/>
          <w:color w:val="000000"/>
          <w:lang w:eastAsia="en-CA"/>
        </w:rPr>
        <w:t xml:space="preserve">The Law Society of Ontario’s </w:t>
      </w:r>
      <w:hyperlink r:id="rId13" w:history="1">
        <w:r w:rsidRPr="003D3ABD">
          <w:rPr>
            <w:rStyle w:val="Hyperlink"/>
            <w:rFonts w:cs="Arial"/>
            <w:lang w:eastAsia="en-CA"/>
          </w:rPr>
          <w:t>Lawyer Referral Service</w:t>
        </w:r>
      </w:hyperlink>
      <w:r w:rsidRPr="003D3ABD">
        <w:rPr>
          <w:rFonts w:cs="Arial"/>
          <w:color w:val="000000"/>
          <w:lang w:eastAsia="en-CA"/>
        </w:rPr>
        <w:t xml:space="preserve">; (referrals and free 30-minute consultations) </w:t>
      </w:r>
    </w:p>
    <w:p w14:paraId="5CBED154" w14:textId="3C2B286B" w:rsidR="003D3ABD" w:rsidRPr="003D3ABD" w:rsidRDefault="00AC065F" w:rsidP="003D3ABD">
      <w:pPr>
        <w:pStyle w:val="normal6ptbefore"/>
        <w:numPr>
          <w:ilvl w:val="0"/>
          <w:numId w:val="33"/>
        </w:numPr>
        <w:rPr>
          <w:rFonts w:cs="Arial"/>
          <w:color w:val="000000"/>
          <w:lang w:eastAsia="en-CA"/>
        </w:rPr>
      </w:pPr>
      <w:hyperlink r:id="rId14" w:history="1">
        <w:r w:rsidR="003D3ABD" w:rsidRPr="003D3ABD">
          <w:rPr>
            <w:rStyle w:val="Hyperlink"/>
            <w:rFonts w:cs="Arial"/>
            <w:lang w:eastAsia="en-CA"/>
          </w:rPr>
          <w:t>Legal Aid Ontario</w:t>
        </w:r>
      </w:hyperlink>
      <w:r w:rsidR="003D3ABD" w:rsidRPr="003D3ABD">
        <w:rPr>
          <w:rFonts w:cs="Arial"/>
          <w:color w:val="000000"/>
          <w:lang w:eastAsia="en-CA"/>
        </w:rPr>
        <w:t xml:space="preserve">: </w:t>
      </w:r>
      <w:r w:rsidR="003D3ABD" w:rsidRPr="003D3ABD">
        <w:rPr>
          <w:rFonts w:cs="Arial"/>
          <w:bCs/>
          <w:color w:val="000000"/>
          <w:lang w:eastAsia="en-CA"/>
        </w:rPr>
        <w:t>1- 800–668–8258</w:t>
      </w:r>
      <w:r w:rsidR="003D3ABD">
        <w:rPr>
          <w:rFonts w:cs="Arial"/>
          <w:bCs/>
          <w:color w:val="000000"/>
          <w:lang w:eastAsia="en-CA"/>
        </w:rPr>
        <w:t xml:space="preserve"> </w:t>
      </w:r>
      <w:r w:rsidR="003D3ABD" w:rsidRPr="008E5F68">
        <w:rPr>
          <w:rFonts w:cs="Arial"/>
          <w:bCs/>
          <w:color w:val="000000"/>
          <w:lang w:eastAsia="en-CA"/>
        </w:rPr>
        <w:t>(free legal services for those who qualify)</w:t>
      </w:r>
      <w:r w:rsidR="003D3ABD">
        <w:rPr>
          <w:rFonts w:cs="Arial"/>
          <w:bCs/>
          <w:color w:val="000000"/>
          <w:lang w:eastAsia="en-CA"/>
        </w:rPr>
        <w:t xml:space="preserve"> </w:t>
      </w:r>
    </w:p>
    <w:p w14:paraId="1F7176E8" w14:textId="1EBCF77B" w:rsidR="003D3ABD" w:rsidRPr="003D3ABD" w:rsidRDefault="00AC065F" w:rsidP="003D3ABD">
      <w:pPr>
        <w:pStyle w:val="normal6ptbefore"/>
        <w:numPr>
          <w:ilvl w:val="0"/>
          <w:numId w:val="33"/>
        </w:numPr>
        <w:rPr>
          <w:rFonts w:cs="Arial"/>
          <w:color w:val="000000"/>
          <w:lang w:eastAsia="en-CA"/>
        </w:rPr>
      </w:pPr>
      <w:hyperlink r:id="rId15" w:history="1">
        <w:r w:rsidR="003D3ABD" w:rsidRPr="003D3ABD">
          <w:rPr>
            <w:rStyle w:val="Hyperlink"/>
            <w:rFonts w:cs="Arial"/>
            <w:lang w:eastAsia="en-CA"/>
          </w:rPr>
          <w:t>JusticeNet</w:t>
        </w:r>
      </w:hyperlink>
      <w:r w:rsidR="003D3ABD" w:rsidRPr="003D3ABD">
        <w:rPr>
          <w:rFonts w:cs="Arial"/>
          <w:color w:val="000000"/>
          <w:lang w:eastAsia="en-CA"/>
        </w:rPr>
        <w:t xml:space="preserve">  (legal services at reduced fees for </w:t>
      </w:r>
      <w:r w:rsidR="003D3ABD">
        <w:rPr>
          <w:rFonts w:cs="Arial"/>
          <w:color w:val="000000"/>
          <w:lang w:eastAsia="en-CA"/>
        </w:rPr>
        <w:t>those who qualify</w:t>
      </w:r>
      <w:r w:rsidR="003D3ABD" w:rsidRPr="003D3ABD">
        <w:rPr>
          <w:rFonts w:cs="Arial"/>
          <w:bCs/>
          <w:color w:val="000000"/>
          <w:lang w:eastAsia="en-CA"/>
        </w:rPr>
        <w:t>)</w:t>
      </w:r>
    </w:p>
    <w:p w14:paraId="5EEB71A1" w14:textId="69773F1C" w:rsidR="003D3ABD" w:rsidRPr="003D3ABD" w:rsidRDefault="00AC065F" w:rsidP="003D3ABD">
      <w:pPr>
        <w:pStyle w:val="normal6ptbefore"/>
        <w:numPr>
          <w:ilvl w:val="0"/>
          <w:numId w:val="33"/>
        </w:numPr>
        <w:rPr>
          <w:rFonts w:cs="Arial"/>
          <w:color w:val="000000"/>
          <w:lang w:eastAsia="en-CA"/>
        </w:rPr>
      </w:pPr>
      <w:hyperlink r:id="rId16" w:history="1">
        <w:r w:rsidR="003D3ABD" w:rsidRPr="003D3ABD">
          <w:rPr>
            <w:rStyle w:val="Hyperlink"/>
            <w:rFonts w:cs="Arial"/>
            <w:lang w:eastAsia="en-CA"/>
          </w:rPr>
          <w:t>Ontario Family Law Limited Scope Services Project</w:t>
        </w:r>
      </w:hyperlink>
      <w:r w:rsidR="003D3ABD" w:rsidRPr="003D3ABD">
        <w:rPr>
          <w:rFonts w:cs="Arial"/>
          <w:color w:val="000000"/>
          <w:lang w:eastAsia="en-CA"/>
        </w:rPr>
        <w:t xml:space="preserve"> (unbundled legal services)</w:t>
      </w:r>
    </w:p>
    <w:p w14:paraId="0973150B" w14:textId="44436B46" w:rsidR="003D3ABD" w:rsidRPr="003D3ABD" w:rsidRDefault="00AC065F" w:rsidP="003D3ABD">
      <w:pPr>
        <w:pStyle w:val="normal6ptbefore"/>
        <w:numPr>
          <w:ilvl w:val="0"/>
          <w:numId w:val="33"/>
        </w:numPr>
        <w:rPr>
          <w:rFonts w:cs="Arial"/>
          <w:color w:val="000000"/>
          <w:lang w:eastAsia="en-CA"/>
        </w:rPr>
      </w:pPr>
      <w:hyperlink r:id="rId17" w:history="1">
        <w:r w:rsidR="003D3ABD" w:rsidRPr="003D3ABD">
          <w:rPr>
            <w:rStyle w:val="Hyperlink"/>
            <w:rFonts w:cs="Arial"/>
            <w:lang w:eastAsia="en-CA"/>
          </w:rPr>
          <w:t>Pro Bono Students Canada Family Justice Centre</w:t>
        </w:r>
      </w:hyperlink>
      <w:r w:rsidR="003D3ABD" w:rsidRPr="003D3ABD">
        <w:rPr>
          <w:rFonts w:cs="Arial"/>
          <w:color w:val="000000"/>
          <w:lang w:eastAsia="en-CA"/>
        </w:rPr>
        <w:t xml:space="preserve"> (free unbundled legal services to self-represented litigants in Ontario by supervised law students)</w:t>
      </w:r>
    </w:p>
    <w:p w14:paraId="1F9A7815" w14:textId="4809785F" w:rsidR="0067730C" w:rsidRPr="004F1DF1" w:rsidRDefault="004F1DF1" w:rsidP="004F1DF1">
      <w:pPr>
        <w:pStyle w:val="normal12ptbefore"/>
        <w:spacing w:line="300" w:lineRule="auto"/>
        <w:ind w:left="-446"/>
        <w:rPr>
          <w:rFonts w:cs="Arial"/>
        </w:rPr>
      </w:pPr>
      <w:r w:rsidRPr="004F1DF1">
        <w:rPr>
          <w:rFonts w:cs="Arial"/>
          <w:color w:val="000000"/>
          <w:lang w:eastAsia="en-CA"/>
        </w:rPr>
        <w:t>The Notice to the Profession about Binding JDR in your region may include additional information about legal services in your area.</w:t>
      </w:r>
    </w:p>
    <w:p w14:paraId="30E55C92" w14:textId="28A46B52" w:rsidR="0067730C" w:rsidRPr="004F1DF1" w:rsidRDefault="004F1DF1" w:rsidP="004F1DF1">
      <w:pPr>
        <w:pStyle w:val="normal12ptbefore"/>
        <w:spacing w:line="300" w:lineRule="auto"/>
        <w:ind w:left="-446"/>
        <w:rPr>
          <w:rFonts w:cs="Arial"/>
        </w:rPr>
      </w:pPr>
      <w:r w:rsidRPr="004F1DF1">
        <w:rPr>
          <w:rFonts w:cs="Arial"/>
          <w:i/>
        </w:rPr>
        <w:t>Fill in the details of your legal representation and advice below</w:t>
      </w:r>
      <w:r>
        <w:rPr>
          <w:rFonts w:cs="Arial"/>
          <w:i/>
        </w:rPr>
        <w:t>.</w:t>
      </w:r>
    </w:p>
    <w:p w14:paraId="58C58F1E" w14:textId="1E2DC066" w:rsidR="004F1DF1" w:rsidRPr="004F1DF1" w:rsidRDefault="004F1DF1" w:rsidP="004F1DF1">
      <w:pPr>
        <w:pStyle w:val="normal12ptbefore"/>
        <w:spacing w:line="300" w:lineRule="auto"/>
        <w:ind w:left="-446"/>
        <w:rPr>
          <w:b/>
          <w:bCs/>
        </w:rPr>
      </w:pPr>
      <w:r w:rsidRPr="004F1DF1">
        <w:rPr>
          <w:b/>
          <w:bCs/>
        </w:rPr>
        <w:t>Legal Representation</w:t>
      </w:r>
    </w:p>
    <w:p w14:paraId="5C3AB8EF" w14:textId="3606FCA2" w:rsidR="004F1DF1" w:rsidRPr="004F1DF1" w:rsidRDefault="004F1DF1" w:rsidP="00F877B4">
      <w:pPr>
        <w:pStyle w:val="normal12ptbefore"/>
        <w:spacing w:line="300" w:lineRule="auto"/>
        <w:rPr>
          <w:rFonts w:cs="Arial"/>
          <w:b/>
          <w:bCs/>
        </w:rPr>
      </w:pPr>
      <w:r>
        <w:fldChar w:fldCharType="begin">
          <w:ffData>
            <w:name w:val=""/>
            <w:enabled/>
            <w:calcOnExit w:val="0"/>
            <w:checkBox>
              <w:sizeAuto/>
              <w:default w:val="0"/>
            </w:checkBox>
          </w:ffData>
        </w:fldChar>
      </w:r>
      <w:r>
        <w:instrText xml:space="preserve"> FORMCHECKBOX </w:instrText>
      </w:r>
      <w:r w:rsidR="00AC065F">
        <w:fldChar w:fldCharType="separate"/>
      </w:r>
      <w:r>
        <w:fldChar w:fldCharType="end"/>
      </w:r>
      <w:r>
        <w:t xml:space="preserve"> </w:t>
      </w:r>
      <w:r w:rsidRPr="004F1DF1">
        <w:t xml:space="preserve">I will be represented by </w:t>
      </w:r>
      <w:r w:rsidRPr="004F1DF1">
        <w:rPr>
          <w:i/>
          <w:iCs/>
        </w:rPr>
        <w:t>(name of lawyer)</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Pr>
          <w:b/>
          <w:bCs/>
          <w:color w:val="0000FF"/>
        </w:rPr>
        <w:t xml:space="preserve"> </w:t>
      </w:r>
      <w:r w:rsidRPr="004F1DF1">
        <w:rPr>
          <w:rFonts w:cs="Arial"/>
        </w:rPr>
        <w:t xml:space="preserve">at the hearing, </w:t>
      </w:r>
      <w:r w:rsidRPr="004F1DF1">
        <w:rPr>
          <w:rFonts w:cs="Arial"/>
          <w:b/>
          <w:bCs/>
        </w:rPr>
        <w:t>OR</w:t>
      </w:r>
    </w:p>
    <w:p w14:paraId="3A37F686" w14:textId="3A3EDEBA" w:rsidR="004F1DF1" w:rsidRDefault="004F1DF1" w:rsidP="00F877B4">
      <w:pPr>
        <w:pStyle w:val="normal12ptbefore"/>
        <w:spacing w:before="120" w:line="300" w:lineRule="auto"/>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4F1DF1">
        <w:t>I will be representing myself at the hearing.</w:t>
      </w:r>
    </w:p>
    <w:p w14:paraId="18F35D77" w14:textId="4473278D" w:rsidR="00F877B4" w:rsidRPr="00F877B4" w:rsidRDefault="00F877B4" w:rsidP="00F877B4">
      <w:pPr>
        <w:pStyle w:val="normal12ptbefore"/>
        <w:spacing w:line="300" w:lineRule="auto"/>
        <w:ind w:left="-446"/>
        <w:rPr>
          <w:b/>
          <w:bCs/>
        </w:rPr>
      </w:pPr>
      <w:r w:rsidRPr="00F877B4">
        <w:rPr>
          <w:b/>
          <w:bCs/>
        </w:rPr>
        <w:t>Legal Advice (you must select one)</w:t>
      </w:r>
    </w:p>
    <w:p w14:paraId="4BC417DF" w14:textId="63C91A3C" w:rsidR="004F1DF1" w:rsidRDefault="00F877B4" w:rsidP="00F877B4">
      <w:pPr>
        <w:pStyle w:val="normal12ptbefore"/>
        <w:spacing w:line="300" w:lineRule="auto"/>
        <w:ind w:left="270" w:hanging="270"/>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F877B4">
        <w:t xml:space="preserve">I have received advice in relation to this request and consent form and the Binding JDR process from </w:t>
      </w:r>
      <w:r w:rsidRPr="00F877B4">
        <w:rPr>
          <w:i/>
          <w:iCs/>
        </w:rPr>
        <w:t>(name of lawyer)</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sidRPr="00F877B4">
        <w:t>;</w:t>
      </w:r>
      <w:r>
        <w:rPr>
          <w:b/>
          <w:bCs/>
          <w:color w:val="0000FF"/>
        </w:rPr>
        <w:t xml:space="preserve"> </w:t>
      </w:r>
      <w:r w:rsidRPr="001230D1">
        <w:rPr>
          <w:b/>
          <w:bCs/>
        </w:rPr>
        <w:t>OR</w:t>
      </w:r>
      <w:r w:rsidRPr="00F877B4">
        <w:t xml:space="preserve"> </w:t>
      </w:r>
    </w:p>
    <w:p w14:paraId="35005DA5" w14:textId="2D51890F" w:rsidR="00F877B4" w:rsidRDefault="00F877B4" w:rsidP="00F877B4">
      <w:pPr>
        <w:pStyle w:val="normal12ptbefore"/>
        <w:spacing w:before="120" w:line="300" w:lineRule="auto"/>
        <w:ind w:left="274" w:hanging="274"/>
        <w:rPr>
          <w:rFonts w:cs="Arial"/>
        </w:rPr>
      </w:pPr>
      <w:r w:rsidRPr="001230D1">
        <w:rPr>
          <w:rFonts w:cs="Arial"/>
        </w:rPr>
        <w:fldChar w:fldCharType="begin">
          <w:ffData>
            <w:name w:val="Check85"/>
            <w:enabled/>
            <w:calcOnExit w:val="0"/>
            <w:checkBox>
              <w:sizeAuto/>
              <w:default w:val="0"/>
            </w:checkBox>
          </w:ffData>
        </w:fldChar>
      </w:r>
      <w:r w:rsidRPr="001230D1">
        <w:rPr>
          <w:rFonts w:cs="Arial"/>
        </w:rPr>
        <w:instrText xml:space="preserve"> FORMCHECKBOX </w:instrText>
      </w:r>
      <w:r w:rsidR="00AC065F">
        <w:rPr>
          <w:rFonts w:cs="Arial"/>
        </w:rPr>
      </w:r>
      <w:r w:rsidR="00AC065F">
        <w:rPr>
          <w:rFonts w:cs="Arial"/>
        </w:rPr>
        <w:fldChar w:fldCharType="separate"/>
      </w:r>
      <w:r w:rsidRPr="001230D1">
        <w:rPr>
          <w:rFonts w:cs="Arial"/>
        </w:rPr>
        <w:fldChar w:fldCharType="end"/>
      </w:r>
      <w:r w:rsidRPr="001230D1">
        <w:rPr>
          <w:rFonts w:cs="Arial"/>
        </w:rPr>
        <w:t xml:space="preserve"> </w:t>
      </w:r>
      <w:r w:rsidR="001230D1" w:rsidRPr="001230D1">
        <w:rPr>
          <w:rFonts w:cs="Arial"/>
        </w:rPr>
        <w:t>While I have been advised to seek legal advice in relation to this request and consent, I do not wish to do so.</w:t>
      </w:r>
    </w:p>
    <w:p w14:paraId="45BA2C36" w14:textId="68DDB71C" w:rsidR="004F1DF1" w:rsidRPr="001230D1" w:rsidRDefault="001230D1" w:rsidP="004F1DF1">
      <w:pPr>
        <w:pStyle w:val="normal12ptbefore"/>
        <w:spacing w:line="300" w:lineRule="auto"/>
        <w:ind w:left="-446"/>
        <w:rPr>
          <w:b/>
          <w:bCs/>
        </w:rPr>
      </w:pPr>
      <w:r w:rsidRPr="001230D1">
        <w:rPr>
          <w:b/>
          <w:bCs/>
        </w:rPr>
        <w:t>Office of the Children’s Lawyer (OCL)</w:t>
      </w:r>
    </w:p>
    <w:p w14:paraId="4C8112A5" w14:textId="6B93CE63" w:rsidR="00F877B4" w:rsidRDefault="001230D1" w:rsidP="001230D1">
      <w:pPr>
        <w:pStyle w:val="normal12ptbefore"/>
        <w:spacing w:line="300" w:lineRule="auto"/>
        <w:rPr>
          <w:b/>
          <w:bCs/>
          <w:color w:val="0000FF"/>
        </w:rPr>
      </w:pPr>
      <w:r w:rsidRPr="001230D1">
        <w:rPr>
          <w:rFonts w:cs="Arial"/>
        </w:rPr>
        <w:fldChar w:fldCharType="begin">
          <w:ffData>
            <w:name w:val="Check85"/>
            <w:enabled/>
            <w:calcOnExit w:val="0"/>
            <w:checkBox>
              <w:sizeAuto/>
              <w:default w:val="0"/>
            </w:checkBox>
          </w:ffData>
        </w:fldChar>
      </w:r>
      <w:r w:rsidRPr="001230D1">
        <w:rPr>
          <w:rFonts w:cs="Arial"/>
        </w:rPr>
        <w:instrText xml:space="preserve"> FORMCHECKBOX </w:instrText>
      </w:r>
      <w:r w:rsidR="00AC065F">
        <w:rPr>
          <w:rFonts w:cs="Arial"/>
        </w:rPr>
      </w:r>
      <w:r w:rsidR="00AC065F">
        <w:rPr>
          <w:rFonts w:cs="Arial"/>
        </w:rPr>
        <w:fldChar w:fldCharType="separate"/>
      </w:r>
      <w:r w:rsidRPr="001230D1">
        <w:rPr>
          <w:rFonts w:cs="Arial"/>
        </w:rPr>
        <w:fldChar w:fldCharType="end"/>
      </w:r>
      <w:r>
        <w:rPr>
          <w:rFonts w:cs="Arial"/>
        </w:rPr>
        <w:t xml:space="preserve"> </w:t>
      </w:r>
      <w:r w:rsidRPr="001230D1">
        <w:rPr>
          <w:rFonts w:cs="Arial"/>
        </w:rPr>
        <w:t>The child(ren) is/are represented by a Children’s Lawyer in these proceedings</w:t>
      </w:r>
      <w:r>
        <w:rPr>
          <w:rFonts w:cs="Arial"/>
        </w:rPr>
        <w:t xml:space="preserve"> </w:t>
      </w:r>
      <w:r w:rsidRPr="00720B88">
        <w:rPr>
          <w:rFonts w:cs="Arial"/>
          <w:i/>
          <w:iCs/>
        </w:rPr>
        <w:t>(name</w:t>
      </w:r>
      <w:r w:rsidR="00720B88" w:rsidRPr="00720B88">
        <w:rPr>
          <w:rFonts w:cs="Arial"/>
          <w:i/>
          <w:iCs/>
        </w:rPr>
        <w:t>(s)</w:t>
      </w:r>
      <w:r w:rsidRPr="00720B88">
        <w:rPr>
          <w:rFonts w:cs="Arial"/>
          <w:i/>
          <w:iCs/>
        </w:rPr>
        <w:t xml:space="preserve"> of lawyer(s))</w:t>
      </w:r>
      <w:r w:rsidRPr="001230D1">
        <w:rPr>
          <w:rFonts w:cs="Arial"/>
        </w:rPr>
        <w:t>:</w:t>
      </w:r>
      <w:r>
        <w:rPr>
          <w:rFonts w:cs="Arial"/>
        </w:rPr>
        <w:t xml:space="preserve"> </w:t>
      </w:r>
      <w:r w:rsidR="00720B88" w:rsidRPr="004274B1">
        <w:rPr>
          <w:b/>
          <w:bCs/>
          <w:color w:val="0000FF"/>
        </w:rPr>
        <w:fldChar w:fldCharType="begin">
          <w:ffData>
            <w:name w:val=""/>
            <w:enabled/>
            <w:calcOnExit w:val="0"/>
            <w:textInput/>
          </w:ffData>
        </w:fldChar>
      </w:r>
      <w:r w:rsidR="00720B88" w:rsidRPr="004274B1">
        <w:rPr>
          <w:b/>
          <w:bCs/>
          <w:color w:val="0000FF"/>
        </w:rPr>
        <w:instrText xml:space="preserve"> FORMTEXT </w:instrText>
      </w:r>
      <w:r w:rsidR="00720B88" w:rsidRPr="004274B1">
        <w:rPr>
          <w:b/>
          <w:bCs/>
          <w:color w:val="0000FF"/>
        </w:rPr>
      </w:r>
      <w:r w:rsidR="00720B88" w:rsidRPr="004274B1">
        <w:rPr>
          <w:b/>
          <w:bCs/>
          <w:color w:val="0000FF"/>
        </w:rPr>
        <w:fldChar w:fldCharType="separate"/>
      </w:r>
      <w:r w:rsidR="00720B88" w:rsidRPr="004274B1">
        <w:rPr>
          <w:b/>
          <w:bCs/>
          <w:noProof/>
          <w:color w:val="0000FF"/>
        </w:rPr>
        <w:t> </w:t>
      </w:r>
      <w:r w:rsidR="00720B88" w:rsidRPr="004274B1">
        <w:rPr>
          <w:b/>
          <w:bCs/>
          <w:noProof/>
          <w:color w:val="0000FF"/>
        </w:rPr>
        <w:t> </w:t>
      </w:r>
      <w:r w:rsidR="00720B88" w:rsidRPr="004274B1">
        <w:rPr>
          <w:b/>
          <w:bCs/>
          <w:noProof/>
          <w:color w:val="0000FF"/>
        </w:rPr>
        <w:t> </w:t>
      </w:r>
      <w:r w:rsidR="00720B88" w:rsidRPr="004274B1">
        <w:rPr>
          <w:b/>
          <w:bCs/>
          <w:noProof/>
          <w:color w:val="0000FF"/>
        </w:rPr>
        <w:t> </w:t>
      </w:r>
      <w:r w:rsidR="00720B88" w:rsidRPr="004274B1">
        <w:rPr>
          <w:b/>
          <w:bCs/>
          <w:noProof/>
          <w:color w:val="0000FF"/>
        </w:rPr>
        <w:t> </w:t>
      </w:r>
      <w:r w:rsidR="00720B88" w:rsidRPr="004274B1">
        <w:rPr>
          <w:b/>
          <w:bCs/>
          <w:color w:val="0000FF"/>
        </w:rPr>
        <w:fldChar w:fldCharType="end"/>
      </w:r>
    </w:p>
    <w:p w14:paraId="2744ED55" w14:textId="1A51AF59" w:rsidR="00720B88" w:rsidRPr="001230D1" w:rsidRDefault="00720B88" w:rsidP="00720B88">
      <w:pPr>
        <w:pStyle w:val="normal12ptbefore"/>
        <w:spacing w:after="240" w:line="300" w:lineRule="auto"/>
        <w:ind w:left="274" w:hanging="274"/>
        <w:rPr>
          <w:rFonts w:cs="Arial"/>
        </w:rPr>
      </w:pPr>
      <w:r w:rsidRPr="001230D1">
        <w:rPr>
          <w:rFonts w:cs="Arial"/>
        </w:rPr>
        <w:fldChar w:fldCharType="begin">
          <w:ffData>
            <w:name w:val="Check85"/>
            <w:enabled/>
            <w:calcOnExit w:val="0"/>
            <w:checkBox>
              <w:sizeAuto/>
              <w:default w:val="0"/>
            </w:checkBox>
          </w:ffData>
        </w:fldChar>
      </w:r>
      <w:r w:rsidRPr="001230D1">
        <w:rPr>
          <w:rFonts w:cs="Arial"/>
        </w:rPr>
        <w:instrText xml:space="preserve"> FORMCHECKBOX </w:instrText>
      </w:r>
      <w:r w:rsidR="00AC065F">
        <w:rPr>
          <w:rFonts w:cs="Arial"/>
        </w:rPr>
      </w:r>
      <w:r w:rsidR="00AC065F">
        <w:rPr>
          <w:rFonts w:cs="Arial"/>
        </w:rPr>
        <w:fldChar w:fldCharType="separate"/>
      </w:r>
      <w:r w:rsidRPr="001230D1">
        <w:rPr>
          <w:rFonts w:cs="Arial"/>
        </w:rPr>
        <w:fldChar w:fldCharType="end"/>
      </w:r>
      <w:r>
        <w:rPr>
          <w:rFonts w:cs="Arial"/>
        </w:rPr>
        <w:t xml:space="preserve"> </w:t>
      </w:r>
      <w:r w:rsidRPr="00720B88">
        <w:rPr>
          <w:rFonts w:cs="Arial"/>
        </w:rPr>
        <w:t>I understand that I must serve a copy of this completed Request and Consent form to the other counsel or party(ies) and the children’s lawyer named above, and then file it at court with an affidavit of service (form 6B).</w:t>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720B88" w:rsidRPr="001C6195" w14:paraId="3A6E6296" w14:textId="77777777" w:rsidTr="00521F86">
        <w:trPr>
          <w:cantSplit/>
        </w:trPr>
        <w:tc>
          <w:tcPr>
            <w:tcW w:w="10980" w:type="dxa"/>
            <w:tcBorders>
              <w:top w:val="single" w:sz="4" w:space="0" w:color="auto"/>
              <w:bottom w:val="nil"/>
            </w:tcBorders>
            <w:shd w:val="pct15" w:color="auto" w:fill="auto"/>
            <w:noWrap/>
            <w:tcMar>
              <w:left w:w="58" w:type="dxa"/>
              <w:right w:w="58" w:type="dxa"/>
            </w:tcMar>
            <w:vAlign w:val="bottom"/>
          </w:tcPr>
          <w:p w14:paraId="63792ADE" w14:textId="3438BAE4" w:rsidR="00720B88" w:rsidRPr="001C6195" w:rsidRDefault="00720B88" w:rsidP="00026F89">
            <w:pPr>
              <w:pStyle w:val="Heading1"/>
              <w:spacing w:before="60"/>
            </w:pPr>
            <w:r w:rsidRPr="001C6195">
              <w:t xml:space="preserve">Part </w:t>
            </w:r>
            <w:r>
              <w:t>C</w:t>
            </w:r>
            <w:r w:rsidRPr="001C6195">
              <w:t xml:space="preserve">: </w:t>
            </w:r>
            <w:r w:rsidRPr="00720B88">
              <w:t>Scheduling the H</w:t>
            </w:r>
            <w:r w:rsidR="00026F89">
              <w:t>e</w:t>
            </w:r>
            <w:r w:rsidRPr="00720B88">
              <w:t>aring</w:t>
            </w:r>
          </w:p>
        </w:tc>
      </w:tr>
    </w:tbl>
    <w:p w14:paraId="0ACB4683" w14:textId="6F2191A8" w:rsidR="001230D1" w:rsidRDefault="00720B88" w:rsidP="004F1DF1">
      <w:pPr>
        <w:pStyle w:val="normal12ptbefore"/>
        <w:spacing w:line="300" w:lineRule="auto"/>
        <w:ind w:left="-446"/>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720B88">
        <w:t>I agree that any judge may hear the Binding JDR hearing.</w:t>
      </w:r>
    </w:p>
    <w:p w14:paraId="75DDC46E" w14:textId="0FA99E69" w:rsidR="00720B88" w:rsidRDefault="00720B88" w:rsidP="00720B88">
      <w:pPr>
        <w:pStyle w:val="normal12ptbefore"/>
        <w:spacing w:line="300" w:lineRule="auto"/>
        <w:ind w:left="-180" w:hanging="266"/>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720B88">
        <w:t>I request that Justice</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sidRPr="00720B88">
        <w:t xml:space="preserve"> conduct this Binding JDR hearing. I acknowledge that this judge has presided over a prior step in this case and may have knowledge of settlement discussions and offers to settle or may have provided an opinion about the same </w:t>
      </w:r>
      <w:proofErr w:type="gramStart"/>
      <w:r w:rsidRPr="00720B88">
        <w:t>issues;</w:t>
      </w:r>
      <w:proofErr w:type="gramEnd"/>
    </w:p>
    <w:p w14:paraId="792ED0AC" w14:textId="4DBC4150" w:rsidR="00720B88" w:rsidRDefault="00720B88" w:rsidP="00720B88">
      <w:pPr>
        <w:pStyle w:val="normal12ptbefore"/>
        <w:spacing w:line="300" w:lineRule="auto"/>
        <w:ind w:left="-180" w:hanging="266"/>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720B88">
        <w:t xml:space="preserve">I request that Justice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Pr>
          <w:b/>
          <w:bCs/>
          <w:color w:val="0000FF"/>
        </w:rPr>
        <w:t xml:space="preserve"> </w:t>
      </w:r>
      <w:r w:rsidRPr="00720B88">
        <w:t>not be scheduled to conduct this Binding JDR hearing because:</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07192758" w14:textId="6032AE5C" w:rsidR="001230D1" w:rsidRDefault="00720B88" w:rsidP="004F1DF1">
      <w:pPr>
        <w:pStyle w:val="normal12ptbefore"/>
        <w:spacing w:line="300" w:lineRule="auto"/>
        <w:ind w:left="-446"/>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720B88">
        <w:t>Subject to the discretion of the judge approving or conducting the case, I request that my hearing be scheduled</w:t>
      </w:r>
    </w:p>
    <w:p w14:paraId="1357E015" w14:textId="4990AF94" w:rsidR="00720B88" w:rsidRDefault="00720B88" w:rsidP="00720B88">
      <w:pPr>
        <w:pStyle w:val="normal12ptbefore"/>
        <w:spacing w:before="120" w:line="300" w:lineRule="auto"/>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in person</w:t>
      </w:r>
      <w:r>
        <w:tab/>
      </w: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virtually</w:t>
      </w:r>
    </w:p>
    <w:p w14:paraId="4EAC99DB" w14:textId="44E09FAE" w:rsidR="00720B88" w:rsidRDefault="00720B88" w:rsidP="00362DA4">
      <w:pPr>
        <w:pStyle w:val="normal12ptbefore"/>
        <w:spacing w:before="120" w:after="120" w:line="300" w:lineRule="auto"/>
      </w:pPr>
      <w:r>
        <w:t>for the following reasons:</w:t>
      </w:r>
    </w:p>
    <w:p w14:paraId="785ABBF6" w14:textId="4C9C83F7" w:rsidR="00720B88" w:rsidRPr="00720B88" w:rsidRDefault="00720B88" w:rsidP="00362DA4">
      <w:pPr>
        <w:pStyle w:val="normal12ptbefore"/>
        <w:spacing w:before="0" w:line="480" w:lineRule="auto"/>
        <w:rPr>
          <w:sz w:val="24"/>
          <w:szCs w:val="32"/>
        </w:rPr>
      </w:pPr>
      <w:r w:rsidRPr="00720B88">
        <w:rPr>
          <w:b/>
          <w:bCs/>
          <w:color w:val="0000FF"/>
          <w:sz w:val="24"/>
          <w:szCs w:val="32"/>
        </w:rPr>
        <w:lastRenderedPageBreak/>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375DC640" w14:textId="6EBEC1A1" w:rsidR="00720B88" w:rsidRDefault="00720B88" w:rsidP="00720B88">
      <w:pPr>
        <w:pStyle w:val="normal12ptbefore"/>
        <w:spacing w:line="300" w:lineRule="auto"/>
        <w:ind w:left="-180" w:hanging="266"/>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720B88">
        <w:t xml:space="preserve">I will file my </w:t>
      </w:r>
      <w:r w:rsidRPr="00720B88">
        <w:rPr>
          <w:b/>
          <w:bCs/>
        </w:rPr>
        <w:t>confirmation of Binding JDR</w:t>
      </w:r>
      <w:r w:rsidRPr="00720B88">
        <w:t xml:space="preserve"> by 2:00 p.m. three (3) days </w:t>
      </w:r>
      <w:r w:rsidR="003D3ABD">
        <w:t>before</w:t>
      </w:r>
      <w:r w:rsidRPr="00720B88">
        <w:t xml:space="preserve"> the hearing date updating the Court about whether a settlement has been reached on any issues, (see section 7 of the Practice Advisory.)</w:t>
      </w:r>
    </w:p>
    <w:p w14:paraId="67E9B01B" w14:textId="271721D2" w:rsidR="00720B88" w:rsidRDefault="00720B88" w:rsidP="00720B88">
      <w:pPr>
        <w:pStyle w:val="normal12ptbefore"/>
        <w:spacing w:after="360" w:line="300" w:lineRule="auto"/>
        <w:ind w:left="-187" w:hanging="259"/>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w:t>
      </w:r>
      <w:r w:rsidRPr="00720B88">
        <w:t xml:space="preserve">I will promptly advise the Court if the parties have settled the issues </w:t>
      </w:r>
      <w:r w:rsidR="003D3ABD">
        <w:t>before</w:t>
      </w:r>
      <w:r w:rsidRPr="00720B88">
        <w:t xml:space="preserve"> the hearing date by contacting the Trial Coordinator.</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720B88" w14:paraId="5CF48698" w14:textId="77777777" w:rsidTr="00193EE7">
        <w:trPr>
          <w:cantSplit/>
          <w:trHeight w:val="201"/>
        </w:trPr>
        <w:tc>
          <w:tcPr>
            <w:tcW w:w="5346" w:type="dxa"/>
            <w:tcBorders>
              <w:top w:val="nil"/>
              <w:bottom w:val="dotted" w:sz="4" w:space="0" w:color="auto"/>
            </w:tcBorders>
            <w:noWrap/>
            <w:tcMar>
              <w:left w:w="58" w:type="dxa"/>
              <w:right w:w="58" w:type="dxa"/>
            </w:tcMar>
            <w:vAlign w:val="bottom"/>
          </w:tcPr>
          <w:p w14:paraId="11CEC19C" w14:textId="10957E0E" w:rsidR="00720B88" w:rsidRPr="00193EE7" w:rsidRDefault="00193EE7" w:rsidP="00193EE7">
            <w:pPr>
              <w:pStyle w:val="fillablefield0"/>
              <w:jc w:val="center"/>
            </w:pPr>
            <w:r w:rsidRPr="00193EE7">
              <w:fldChar w:fldCharType="begin">
                <w:ffData>
                  <w:name w:val=""/>
                  <w:enabled/>
                  <w:calcOnExit w:val="0"/>
                  <w:textInput/>
                </w:ffData>
              </w:fldChar>
            </w:r>
            <w:r w:rsidRPr="00193EE7">
              <w:instrText xml:space="preserve"> FORMTEXT </w:instrText>
            </w:r>
            <w:r w:rsidRPr="00193EE7">
              <w:fldChar w:fldCharType="separate"/>
            </w:r>
            <w:r w:rsidRPr="00193EE7">
              <w:rPr>
                <w:noProof/>
              </w:rPr>
              <w:t> </w:t>
            </w:r>
            <w:r w:rsidRPr="00193EE7">
              <w:rPr>
                <w:noProof/>
              </w:rPr>
              <w:t> </w:t>
            </w:r>
            <w:r w:rsidRPr="00193EE7">
              <w:rPr>
                <w:noProof/>
              </w:rPr>
              <w:t> </w:t>
            </w:r>
            <w:r w:rsidRPr="00193EE7">
              <w:rPr>
                <w:noProof/>
              </w:rPr>
              <w:t> </w:t>
            </w:r>
            <w:r w:rsidRPr="00193EE7">
              <w:rPr>
                <w:noProof/>
              </w:rPr>
              <w:t> </w:t>
            </w:r>
            <w:r w:rsidRPr="00193EE7">
              <w:fldChar w:fldCharType="end"/>
            </w:r>
          </w:p>
        </w:tc>
        <w:tc>
          <w:tcPr>
            <w:tcW w:w="275" w:type="dxa"/>
            <w:tcBorders>
              <w:top w:val="nil"/>
              <w:bottom w:val="nil"/>
            </w:tcBorders>
          </w:tcPr>
          <w:p w14:paraId="0150A58F" w14:textId="77777777" w:rsidR="00720B88" w:rsidRPr="004274B1" w:rsidRDefault="00720B88" w:rsidP="00521F86">
            <w:pPr>
              <w:pStyle w:val="normal6ptbefore"/>
            </w:pPr>
          </w:p>
        </w:tc>
        <w:tc>
          <w:tcPr>
            <w:tcW w:w="5360" w:type="dxa"/>
            <w:tcBorders>
              <w:top w:val="nil"/>
              <w:bottom w:val="single" w:sz="4" w:space="0" w:color="auto"/>
            </w:tcBorders>
          </w:tcPr>
          <w:p w14:paraId="5F47B4EB" w14:textId="739A4B88" w:rsidR="00720B88" w:rsidRPr="004274B1" w:rsidRDefault="00720B88" w:rsidP="00521F86">
            <w:pPr>
              <w:pStyle w:val="normal6ptbefore"/>
            </w:pPr>
          </w:p>
        </w:tc>
      </w:tr>
      <w:tr w:rsidR="00720B88" w14:paraId="6B4BEE08" w14:textId="77777777" w:rsidTr="00193EE7">
        <w:trPr>
          <w:cantSplit/>
          <w:trHeight w:val="201"/>
        </w:trPr>
        <w:tc>
          <w:tcPr>
            <w:tcW w:w="5346" w:type="dxa"/>
            <w:tcBorders>
              <w:top w:val="dotted" w:sz="4" w:space="0" w:color="auto"/>
            </w:tcBorders>
            <w:noWrap/>
            <w:tcMar>
              <w:left w:w="58" w:type="dxa"/>
              <w:right w:w="58" w:type="dxa"/>
            </w:tcMar>
          </w:tcPr>
          <w:p w14:paraId="2B860B09" w14:textId="227ED825" w:rsidR="00720B88" w:rsidRPr="004274B1" w:rsidRDefault="00193EE7" w:rsidP="00720B88">
            <w:pPr>
              <w:pStyle w:val="SignatureDateLine"/>
            </w:pPr>
            <w:r>
              <w:t>Party name</w:t>
            </w:r>
          </w:p>
        </w:tc>
        <w:tc>
          <w:tcPr>
            <w:tcW w:w="275" w:type="dxa"/>
            <w:tcBorders>
              <w:top w:val="nil"/>
              <w:bottom w:val="nil"/>
            </w:tcBorders>
          </w:tcPr>
          <w:p w14:paraId="506218A2" w14:textId="77777777" w:rsidR="00720B88" w:rsidRPr="004274B1" w:rsidRDefault="00720B88" w:rsidP="00720B88">
            <w:pPr>
              <w:pStyle w:val="SignatureDateLine"/>
            </w:pPr>
          </w:p>
        </w:tc>
        <w:tc>
          <w:tcPr>
            <w:tcW w:w="5360" w:type="dxa"/>
            <w:tcBorders>
              <w:top w:val="single" w:sz="4" w:space="0" w:color="auto"/>
            </w:tcBorders>
          </w:tcPr>
          <w:p w14:paraId="5E57D9D0" w14:textId="7555700C" w:rsidR="00720B88" w:rsidRPr="004274B1" w:rsidRDefault="00193EE7" w:rsidP="00720B88">
            <w:pPr>
              <w:pStyle w:val="SignatureDateLine"/>
            </w:pPr>
            <w:r>
              <w:t>Party signature</w:t>
            </w:r>
          </w:p>
        </w:tc>
      </w:tr>
    </w:tbl>
    <w:p w14:paraId="62BD0FED" w14:textId="716232AF" w:rsidR="00720B88" w:rsidRPr="00193EE7" w:rsidRDefault="00193EE7" w:rsidP="00193EE7">
      <w:pPr>
        <w:pStyle w:val="normal12ptbefore"/>
        <w:spacing w:after="360" w:line="300" w:lineRule="auto"/>
        <w:ind w:left="-446"/>
      </w:pPr>
      <w:r>
        <w:t xml:space="preserve">Dated at </w:t>
      </w:r>
      <w:r w:rsidRPr="00193EE7">
        <w:rPr>
          <w:i/>
          <w:iCs/>
        </w:rPr>
        <w:t>(municipality and province)</w:t>
      </w:r>
      <w:r w:rsidRPr="00193EE7">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rPr>
          <w:b/>
          <w:bCs/>
          <w:color w:val="0000FF"/>
        </w:rPr>
        <w:t xml:space="preserve"> </w:t>
      </w:r>
      <w:r>
        <w:rPr>
          <w:b/>
          <w:bCs/>
          <w:color w:val="0000FF"/>
        </w:rPr>
        <w:br/>
      </w:r>
      <w:r w:rsidRPr="00193EE7">
        <w:t>this</w:t>
      </w:r>
      <w:r>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xml:space="preserve"> day of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20</w:t>
      </w:r>
      <w:r>
        <w:rPr>
          <w:b/>
          <w:bCs/>
          <w:color w:val="0000FF"/>
        </w:rPr>
        <w:fldChar w:fldCharType="begin">
          <w:ffData>
            <w:name w:val=""/>
            <w:enabled/>
            <w:calcOnExit w:val="0"/>
            <w:textInput>
              <w:maxLength w:val="2"/>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 </w:t>
      </w:r>
      <w:r>
        <w:rPr>
          <w:b/>
          <w:bCs/>
          <w:noProof/>
          <w:color w:val="0000FF"/>
        </w:rPr>
        <w:t> </w:t>
      </w:r>
      <w:r>
        <w:rPr>
          <w:b/>
          <w:bCs/>
          <w:color w:val="0000FF"/>
        </w:rPr>
        <w:fldChar w:fldCharType="end"/>
      </w:r>
      <w:r>
        <w:t xml:space="preserve"> </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193EE7" w14:paraId="1CFBEB72" w14:textId="77777777" w:rsidTr="00521F86">
        <w:trPr>
          <w:cantSplit/>
          <w:trHeight w:val="201"/>
        </w:trPr>
        <w:tc>
          <w:tcPr>
            <w:tcW w:w="5346" w:type="dxa"/>
            <w:tcBorders>
              <w:top w:val="nil"/>
              <w:bottom w:val="dotted" w:sz="4" w:space="0" w:color="auto"/>
            </w:tcBorders>
            <w:noWrap/>
            <w:tcMar>
              <w:left w:w="58" w:type="dxa"/>
              <w:right w:w="58" w:type="dxa"/>
            </w:tcMar>
            <w:vAlign w:val="bottom"/>
          </w:tcPr>
          <w:p w14:paraId="1D13DB78" w14:textId="77777777" w:rsidR="00193EE7" w:rsidRPr="00193EE7" w:rsidRDefault="00193EE7" w:rsidP="00521F86">
            <w:pPr>
              <w:pStyle w:val="fillablefield0"/>
              <w:jc w:val="center"/>
            </w:pPr>
            <w:r w:rsidRPr="00193EE7">
              <w:fldChar w:fldCharType="begin">
                <w:ffData>
                  <w:name w:val=""/>
                  <w:enabled/>
                  <w:calcOnExit w:val="0"/>
                  <w:textInput/>
                </w:ffData>
              </w:fldChar>
            </w:r>
            <w:r w:rsidRPr="00193EE7">
              <w:instrText xml:space="preserve"> FORMTEXT </w:instrText>
            </w:r>
            <w:r w:rsidRPr="00193EE7">
              <w:fldChar w:fldCharType="separate"/>
            </w:r>
            <w:r w:rsidRPr="00193EE7">
              <w:rPr>
                <w:noProof/>
              </w:rPr>
              <w:t> </w:t>
            </w:r>
            <w:r w:rsidRPr="00193EE7">
              <w:rPr>
                <w:noProof/>
              </w:rPr>
              <w:t> </w:t>
            </w:r>
            <w:r w:rsidRPr="00193EE7">
              <w:rPr>
                <w:noProof/>
              </w:rPr>
              <w:t> </w:t>
            </w:r>
            <w:r w:rsidRPr="00193EE7">
              <w:rPr>
                <w:noProof/>
              </w:rPr>
              <w:t> </w:t>
            </w:r>
            <w:r w:rsidRPr="00193EE7">
              <w:rPr>
                <w:noProof/>
              </w:rPr>
              <w:t> </w:t>
            </w:r>
            <w:r w:rsidRPr="00193EE7">
              <w:fldChar w:fldCharType="end"/>
            </w:r>
          </w:p>
        </w:tc>
        <w:tc>
          <w:tcPr>
            <w:tcW w:w="275" w:type="dxa"/>
            <w:tcBorders>
              <w:top w:val="nil"/>
              <w:bottom w:val="nil"/>
            </w:tcBorders>
          </w:tcPr>
          <w:p w14:paraId="1DD73DC6" w14:textId="77777777" w:rsidR="00193EE7" w:rsidRPr="004274B1" w:rsidRDefault="00193EE7" w:rsidP="00521F86">
            <w:pPr>
              <w:pStyle w:val="normal6ptbefore"/>
            </w:pPr>
          </w:p>
        </w:tc>
        <w:tc>
          <w:tcPr>
            <w:tcW w:w="5360" w:type="dxa"/>
            <w:tcBorders>
              <w:top w:val="nil"/>
              <w:bottom w:val="single" w:sz="4" w:space="0" w:color="auto"/>
            </w:tcBorders>
          </w:tcPr>
          <w:p w14:paraId="65698ABA" w14:textId="77777777" w:rsidR="00193EE7" w:rsidRPr="004274B1" w:rsidRDefault="00193EE7" w:rsidP="00521F86">
            <w:pPr>
              <w:pStyle w:val="normal6ptbefore"/>
            </w:pPr>
          </w:p>
        </w:tc>
      </w:tr>
      <w:tr w:rsidR="00193EE7" w14:paraId="234DB78A" w14:textId="77777777" w:rsidTr="00521F86">
        <w:trPr>
          <w:cantSplit/>
          <w:trHeight w:val="201"/>
        </w:trPr>
        <w:tc>
          <w:tcPr>
            <w:tcW w:w="5346" w:type="dxa"/>
            <w:tcBorders>
              <w:top w:val="dotted" w:sz="4" w:space="0" w:color="auto"/>
            </w:tcBorders>
            <w:noWrap/>
            <w:tcMar>
              <w:left w:w="58" w:type="dxa"/>
              <w:right w:w="58" w:type="dxa"/>
            </w:tcMar>
          </w:tcPr>
          <w:p w14:paraId="07844125" w14:textId="6BCA338A" w:rsidR="00193EE7" w:rsidRPr="004274B1" w:rsidRDefault="00193EE7" w:rsidP="00521F86">
            <w:pPr>
              <w:pStyle w:val="SignatureDateLine"/>
            </w:pPr>
            <w:r>
              <w:t>Witness name</w:t>
            </w:r>
          </w:p>
        </w:tc>
        <w:tc>
          <w:tcPr>
            <w:tcW w:w="275" w:type="dxa"/>
            <w:tcBorders>
              <w:top w:val="nil"/>
              <w:bottom w:val="nil"/>
            </w:tcBorders>
          </w:tcPr>
          <w:p w14:paraId="77C3DBEA" w14:textId="77777777" w:rsidR="00193EE7" w:rsidRPr="004274B1" w:rsidRDefault="00193EE7" w:rsidP="00521F86">
            <w:pPr>
              <w:pStyle w:val="SignatureDateLine"/>
            </w:pPr>
          </w:p>
        </w:tc>
        <w:tc>
          <w:tcPr>
            <w:tcW w:w="5360" w:type="dxa"/>
            <w:tcBorders>
              <w:top w:val="single" w:sz="4" w:space="0" w:color="auto"/>
            </w:tcBorders>
          </w:tcPr>
          <w:p w14:paraId="2FD8980B" w14:textId="0D05EB8D" w:rsidR="00193EE7" w:rsidRPr="004274B1" w:rsidRDefault="00193EE7" w:rsidP="00521F86">
            <w:pPr>
              <w:pStyle w:val="SignatureDateLine"/>
            </w:pPr>
            <w:r>
              <w:t>Witness signature</w:t>
            </w:r>
          </w:p>
        </w:tc>
      </w:tr>
    </w:tbl>
    <w:p w14:paraId="7786DEEE" w14:textId="77777777" w:rsidR="00193EE7" w:rsidRPr="00193EE7" w:rsidRDefault="00193EE7" w:rsidP="00193EE7">
      <w:pPr>
        <w:pStyle w:val="normal12ptbefore"/>
        <w:spacing w:after="360" w:line="300" w:lineRule="auto"/>
        <w:ind w:left="-446"/>
      </w:pPr>
      <w:r>
        <w:t xml:space="preserve">Dated at </w:t>
      </w:r>
      <w:r w:rsidRPr="00193EE7">
        <w:rPr>
          <w:i/>
          <w:iCs/>
        </w:rPr>
        <w:t>(municipality and province)</w:t>
      </w:r>
      <w:r w:rsidRPr="00193EE7">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rPr>
          <w:b/>
          <w:bCs/>
          <w:color w:val="0000FF"/>
        </w:rPr>
        <w:t xml:space="preserve"> </w:t>
      </w:r>
      <w:r>
        <w:rPr>
          <w:b/>
          <w:bCs/>
          <w:color w:val="0000FF"/>
        </w:rPr>
        <w:br/>
      </w:r>
      <w:r w:rsidRPr="00193EE7">
        <w:t>this</w:t>
      </w:r>
      <w:r>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xml:space="preserve"> day of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20</w:t>
      </w:r>
      <w:r>
        <w:rPr>
          <w:b/>
          <w:bCs/>
          <w:color w:val="0000FF"/>
        </w:rPr>
        <w:fldChar w:fldCharType="begin">
          <w:ffData>
            <w:name w:val=""/>
            <w:enabled/>
            <w:calcOnExit w:val="0"/>
            <w:textInput>
              <w:maxLength w:val="2"/>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 </w:t>
      </w:r>
      <w:r>
        <w:rPr>
          <w:b/>
          <w:bCs/>
          <w:noProof/>
          <w:color w:val="0000FF"/>
        </w:rPr>
        <w:t> </w:t>
      </w:r>
      <w:r>
        <w:rPr>
          <w:b/>
          <w:bCs/>
          <w:color w:val="0000FF"/>
        </w:rPr>
        <w:fldChar w:fldCharType="end"/>
      </w:r>
      <w:r>
        <w:t xml:space="preserve"> </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193EE7" w14:paraId="2C80ABE4" w14:textId="77777777" w:rsidTr="00521F86">
        <w:trPr>
          <w:cantSplit/>
          <w:trHeight w:val="201"/>
        </w:trPr>
        <w:tc>
          <w:tcPr>
            <w:tcW w:w="5346" w:type="dxa"/>
            <w:tcBorders>
              <w:top w:val="nil"/>
              <w:bottom w:val="dotted" w:sz="4" w:space="0" w:color="auto"/>
            </w:tcBorders>
            <w:noWrap/>
            <w:tcMar>
              <w:left w:w="58" w:type="dxa"/>
              <w:right w:w="58" w:type="dxa"/>
            </w:tcMar>
            <w:vAlign w:val="bottom"/>
          </w:tcPr>
          <w:p w14:paraId="421388E6" w14:textId="77777777" w:rsidR="00193EE7" w:rsidRPr="00193EE7" w:rsidRDefault="00193EE7" w:rsidP="00521F86">
            <w:pPr>
              <w:pStyle w:val="fillablefield0"/>
              <w:jc w:val="center"/>
            </w:pPr>
            <w:r w:rsidRPr="00193EE7">
              <w:fldChar w:fldCharType="begin">
                <w:ffData>
                  <w:name w:val=""/>
                  <w:enabled/>
                  <w:calcOnExit w:val="0"/>
                  <w:textInput/>
                </w:ffData>
              </w:fldChar>
            </w:r>
            <w:r w:rsidRPr="00193EE7">
              <w:instrText xml:space="preserve"> FORMTEXT </w:instrText>
            </w:r>
            <w:r w:rsidRPr="00193EE7">
              <w:fldChar w:fldCharType="separate"/>
            </w:r>
            <w:r w:rsidRPr="00193EE7">
              <w:rPr>
                <w:noProof/>
              </w:rPr>
              <w:t> </w:t>
            </w:r>
            <w:r w:rsidRPr="00193EE7">
              <w:rPr>
                <w:noProof/>
              </w:rPr>
              <w:t> </w:t>
            </w:r>
            <w:r w:rsidRPr="00193EE7">
              <w:rPr>
                <w:noProof/>
              </w:rPr>
              <w:t> </w:t>
            </w:r>
            <w:r w:rsidRPr="00193EE7">
              <w:rPr>
                <w:noProof/>
              </w:rPr>
              <w:t> </w:t>
            </w:r>
            <w:r w:rsidRPr="00193EE7">
              <w:rPr>
                <w:noProof/>
              </w:rPr>
              <w:t> </w:t>
            </w:r>
            <w:r w:rsidRPr="00193EE7">
              <w:fldChar w:fldCharType="end"/>
            </w:r>
          </w:p>
        </w:tc>
        <w:tc>
          <w:tcPr>
            <w:tcW w:w="275" w:type="dxa"/>
            <w:tcBorders>
              <w:top w:val="nil"/>
              <w:bottom w:val="nil"/>
            </w:tcBorders>
          </w:tcPr>
          <w:p w14:paraId="0277AD42" w14:textId="77777777" w:rsidR="00193EE7" w:rsidRPr="004274B1" w:rsidRDefault="00193EE7" w:rsidP="00521F86">
            <w:pPr>
              <w:pStyle w:val="normal6ptbefore"/>
            </w:pPr>
          </w:p>
        </w:tc>
        <w:tc>
          <w:tcPr>
            <w:tcW w:w="5360" w:type="dxa"/>
            <w:tcBorders>
              <w:top w:val="nil"/>
              <w:bottom w:val="single" w:sz="4" w:space="0" w:color="auto"/>
            </w:tcBorders>
          </w:tcPr>
          <w:p w14:paraId="443E7E50" w14:textId="77777777" w:rsidR="00193EE7" w:rsidRPr="004274B1" w:rsidRDefault="00193EE7" w:rsidP="00521F86">
            <w:pPr>
              <w:pStyle w:val="normal6ptbefore"/>
            </w:pPr>
          </w:p>
        </w:tc>
      </w:tr>
      <w:tr w:rsidR="00193EE7" w14:paraId="0F01C86A" w14:textId="77777777" w:rsidTr="00521F86">
        <w:trPr>
          <w:cantSplit/>
          <w:trHeight w:val="201"/>
        </w:trPr>
        <w:tc>
          <w:tcPr>
            <w:tcW w:w="5346" w:type="dxa"/>
            <w:tcBorders>
              <w:top w:val="dotted" w:sz="4" w:space="0" w:color="auto"/>
            </w:tcBorders>
            <w:noWrap/>
            <w:tcMar>
              <w:left w:w="58" w:type="dxa"/>
              <w:right w:w="58" w:type="dxa"/>
            </w:tcMar>
          </w:tcPr>
          <w:p w14:paraId="5F4F18BA" w14:textId="6DA52E5F" w:rsidR="00193EE7" w:rsidRPr="004274B1" w:rsidRDefault="00193EE7" w:rsidP="00521F86">
            <w:pPr>
              <w:pStyle w:val="SignatureDateLine"/>
            </w:pPr>
            <w:r>
              <w:t>Lawyer name (if any)</w:t>
            </w:r>
          </w:p>
        </w:tc>
        <w:tc>
          <w:tcPr>
            <w:tcW w:w="275" w:type="dxa"/>
            <w:tcBorders>
              <w:top w:val="nil"/>
              <w:bottom w:val="nil"/>
            </w:tcBorders>
          </w:tcPr>
          <w:p w14:paraId="78747BAC" w14:textId="77777777" w:rsidR="00193EE7" w:rsidRPr="004274B1" w:rsidRDefault="00193EE7" w:rsidP="00521F86">
            <w:pPr>
              <w:pStyle w:val="SignatureDateLine"/>
            </w:pPr>
          </w:p>
        </w:tc>
        <w:tc>
          <w:tcPr>
            <w:tcW w:w="5360" w:type="dxa"/>
            <w:tcBorders>
              <w:top w:val="single" w:sz="4" w:space="0" w:color="auto"/>
            </w:tcBorders>
          </w:tcPr>
          <w:p w14:paraId="27B9691A" w14:textId="00962F5D" w:rsidR="00193EE7" w:rsidRPr="004274B1" w:rsidRDefault="00193EE7" w:rsidP="00521F86">
            <w:pPr>
              <w:pStyle w:val="SignatureDateLine"/>
            </w:pPr>
            <w:r>
              <w:t>Lawyer signature (if any)</w:t>
            </w:r>
          </w:p>
        </w:tc>
      </w:tr>
    </w:tbl>
    <w:p w14:paraId="5272464D" w14:textId="77777777" w:rsidR="00193EE7" w:rsidRPr="00193EE7" w:rsidRDefault="00193EE7" w:rsidP="00193EE7">
      <w:pPr>
        <w:pStyle w:val="normal12ptbefore"/>
        <w:spacing w:after="360" w:line="300" w:lineRule="auto"/>
        <w:ind w:left="-446"/>
      </w:pPr>
      <w:r>
        <w:t xml:space="preserve">Dated at </w:t>
      </w:r>
      <w:r w:rsidRPr="00193EE7">
        <w:rPr>
          <w:i/>
          <w:iCs/>
        </w:rPr>
        <w:t>(municipality and province)</w:t>
      </w:r>
      <w:r w:rsidRPr="00193EE7">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rPr>
          <w:b/>
          <w:bCs/>
          <w:color w:val="0000FF"/>
        </w:rPr>
        <w:t xml:space="preserve"> </w:t>
      </w:r>
      <w:r>
        <w:rPr>
          <w:b/>
          <w:bCs/>
          <w:color w:val="0000FF"/>
        </w:rPr>
        <w:br/>
      </w:r>
      <w:r w:rsidRPr="00193EE7">
        <w:t>this</w:t>
      </w:r>
      <w:r>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xml:space="preserve"> day of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20</w:t>
      </w:r>
      <w:r>
        <w:rPr>
          <w:b/>
          <w:bCs/>
          <w:color w:val="0000FF"/>
        </w:rPr>
        <w:fldChar w:fldCharType="begin">
          <w:ffData>
            <w:name w:val=""/>
            <w:enabled/>
            <w:calcOnExit w:val="0"/>
            <w:textInput>
              <w:maxLength w:val="2"/>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 </w:t>
      </w:r>
      <w:r>
        <w:rPr>
          <w:b/>
          <w:bCs/>
          <w:noProof/>
          <w:color w:val="0000FF"/>
        </w:rPr>
        <w:t> </w:t>
      </w:r>
      <w:r>
        <w:rPr>
          <w:b/>
          <w:bCs/>
          <w:color w:val="0000FF"/>
        </w:rPr>
        <w:fldChar w:fldCharType="end"/>
      </w:r>
      <w:r>
        <w:t xml:space="preserve"> </w:t>
      </w:r>
    </w:p>
    <w:tbl>
      <w:tblPr>
        <w:tblW w:w="10980" w:type="dxa"/>
        <w:tblInd w:w="-450" w:type="dxa"/>
        <w:tblBorders>
          <w:top w:val="single" w:sz="4" w:space="0" w:color="auto"/>
        </w:tblBorders>
        <w:shd w:val="solid" w:color="auto" w:fill="auto"/>
        <w:tblLayout w:type="fixed"/>
        <w:tblCellMar>
          <w:left w:w="58" w:type="dxa"/>
          <w:right w:w="58" w:type="dxa"/>
        </w:tblCellMar>
        <w:tblLook w:val="0000" w:firstRow="0" w:lastRow="0" w:firstColumn="0" w:lastColumn="0" w:noHBand="0" w:noVBand="0"/>
      </w:tblPr>
      <w:tblGrid>
        <w:gridCol w:w="10980"/>
      </w:tblGrid>
      <w:tr w:rsidR="00193EE7" w:rsidRPr="001C6195" w14:paraId="1ED00D15" w14:textId="77777777" w:rsidTr="000313FA">
        <w:trPr>
          <w:cantSplit/>
        </w:trPr>
        <w:tc>
          <w:tcPr>
            <w:tcW w:w="10980" w:type="dxa"/>
            <w:shd w:val="solid" w:color="auto" w:fill="auto"/>
            <w:noWrap/>
            <w:tcMar>
              <w:left w:w="58" w:type="dxa"/>
              <w:right w:w="58" w:type="dxa"/>
            </w:tcMar>
            <w:vAlign w:val="bottom"/>
          </w:tcPr>
          <w:p w14:paraId="23701B32" w14:textId="35D5398E" w:rsidR="00193EE7" w:rsidRPr="000313FA" w:rsidRDefault="00193EE7" w:rsidP="000313FA">
            <w:pPr>
              <w:pStyle w:val="normalbody"/>
              <w:rPr>
                <w:sz w:val="4"/>
                <w:szCs w:val="8"/>
              </w:rPr>
            </w:pPr>
          </w:p>
        </w:tc>
      </w:tr>
    </w:tbl>
    <w:p w14:paraId="24733335" w14:textId="0DDCB962" w:rsidR="00720B88" w:rsidRPr="000313FA" w:rsidRDefault="000313FA" w:rsidP="004F1DF1">
      <w:pPr>
        <w:pStyle w:val="normal12ptbefore"/>
        <w:spacing w:line="300" w:lineRule="auto"/>
        <w:ind w:left="-446"/>
        <w:rPr>
          <w:b/>
          <w:bCs/>
          <w:i/>
          <w:iCs/>
        </w:rPr>
      </w:pPr>
      <w:r w:rsidRPr="000313FA">
        <w:rPr>
          <w:b/>
          <w:bCs/>
          <w:i/>
          <w:iCs/>
        </w:rPr>
        <w:t>To be completed by the Court</w:t>
      </w:r>
    </w:p>
    <w:p w14:paraId="5F57DAB2" w14:textId="32FC107E" w:rsidR="00193EE7" w:rsidRDefault="000313FA" w:rsidP="004F1DF1">
      <w:pPr>
        <w:pStyle w:val="normal12ptbefore"/>
        <w:spacing w:line="300" w:lineRule="auto"/>
        <w:ind w:left="-446"/>
      </w:pPr>
      <w:r>
        <w:t xml:space="preserve">This matter </w:t>
      </w:r>
    </w:p>
    <w:p w14:paraId="0B117955" w14:textId="59A394BE" w:rsidR="000313FA" w:rsidRDefault="000313FA" w:rsidP="000313FA">
      <w:pPr>
        <w:pStyle w:val="normal12ptbefore"/>
        <w:spacing w:before="120" w:line="300" w:lineRule="auto"/>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i</w:t>
      </w:r>
      <w:r w:rsidRPr="000313FA">
        <w:t>s approved for a Binding JDR hearing</w:t>
      </w:r>
    </w:p>
    <w:p w14:paraId="738E1DC1" w14:textId="46D5432E" w:rsidR="000313FA" w:rsidRDefault="000313FA" w:rsidP="000313FA">
      <w:pPr>
        <w:pStyle w:val="normal12ptbefore"/>
        <w:spacing w:before="120" w:line="300" w:lineRule="auto"/>
      </w:pPr>
      <w:r>
        <w:fldChar w:fldCharType="begin">
          <w:ffData>
            <w:name w:val="Check85"/>
            <w:enabled/>
            <w:calcOnExit w:val="0"/>
            <w:checkBox>
              <w:sizeAuto/>
              <w:default w:val="0"/>
            </w:checkBox>
          </w:ffData>
        </w:fldChar>
      </w:r>
      <w:r>
        <w:instrText xml:space="preserve"> FORMCHECKBOX </w:instrText>
      </w:r>
      <w:r w:rsidR="00AC065F">
        <w:fldChar w:fldCharType="separate"/>
      </w:r>
      <w:r>
        <w:fldChar w:fldCharType="end"/>
      </w:r>
      <w:r>
        <w:t xml:space="preserve"> i</w:t>
      </w:r>
      <w:r w:rsidRPr="000313FA">
        <w:t xml:space="preserve">s </w:t>
      </w:r>
      <w:r>
        <w:t xml:space="preserve">not </w:t>
      </w:r>
      <w:r w:rsidRPr="000313FA">
        <w:t>approved for a Binding JDR hearing</w:t>
      </w:r>
    </w:p>
    <w:p w14:paraId="36EF8025" w14:textId="34F6689E" w:rsidR="00193EE7" w:rsidRDefault="000313FA" w:rsidP="004D40D8">
      <w:pPr>
        <w:pStyle w:val="normal12ptbefore"/>
        <w:spacing w:after="360" w:line="300" w:lineRule="auto"/>
        <w:ind w:left="-446"/>
      </w:pPr>
      <w:r w:rsidRPr="000313FA">
        <w:t>See the attached Binding Judicial Dispute Resolution Endorsement.</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0313FA" w14:paraId="0BB2402B" w14:textId="77777777" w:rsidTr="004D40D8">
        <w:trPr>
          <w:cantSplit/>
          <w:trHeight w:val="201"/>
        </w:trPr>
        <w:tc>
          <w:tcPr>
            <w:tcW w:w="5346" w:type="dxa"/>
            <w:tcBorders>
              <w:top w:val="nil"/>
              <w:bottom w:val="dotted" w:sz="4" w:space="0" w:color="auto"/>
            </w:tcBorders>
            <w:noWrap/>
            <w:tcMar>
              <w:left w:w="58" w:type="dxa"/>
              <w:right w:w="58" w:type="dxa"/>
            </w:tcMar>
            <w:vAlign w:val="bottom"/>
          </w:tcPr>
          <w:p w14:paraId="2A10011F" w14:textId="77777777" w:rsidR="000313FA" w:rsidRPr="00193EE7" w:rsidRDefault="000313FA" w:rsidP="00521F86">
            <w:pPr>
              <w:pStyle w:val="fillablefield0"/>
              <w:jc w:val="center"/>
            </w:pPr>
            <w:r w:rsidRPr="00193EE7">
              <w:fldChar w:fldCharType="begin">
                <w:ffData>
                  <w:name w:val=""/>
                  <w:enabled/>
                  <w:calcOnExit w:val="0"/>
                  <w:textInput/>
                </w:ffData>
              </w:fldChar>
            </w:r>
            <w:r w:rsidRPr="00193EE7">
              <w:instrText xml:space="preserve"> FORMTEXT </w:instrText>
            </w:r>
            <w:r w:rsidRPr="00193EE7">
              <w:fldChar w:fldCharType="separate"/>
            </w:r>
            <w:r w:rsidRPr="00193EE7">
              <w:rPr>
                <w:noProof/>
              </w:rPr>
              <w:t> </w:t>
            </w:r>
            <w:r w:rsidRPr="00193EE7">
              <w:rPr>
                <w:noProof/>
              </w:rPr>
              <w:t> </w:t>
            </w:r>
            <w:r w:rsidRPr="00193EE7">
              <w:rPr>
                <w:noProof/>
              </w:rPr>
              <w:t> </w:t>
            </w:r>
            <w:r w:rsidRPr="00193EE7">
              <w:rPr>
                <w:noProof/>
              </w:rPr>
              <w:t> </w:t>
            </w:r>
            <w:r w:rsidRPr="00193EE7">
              <w:rPr>
                <w:noProof/>
              </w:rPr>
              <w:t> </w:t>
            </w:r>
            <w:r w:rsidRPr="00193EE7">
              <w:fldChar w:fldCharType="end"/>
            </w:r>
          </w:p>
        </w:tc>
        <w:tc>
          <w:tcPr>
            <w:tcW w:w="275" w:type="dxa"/>
            <w:tcBorders>
              <w:top w:val="nil"/>
              <w:bottom w:val="nil"/>
            </w:tcBorders>
          </w:tcPr>
          <w:p w14:paraId="4307DB80" w14:textId="77777777" w:rsidR="000313FA" w:rsidRPr="004274B1" w:rsidRDefault="000313FA" w:rsidP="00521F86">
            <w:pPr>
              <w:pStyle w:val="normal6ptbefore"/>
            </w:pPr>
          </w:p>
        </w:tc>
        <w:tc>
          <w:tcPr>
            <w:tcW w:w="5360" w:type="dxa"/>
            <w:tcBorders>
              <w:top w:val="nil"/>
              <w:bottom w:val="single" w:sz="4" w:space="0" w:color="auto"/>
            </w:tcBorders>
          </w:tcPr>
          <w:p w14:paraId="1F7CA427" w14:textId="77777777" w:rsidR="000313FA" w:rsidRPr="004274B1" w:rsidRDefault="000313FA" w:rsidP="00521F86">
            <w:pPr>
              <w:pStyle w:val="normal6ptbefore"/>
            </w:pPr>
          </w:p>
        </w:tc>
      </w:tr>
      <w:tr w:rsidR="000313FA" w14:paraId="5348A58C" w14:textId="77777777" w:rsidTr="004D40D8">
        <w:trPr>
          <w:cantSplit/>
          <w:trHeight w:val="201"/>
        </w:trPr>
        <w:tc>
          <w:tcPr>
            <w:tcW w:w="5346" w:type="dxa"/>
            <w:tcBorders>
              <w:top w:val="dotted" w:sz="4" w:space="0" w:color="auto"/>
            </w:tcBorders>
            <w:noWrap/>
            <w:tcMar>
              <w:left w:w="58" w:type="dxa"/>
              <w:right w:w="58" w:type="dxa"/>
            </w:tcMar>
          </w:tcPr>
          <w:p w14:paraId="5054567C" w14:textId="1124C03E" w:rsidR="000313FA" w:rsidRPr="004D40D8" w:rsidRDefault="004D40D8" w:rsidP="00521F86">
            <w:pPr>
              <w:pStyle w:val="SignatureDateLine"/>
            </w:pPr>
            <w:r>
              <w:t>Date</w:t>
            </w:r>
          </w:p>
        </w:tc>
        <w:tc>
          <w:tcPr>
            <w:tcW w:w="275" w:type="dxa"/>
            <w:tcBorders>
              <w:top w:val="nil"/>
              <w:bottom w:val="nil"/>
            </w:tcBorders>
          </w:tcPr>
          <w:p w14:paraId="4E86BAF9" w14:textId="77777777" w:rsidR="000313FA" w:rsidRPr="004274B1" w:rsidRDefault="000313FA" w:rsidP="00521F86">
            <w:pPr>
              <w:pStyle w:val="SignatureDateLine"/>
            </w:pPr>
          </w:p>
        </w:tc>
        <w:tc>
          <w:tcPr>
            <w:tcW w:w="5360" w:type="dxa"/>
            <w:tcBorders>
              <w:top w:val="single" w:sz="4" w:space="0" w:color="auto"/>
            </w:tcBorders>
          </w:tcPr>
          <w:p w14:paraId="21BFB9D3" w14:textId="41D485DF" w:rsidR="000313FA" w:rsidRPr="004274B1" w:rsidRDefault="004D40D8" w:rsidP="00521F86">
            <w:pPr>
              <w:pStyle w:val="SignatureDateLine"/>
            </w:pPr>
            <w:r>
              <w:t>Justice</w:t>
            </w:r>
          </w:p>
        </w:tc>
      </w:tr>
    </w:tbl>
    <w:p w14:paraId="2B961188" w14:textId="77777777" w:rsidR="006144F8" w:rsidRDefault="006144F8">
      <w:pPr>
        <w:pStyle w:val="normalbody"/>
        <w:rPr>
          <w:sz w:val="2"/>
        </w:rPr>
      </w:pPr>
    </w:p>
    <w:sectPr w:rsidR="006144F8">
      <w:headerReference w:type="even" r:id="rId18"/>
      <w:headerReference w:type="default" r:id="rId19"/>
      <w:footerReference w:type="even" r:id="rId20"/>
      <w:footerReference w:type="default" r:id="rId21"/>
      <w:headerReference w:type="first" r:id="rId22"/>
      <w:footerReference w:type="first" r:id="rId23"/>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00ABB" w14:textId="77777777" w:rsidR="0073332B" w:rsidRDefault="0073332B">
      <w:r>
        <w:separator/>
      </w:r>
    </w:p>
  </w:endnote>
  <w:endnote w:type="continuationSeparator" w:id="0">
    <w:p w14:paraId="1E762BEF" w14:textId="77777777" w:rsidR="0073332B" w:rsidRDefault="0073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C60D" w14:textId="77777777" w:rsidR="00E46735" w:rsidRDefault="00E46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E104DF" w14:paraId="1FDBFF5E" w14:textId="77777777" w:rsidTr="004D40D8">
      <w:trPr>
        <w:cantSplit/>
      </w:trPr>
      <w:tc>
        <w:tcPr>
          <w:tcW w:w="5879" w:type="dxa"/>
          <w:noWrap/>
          <w:vAlign w:val="bottom"/>
        </w:tcPr>
        <w:p w14:paraId="1B7AE533" w14:textId="104B2F1C" w:rsidR="00E104DF" w:rsidRDefault="00E46735" w:rsidP="00F03BA0">
          <w:pPr>
            <w:pStyle w:val="FormCode"/>
            <w:spacing w:before="20"/>
          </w:pPr>
          <w:r>
            <w:t>August</w:t>
          </w:r>
          <w:r w:rsidR="004D40D8">
            <w:t xml:space="preserve"> 2023</w:t>
          </w:r>
        </w:p>
      </w:tc>
      <w:tc>
        <w:tcPr>
          <w:tcW w:w="5168" w:type="dxa"/>
          <w:vAlign w:val="bottom"/>
        </w:tcPr>
        <w:p w14:paraId="54B787A7" w14:textId="300CC0F0"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rsidR="004D40D8">
            <w:rPr>
              <w:rStyle w:val="PageNumber"/>
            </w:rPr>
            <w:t>of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55E069A0" w14:textId="77777777" w:rsidR="00E104DF" w:rsidRDefault="00E104DF">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798A" w14:textId="77777777" w:rsidR="00E46735" w:rsidRDefault="00E4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F5A1F" w14:textId="77777777" w:rsidR="0073332B" w:rsidRDefault="0073332B">
      <w:r>
        <w:separator/>
      </w:r>
    </w:p>
  </w:footnote>
  <w:footnote w:type="continuationSeparator" w:id="0">
    <w:p w14:paraId="296CFB36" w14:textId="77777777" w:rsidR="0073332B" w:rsidRDefault="0073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EDD4" w14:textId="77777777" w:rsidR="00E46735" w:rsidRDefault="00E46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06A4" w14:textId="77777777" w:rsidR="00E46735" w:rsidRDefault="00E46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522B" w14:textId="77777777" w:rsidR="00E46735" w:rsidRDefault="00E46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E062C5"/>
    <w:multiLevelType w:val="hybridMultilevel"/>
    <w:tmpl w:val="5136DE3C"/>
    <w:lvl w:ilvl="0" w:tplc="9A2025AA">
      <w:start w:val="1"/>
      <w:numFmt w:val="lowerRoman"/>
      <w:lvlText w:val="%1."/>
      <w:lvlJc w:val="left"/>
      <w:pPr>
        <w:ind w:left="718" w:hanging="720"/>
      </w:pPr>
      <w:rPr>
        <w:rFonts w:hint="default"/>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4"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8"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9"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0"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1"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3"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4"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8453BE"/>
    <w:multiLevelType w:val="hybridMultilevel"/>
    <w:tmpl w:val="BD6417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63762"/>
    <w:multiLevelType w:val="hybridMultilevel"/>
    <w:tmpl w:val="20DC2222"/>
    <w:lvl w:ilvl="0" w:tplc="81DA0294">
      <w:numFmt w:val="bullet"/>
      <w:lvlText w:val="-"/>
      <w:lvlJc w:val="left"/>
      <w:pPr>
        <w:ind w:left="720" w:hanging="360"/>
      </w:pPr>
      <w:rPr>
        <w:rFonts w:ascii="Avenir Next LT Pro" w:eastAsia="Times New Roman" w:hAnsi="Avenir Next LT Pro"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C45847"/>
    <w:multiLevelType w:val="hybridMultilevel"/>
    <w:tmpl w:val="8F508906"/>
    <w:lvl w:ilvl="0" w:tplc="7874864C">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6"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7"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0"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1"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9"/>
  </w:num>
  <w:num w:numId="2">
    <w:abstractNumId w:val="25"/>
  </w:num>
  <w:num w:numId="3">
    <w:abstractNumId w:val="7"/>
  </w:num>
  <w:num w:numId="4">
    <w:abstractNumId w:val="12"/>
  </w:num>
  <w:num w:numId="5">
    <w:abstractNumId w:val="8"/>
  </w:num>
  <w:num w:numId="6">
    <w:abstractNumId w:val="6"/>
  </w:num>
  <w:num w:numId="7">
    <w:abstractNumId w:val="31"/>
  </w:num>
  <w:num w:numId="8">
    <w:abstractNumId w:val="9"/>
  </w:num>
  <w:num w:numId="9">
    <w:abstractNumId w:val="26"/>
  </w:num>
  <w:num w:numId="10">
    <w:abstractNumId w:val="5"/>
  </w:num>
  <w:num w:numId="11">
    <w:abstractNumId w:val="15"/>
  </w:num>
  <w:num w:numId="12">
    <w:abstractNumId w:val="10"/>
  </w:num>
  <w:num w:numId="13">
    <w:abstractNumId w:val="23"/>
  </w:num>
  <w:num w:numId="14">
    <w:abstractNumId w:val="30"/>
  </w:num>
  <w:num w:numId="15">
    <w:abstractNumId w:val="33"/>
  </w:num>
  <w:num w:numId="16">
    <w:abstractNumId w:val="14"/>
  </w:num>
  <w:num w:numId="17">
    <w:abstractNumId w:val="13"/>
  </w:num>
  <w:num w:numId="18">
    <w:abstractNumId w:val="4"/>
  </w:num>
  <w:num w:numId="19">
    <w:abstractNumId w:val="21"/>
  </w:num>
  <w:num w:numId="20">
    <w:abstractNumId w:val="22"/>
  </w:num>
  <w:num w:numId="21">
    <w:abstractNumId w:val="17"/>
  </w:num>
  <w:num w:numId="22">
    <w:abstractNumId w:val="24"/>
  </w:num>
  <w:num w:numId="23">
    <w:abstractNumId w:val="19"/>
  </w:num>
  <w:num w:numId="24">
    <w:abstractNumId w:val="32"/>
  </w:num>
  <w:num w:numId="25">
    <w:abstractNumId w:val="28"/>
  </w:num>
  <w:num w:numId="26">
    <w:abstractNumId w:val="27"/>
  </w:num>
  <w:num w:numId="27">
    <w:abstractNumId w:val="1"/>
  </w:num>
  <w:num w:numId="28">
    <w:abstractNumId w:val="11"/>
  </w:num>
  <w:num w:numId="29">
    <w:abstractNumId w:val="0"/>
  </w:num>
  <w:num w:numId="30">
    <w:abstractNumId w:val="2"/>
  </w:num>
  <w:num w:numId="31">
    <w:abstractNumId w:val="3"/>
  </w:num>
  <w:num w:numId="32">
    <w:abstractNumId w:val="16"/>
  </w:num>
  <w:num w:numId="33">
    <w:abstractNumId w:val="2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1" w:cryptProviderType="rsaAES" w:cryptAlgorithmClass="hash" w:cryptAlgorithmType="typeAny" w:cryptAlgorithmSid="14" w:cryptSpinCount="100000" w:hash="eKLPqw62yaIyrli5VhC+LndShaYthR0A+OnEAKwTlHKP1A75gkt21GZqUpAIQfnxn0FtjTeZ/ITeAS4myrdkfg==" w:salt="dOQDKaI3wDkeMN8FRawY6w=="/>
  <w:defaultTabStop w:val="720"/>
  <w:displayHorizontalDrawingGridEvery w:val="0"/>
  <w:displayVerticalDrawingGridEvery w:val="0"/>
  <w:doNotUseMarginsForDrawingGridOrigin/>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179D4"/>
    <w:rsid w:val="00026F89"/>
    <w:rsid w:val="000313FA"/>
    <w:rsid w:val="000363B6"/>
    <w:rsid w:val="00042D81"/>
    <w:rsid w:val="000447A3"/>
    <w:rsid w:val="00053665"/>
    <w:rsid w:val="00084144"/>
    <w:rsid w:val="000D1731"/>
    <w:rsid w:val="00113434"/>
    <w:rsid w:val="00120761"/>
    <w:rsid w:val="001230D1"/>
    <w:rsid w:val="001514DD"/>
    <w:rsid w:val="00170A8C"/>
    <w:rsid w:val="00171264"/>
    <w:rsid w:val="001762BA"/>
    <w:rsid w:val="001806B4"/>
    <w:rsid w:val="00180B1D"/>
    <w:rsid w:val="00181BAE"/>
    <w:rsid w:val="00193EE7"/>
    <w:rsid w:val="001A1F52"/>
    <w:rsid w:val="001C6195"/>
    <w:rsid w:val="001E111F"/>
    <w:rsid w:val="00226D7A"/>
    <w:rsid w:val="002644C6"/>
    <w:rsid w:val="002856F0"/>
    <w:rsid w:val="00297B88"/>
    <w:rsid w:val="002A752F"/>
    <w:rsid w:val="002B24A6"/>
    <w:rsid w:val="002C24BC"/>
    <w:rsid w:val="002F379A"/>
    <w:rsid w:val="003044FD"/>
    <w:rsid w:val="0031311D"/>
    <w:rsid w:val="003170CC"/>
    <w:rsid w:val="003306C3"/>
    <w:rsid w:val="00330C47"/>
    <w:rsid w:val="00362DA4"/>
    <w:rsid w:val="0039645C"/>
    <w:rsid w:val="003B6E97"/>
    <w:rsid w:val="003C410A"/>
    <w:rsid w:val="003D3ABD"/>
    <w:rsid w:val="003F6D07"/>
    <w:rsid w:val="004109BA"/>
    <w:rsid w:val="0042295F"/>
    <w:rsid w:val="004235D3"/>
    <w:rsid w:val="004274B1"/>
    <w:rsid w:val="00447385"/>
    <w:rsid w:val="00480E4D"/>
    <w:rsid w:val="0048574E"/>
    <w:rsid w:val="004B79A8"/>
    <w:rsid w:val="004D40D8"/>
    <w:rsid w:val="004F1DF1"/>
    <w:rsid w:val="00506CB9"/>
    <w:rsid w:val="00514B76"/>
    <w:rsid w:val="00530C4E"/>
    <w:rsid w:val="005411B7"/>
    <w:rsid w:val="00566AFD"/>
    <w:rsid w:val="00576492"/>
    <w:rsid w:val="005F7B47"/>
    <w:rsid w:val="006141E0"/>
    <w:rsid w:val="006144F8"/>
    <w:rsid w:val="006163A2"/>
    <w:rsid w:val="00627E51"/>
    <w:rsid w:val="006354B4"/>
    <w:rsid w:val="006732AC"/>
    <w:rsid w:val="0067624E"/>
    <w:rsid w:val="0067730C"/>
    <w:rsid w:val="0067799E"/>
    <w:rsid w:val="0068011D"/>
    <w:rsid w:val="006832C0"/>
    <w:rsid w:val="006921B7"/>
    <w:rsid w:val="006924B3"/>
    <w:rsid w:val="006A4A33"/>
    <w:rsid w:val="006C19E7"/>
    <w:rsid w:val="006F0711"/>
    <w:rsid w:val="007144BC"/>
    <w:rsid w:val="00720B88"/>
    <w:rsid w:val="0073332B"/>
    <w:rsid w:val="00783A7D"/>
    <w:rsid w:val="007A63AE"/>
    <w:rsid w:val="007C4E93"/>
    <w:rsid w:val="007D3DF7"/>
    <w:rsid w:val="007F23BD"/>
    <w:rsid w:val="00827A0A"/>
    <w:rsid w:val="00835B11"/>
    <w:rsid w:val="0084005E"/>
    <w:rsid w:val="00853406"/>
    <w:rsid w:val="008619C6"/>
    <w:rsid w:val="00875065"/>
    <w:rsid w:val="008B4E62"/>
    <w:rsid w:val="008E5F68"/>
    <w:rsid w:val="008F1873"/>
    <w:rsid w:val="0091694F"/>
    <w:rsid w:val="00931A8A"/>
    <w:rsid w:val="00943B6A"/>
    <w:rsid w:val="00946211"/>
    <w:rsid w:val="009512E3"/>
    <w:rsid w:val="00963950"/>
    <w:rsid w:val="009949CC"/>
    <w:rsid w:val="009C0774"/>
    <w:rsid w:val="009F257E"/>
    <w:rsid w:val="00A30187"/>
    <w:rsid w:val="00A32CE8"/>
    <w:rsid w:val="00A37681"/>
    <w:rsid w:val="00A5195C"/>
    <w:rsid w:val="00A67E37"/>
    <w:rsid w:val="00A97458"/>
    <w:rsid w:val="00AA1E61"/>
    <w:rsid w:val="00AA4877"/>
    <w:rsid w:val="00AC065F"/>
    <w:rsid w:val="00AC2561"/>
    <w:rsid w:val="00AD3023"/>
    <w:rsid w:val="00AD5E88"/>
    <w:rsid w:val="00AD6B9A"/>
    <w:rsid w:val="00AE5340"/>
    <w:rsid w:val="00B025A3"/>
    <w:rsid w:val="00B104C6"/>
    <w:rsid w:val="00B108F1"/>
    <w:rsid w:val="00B2696F"/>
    <w:rsid w:val="00B46DE2"/>
    <w:rsid w:val="00B669B0"/>
    <w:rsid w:val="00B66EFA"/>
    <w:rsid w:val="00B86C32"/>
    <w:rsid w:val="00B87389"/>
    <w:rsid w:val="00BB4398"/>
    <w:rsid w:val="00BB4613"/>
    <w:rsid w:val="00BD4F65"/>
    <w:rsid w:val="00BE17A7"/>
    <w:rsid w:val="00BE7957"/>
    <w:rsid w:val="00C07681"/>
    <w:rsid w:val="00C160CA"/>
    <w:rsid w:val="00C24AC2"/>
    <w:rsid w:val="00C34805"/>
    <w:rsid w:val="00C5304E"/>
    <w:rsid w:val="00C74BC2"/>
    <w:rsid w:val="00CA544F"/>
    <w:rsid w:val="00CB0107"/>
    <w:rsid w:val="00CC232E"/>
    <w:rsid w:val="00CD425D"/>
    <w:rsid w:val="00CD717F"/>
    <w:rsid w:val="00CE1447"/>
    <w:rsid w:val="00CE361F"/>
    <w:rsid w:val="00CE6287"/>
    <w:rsid w:val="00CE7419"/>
    <w:rsid w:val="00D1193C"/>
    <w:rsid w:val="00D13647"/>
    <w:rsid w:val="00D14BB3"/>
    <w:rsid w:val="00D2016C"/>
    <w:rsid w:val="00D229AF"/>
    <w:rsid w:val="00D30103"/>
    <w:rsid w:val="00D419A7"/>
    <w:rsid w:val="00D47B36"/>
    <w:rsid w:val="00D56D55"/>
    <w:rsid w:val="00D8089E"/>
    <w:rsid w:val="00DA1997"/>
    <w:rsid w:val="00DA35DA"/>
    <w:rsid w:val="00DB0C67"/>
    <w:rsid w:val="00DC52D2"/>
    <w:rsid w:val="00DD07CB"/>
    <w:rsid w:val="00DD240C"/>
    <w:rsid w:val="00DD3A43"/>
    <w:rsid w:val="00DF6CFA"/>
    <w:rsid w:val="00E104DF"/>
    <w:rsid w:val="00E20CA9"/>
    <w:rsid w:val="00E2427D"/>
    <w:rsid w:val="00E2630D"/>
    <w:rsid w:val="00E328E6"/>
    <w:rsid w:val="00E34DBD"/>
    <w:rsid w:val="00E36DAB"/>
    <w:rsid w:val="00E46735"/>
    <w:rsid w:val="00E568DB"/>
    <w:rsid w:val="00E72B1E"/>
    <w:rsid w:val="00EA03A2"/>
    <w:rsid w:val="00EB097C"/>
    <w:rsid w:val="00EF3FBE"/>
    <w:rsid w:val="00F03BA0"/>
    <w:rsid w:val="00F070B9"/>
    <w:rsid w:val="00F877B4"/>
    <w:rsid w:val="00FC5614"/>
    <w:rsid w:val="00FE18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6195"/>
    <w:pPr>
      <w:keepNext/>
      <w:spacing w:before="120" w:after="60"/>
      <w:outlineLvl w:val="0"/>
    </w:pPr>
    <w:rPr>
      <w:rFonts w:ascii="Arial" w:hAnsi="Arial"/>
      <w:b/>
      <w:bCs/>
      <w:kern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
    <w:name w:val="Mention non résolue"/>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so.ca/public-resources/finding-a-lawyer-or-paralegal/law-society-referral-service"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ontario.ca/page/family-law-information-centres" TargetMode="External"/><Relationship Id="rId17" Type="http://schemas.openxmlformats.org/officeDocument/2006/relationships/hyperlink" Target="https://www.probonostudents.ca/family-justice-centre"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amilylawlss.ca/"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ontariocourts.ca/scj/practice/regional-practice-direc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justicenet.ca/" TargetMode="External"/><Relationship Id="rId23" Type="http://schemas.openxmlformats.org/officeDocument/2006/relationships/footer" Target="footer3.xml"/><Relationship Id="rId10" Type="http://schemas.openxmlformats.org/officeDocument/2006/relationships/hyperlink" Target="https://www.ontariocourts.ca/scj/files/forms/binding/affidavit-binding-jdr-en.docx"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ontariocourts.ca/scj/practice/regional-practice-directions/" TargetMode="External"/><Relationship Id="rId14" Type="http://schemas.openxmlformats.org/officeDocument/2006/relationships/hyperlink" Target="https://www.legalaid.on.ca/services/family-legal-issu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96D8-004F-4B04-BF3B-CCD6913A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9017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Binding Judicial Dispute Resolution (JDR) Hearing Request and Consent</vt:lpstr>
    </vt:vector>
  </TitlesOfParts>
  <Manager/>
  <Company>MAG</Company>
  <LinksUpToDate>false</LinksUpToDate>
  <CharactersWithSpaces>10508</CharactersWithSpaces>
  <SharedDoc>false</SharedDoc>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Binding Judicial Dispute Resolution (JDR) Hearing Request and Consent</dc:title>
  <dc:subject/>
  <dc:creator>Rottman, M.</dc:creator>
  <cp:keywords/>
  <dc:description/>
  <cp:lastModifiedBy>Al-Jawhary, Sara (JUD)</cp:lastModifiedBy>
  <cp:revision>2</cp:revision>
  <cp:lastPrinted>2023-05-29T16:22:00Z</cp:lastPrinted>
  <dcterms:created xsi:type="dcterms:W3CDTF">2023-08-02T13:42:00Z</dcterms:created>
  <dcterms:modified xsi:type="dcterms:W3CDTF">2023-08-02T13:42:00Z</dcterms:modified>
  <cp:category>Family Court - BJDR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ies>
</file>