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325E02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325E02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325E02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325E02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325E02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325E02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325E02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325E02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1BFED850" w:rsidR="00FB70D5" w:rsidRPr="00325E02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325E02">
        <w:rPr>
          <w:rFonts w:ascii="Arial" w:hAnsi="Arial" w:cs="Arial"/>
          <w:b/>
          <w:bCs/>
          <w:szCs w:val="24"/>
          <w:lang w:val="en-GB"/>
        </w:rPr>
        <w:t>IT IS ORDERED</w:t>
      </w:r>
      <w:r w:rsidRPr="00325E02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325E02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325E02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307A45" w:rsidRPr="00325E02">
        <w:rPr>
          <w:rFonts w:ascii="Arial" w:hAnsi="Arial" w:cs="Arial"/>
          <w:szCs w:val="24"/>
          <w:lang w:val="en-GB"/>
        </w:rPr>
        <w:t>63.</w:t>
      </w:r>
      <w:r w:rsidR="00B143C7" w:rsidRPr="00325E02">
        <w:rPr>
          <w:rFonts w:ascii="Arial" w:hAnsi="Arial" w:cs="Arial"/>
          <w:szCs w:val="24"/>
          <w:lang w:val="en-GB"/>
        </w:rPr>
        <w:t>2</w:t>
      </w:r>
      <w:r w:rsidRPr="00325E02">
        <w:rPr>
          <w:rFonts w:ascii="Arial" w:hAnsi="Arial" w:cs="Arial"/>
          <w:szCs w:val="24"/>
          <w:lang w:val="en-GB"/>
        </w:rPr>
        <w:t xml:space="preserve"> under the Provincial Statutes and Regulations there</w:t>
      </w:r>
      <w:r w:rsidRPr="00325E02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325E02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325E02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325E02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325E02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6CC06F19" w:rsidR="00FB70D5" w:rsidRPr="00325E02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325E02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307A45" w:rsidRPr="00325E02">
        <w:rPr>
          <w:rFonts w:ascii="Arial" w:hAnsi="Arial" w:cs="Arial"/>
          <w:bCs/>
          <w:szCs w:val="24"/>
          <w:lang w:val="en-GB"/>
        </w:rPr>
        <w:t>July 1</w:t>
      </w:r>
      <w:r w:rsidR="001071CE" w:rsidRPr="00325E02">
        <w:rPr>
          <w:rFonts w:ascii="Arial" w:hAnsi="Arial" w:cs="Arial"/>
          <w:bCs/>
          <w:szCs w:val="24"/>
          <w:lang w:val="en-GB"/>
        </w:rPr>
        <w:t>, 2026</w:t>
      </w:r>
      <w:r w:rsidRPr="00325E02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325E02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325E02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325E02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325E02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68A930FE" w:rsidR="00FB70D5" w:rsidRPr="00325E02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325E02">
        <w:rPr>
          <w:rFonts w:ascii="Arial" w:hAnsi="Arial" w:cs="Arial"/>
          <w:b/>
          <w:szCs w:val="24"/>
          <w:lang w:val="en-GB"/>
        </w:rPr>
        <w:t xml:space="preserve">DATED at the </w:t>
      </w:r>
      <w:r w:rsidRPr="00325E02">
        <w:rPr>
          <w:rFonts w:ascii="Arial" w:hAnsi="Arial" w:cs="Arial"/>
          <w:szCs w:val="24"/>
          <w:lang w:val="en-GB"/>
        </w:rPr>
        <w:t xml:space="preserve">City of Toronto, Ontario, on </w:t>
      </w:r>
      <w:r w:rsidR="00AF7CF8">
        <w:rPr>
          <w:rFonts w:ascii="Arial" w:hAnsi="Arial" w:cs="Arial"/>
          <w:szCs w:val="24"/>
          <w:lang w:val="en-GB"/>
        </w:rPr>
        <w:t>June 25</w:t>
      </w:r>
      <w:r w:rsidR="001071CE" w:rsidRPr="00325E02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325E02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325E02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325E02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325E02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325E02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325E02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325E02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325E02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325E02">
        <w:rPr>
          <w:rFonts w:ascii="Arial" w:hAnsi="Arial" w:cs="Arial"/>
          <w:b/>
          <w:szCs w:val="24"/>
          <w:lang w:val="en-GB"/>
        </w:rPr>
        <w:t>Sharon Nicklas, Chief Justice</w:t>
      </w:r>
    </w:p>
    <w:p w14:paraId="3C130F58" w14:textId="77777777" w:rsidR="00FB70D5" w:rsidRPr="00325E02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325E02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325E02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 w:rsidRPr="00325E02">
        <w:rPr>
          <w:rFonts w:ascii="Arial" w:hAnsi="Arial" w:cs="Arial"/>
          <w:b/>
          <w:szCs w:val="24"/>
          <w:lang w:val="en-GB"/>
        </w:rPr>
        <w:br w:type="page"/>
      </w:r>
    </w:p>
    <w:p w14:paraId="5CDF39A6" w14:textId="67FC6E74" w:rsidR="00307A45" w:rsidRPr="00325E02" w:rsidRDefault="004F14A4" w:rsidP="00307A45">
      <w:pPr>
        <w:jc w:val="center"/>
        <w:textAlignment w:val="baseline"/>
        <w:rPr>
          <w:rFonts w:ascii="Arial" w:hAnsi="Arial" w:cs="Arial"/>
          <w:b/>
          <w:caps/>
          <w:szCs w:val="24"/>
          <w:lang w:val="en-CA" w:eastAsia="en-CA"/>
        </w:rPr>
      </w:pPr>
      <w:r w:rsidRPr="00325E02">
        <w:rPr>
          <w:rFonts w:ascii="Arial" w:hAnsi="Arial" w:cs="Arial"/>
          <w:b/>
          <w:szCs w:val="24"/>
        </w:rPr>
        <w:lastRenderedPageBreak/>
        <w:t xml:space="preserve">Schedule </w:t>
      </w:r>
      <w:r w:rsidR="00307A45" w:rsidRPr="00325E02">
        <w:rPr>
          <w:rFonts w:ascii="Arial" w:hAnsi="Arial" w:cs="Arial"/>
          <w:b/>
          <w:caps/>
          <w:szCs w:val="24"/>
          <w:lang w:val="en-GB" w:eastAsia="en-CA"/>
        </w:rPr>
        <w:t>63.</w:t>
      </w:r>
      <w:r w:rsidR="00B143C7" w:rsidRPr="00325E02">
        <w:rPr>
          <w:rFonts w:ascii="Arial" w:hAnsi="Arial" w:cs="Arial"/>
          <w:b/>
          <w:caps/>
          <w:szCs w:val="24"/>
          <w:lang w:val="en-GB" w:eastAsia="en-CA"/>
        </w:rPr>
        <w:t>2</w:t>
      </w:r>
      <w:r w:rsidR="00307A45" w:rsidRPr="00325E02">
        <w:rPr>
          <w:rFonts w:ascii="Arial" w:hAnsi="Arial" w:cs="Arial"/>
          <w:b/>
          <w:caps/>
          <w:szCs w:val="24"/>
          <w:lang w:val="en-CA" w:eastAsia="en-CA"/>
        </w:rPr>
        <w:t> </w:t>
      </w:r>
    </w:p>
    <w:p w14:paraId="280BD410" w14:textId="7AB385C5" w:rsidR="004F14A4" w:rsidRPr="00325E02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</w:p>
    <w:p w14:paraId="1AC7B987" w14:textId="77777777" w:rsidR="0098671F" w:rsidRPr="00325E02" w:rsidRDefault="00B143C7" w:rsidP="0098671F">
      <w:pPr>
        <w:jc w:val="center"/>
        <w:textAlignment w:val="baseline"/>
        <w:rPr>
          <w:rFonts w:ascii="Arial" w:hAnsi="Arial" w:cs="Arial"/>
          <w:szCs w:val="24"/>
          <w:lang w:val="en-CA" w:eastAsia="en-CA"/>
        </w:rPr>
      </w:pPr>
      <w:r w:rsidRPr="00325E02">
        <w:rPr>
          <w:rFonts w:ascii="Arial" w:hAnsi="Arial" w:cs="Arial"/>
          <w:iCs/>
          <w:szCs w:val="24"/>
        </w:rPr>
        <w:t>Regulation 729 of the Revised Regulations of Ontario, 1990 under the</w:t>
      </w:r>
      <w:r w:rsidR="0098671F" w:rsidRPr="00325E02">
        <w:rPr>
          <w:rFonts w:ascii="Arial" w:hAnsi="Arial" w:cs="Arial"/>
          <w:iCs/>
          <w:szCs w:val="24"/>
        </w:rPr>
        <w:t xml:space="preserve"> </w:t>
      </w:r>
      <w:r w:rsidR="0098671F" w:rsidRPr="00325E02">
        <w:rPr>
          <w:rFonts w:ascii="Arial" w:hAnsi="Arial" w:cs="Arial"/>
          <w:i/>
          <w:iCs/>
          <w:szCs w:val="24"/>
          <w:lang w:val="en-GB" w:eastAsia="en-CA"/>
        </w:rPr>
        <w:t>Livestock Community Sales Act</w:t>
      </w:r>
      <w:r w:rsidR="0098671F" w:rsidRPr="00325E02">
        <w:rPr>
          <w:rFonts w:ascii="Arial" w:hAnsi="Arial" w:cs="Arial"/>
          <w:szCs w:val="24"/>
          <w:lang w:val="en-CA" w:eastAsia="en-CA"/>
        </w:rPr>
        <w:t> </w:t>
      </w:r>
    </w:p>
    <w:p w14:paraId="04B93EA5" w14:textId="7B251F9F" w:rsidR="00472328" w:rsidRPr="00325E02" w:rsidRDefault="00472328" w:rsidP="00472328">
      <w:pPr>
        <w:jc w:val="center"/>
        <w:rPr>
          <w:rFonts w:ascii="Arial" w:hAnsi="Arial" w:cs="Arial"/>
          <w:szCs w:val="24"/>
        </w:rPr>
      </w:pPr>
    </w:p>
    <w:tbl>
      <w:tblPr>
        <w:tblW w:w="10800" w:type="dxa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4766"/>
        <w:gridCol w:w="2431"/>
        <w:gridCol w:w="1350"/>
        <w:gridCol w:w="1350"/>
      </w:tblGrid>
      <w:tr w:rsidR="004816AF" w:rsidRPr="00325E02" w14:paraId="48EEC095" w14:textId="793DF29E" w:rsidTr="004816AF">
        <w:trPr>
          <w:cantSplit/>
          <w:trHeight w:val="503"/>
        </w:trPr>
        <w:tc>
          <w:tcPr>
            <w:tcW w:w="903" w:type="dxa"/>
          </w:tcPr>
          <w:p w14:paraId="17A8CE2E" w14:textId="77777777" w:rsidR="004816AF" w:rsidRPr="00325E02" w:rsidRDefault="004816AF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325E02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766" w:type="dxa"/>
          </w:tcPr>
          <w:p w14:paraId="41FA851D" w14:textId="77777777" w:rsidR="004816AF" w:rsidRPr="00325E02" w:rsidRDefault="004816AF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325E02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431" w:type="dxa"/>
          </w:tcPr>
          <w:p w14:paraId="42D19189" w14:textId="77777777" w:rsidR="004816AF" w:rsidRPr="00325E02" w:rsidRDefault="004816AF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325E02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7CC9131A" w14:textId="77777777" w:rsidR="004816AF" w:rsidRPr="00325E02" w:rsidRDefault="004816AF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325E02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5891999F" w14:textId="13B6C2AD" w:rsidR="004816AF" w:rsidRPr="00325E02" w:rsidRDefault="004816AF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4816AF" w:rsidRPr="00325E02" w14:paraId="0481CD5C" w14:textId="64BF5D46" w:rsidTr="004816AF">
        <w:trPr>
          <w:cantSplit/>
          <w:trHeight w:val="215"/>
        </w:trPr>
        <w:tc>
          <w:tcPr>
            <w:tcW w:w="903" w:type="dxa"/>
          </w:tcPr>
          <w:p w14:paraId="0A5F02F4" w14:textId="2BF696C3" w:rsidR="004816AF" w:rsidRPr="00325E02" w:rsidRDefault="004816AF" w:rsidP="004816AF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325E02">
              <w:rPr>
                <w:rFonts w:ascii="Arial" w:hAnsi="Arial" w:cs="Arial"/>
                <w:szCs w:val="24"/>
                <w:lang w:val="en-CA" w:eastAsia="en-CA"/>
              </w:rPr>
              <w:t>1. </w:t>
            </w:r>
          </w:p>
        </w:tc>
        <w:tc>
          <w:tcPr>
            <w:tcW w:w="4766" w:type="dxa"/>
          </w:tcPr>
          <w:p w14:paraId="7A00F08D" w14:textId="2EBDEB33" w:rsidR="004816AF" w:rsidRPr="00325E02" w:rsidRDefault="004816AF" w:rsidP="004816AF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325E02">
              <w:rPr>
                <w:rFonts w:ascii="Arial" w:hAnsi="Arial" w:cs="Arial"/>
                <w:szCs w:val="24"/>
                <w:lang w:val="en-CA" w:eastAsia="en-CA"/>
              </w:rPr>
              <w:t>Fail to segregate detained livestock as required  </w:t>
            </w:r>
          </w:p>
        </w:tc>
        <w:tc>
          <w:tcPr>
            <w:tcW w:w="2431" w:type="dxa"/>
          </w:tcPr>
          <w:p w14:paraId="11194DFB" w14:textId="3B7869D6" w:rsidR="004816AF" w:rsidRPr="00325E02" w:rsidRDefault="004816AF" w:rsidP="004816AF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325E02">
              <w:rPr>
                <w:rFonts w:ascii="Arial" w:hAnsi="Arial" w:cs="Arial"/>
                <w:szCs w:val="24"/>
                <w:lang w:val="en-CA" w:eastAsia="en-CA"/>
              </w:rPr>
              <w:t>clause 11 (2) (a) </w:t>
            </w:r>
          </w:p>
        </w:tc>
        <w:tc>
          <w:tcPr>
            <w:tcW w:w="1350" w:type="dxa"/>
          </w:tcPr>
          <w:p w14:paraId="12D15A4C" w14:textId="0F9CC3BA" w:rsidR="004816AF" w:rsidRPr="00325E02" w:rsidRDefault="004816AF" w:rsidP="004816AF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325E02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1C6A3194" w14:textId="384BF10A" w:rsidR="004816AF" w:rsidRPr="00325E02" w:rsidRDefault="004816AF" w:rsidP="004816AF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BD0F3E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4816AF" w:rsidRPr="00325E02" w14:paraId="396B95C3" w14:textId="30FCCADD" w:rsidTr="004816AF">
        <w:trPr>
          <w:cantSplit/>
        </w:trPr>
        <w:tc>
          <w:tcPr>
            <w:tcW w:w="903" w:type="dxa"/>
          </w:tcPr>
          <w:p w14:paraId="73BDAC38" w14:textId="7A1409F9" w:rsidR="004816AF" w:rsidRPr="00325E02" w:rsidRDefault="004816AF" w:rsidP="004816AF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325E02">
              <w:rPr>
                <w:rFonts w:ascii="Arial" w:hAnsi="Arial" w:cs="Arial"/>
                <w:szCs w:val="24"/>
                <w:lang w:val="en-CA" w:eastAsia="en-CA"/>
              </w:rPr>
              <w:t>2. </w:t>
            </w:r>
          </w:p>
        </w:tc>
        <w:tc>
          <w:tcPr>
            <w:tcW w:w="4766" w:type="dxa"/>
          </w:tcPr>
          <w:p w14:paraId="4E84CBA4" w14:textId="4EA4D20A" w:rsidR="004816AF" w:rsidRPr="00325E02" w:rsidRDefault="004816AF" w:rsidP="004816AF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325E02">
              <w:rPr>
                <w:rFonts w:ascii="Arial" w:hAnsi="Arial" w:cs="Arial"/>
                <w:szCs w:val="24"/>
                <w:lang w:val="en-CA" w:eastAsia="en-CA"/>
              </w:rPr>
              <w:t>Fail to hold detained livestock in segregation as required </w:t>
            </w:r>
          </w:p>
        </w:tc>
        <w:tc>
          <w:tcPr>
            <w:tcW w:w="2431" w:type="dxa"/>
          </w:tcPr>
          <w:p w14:paraId="5785309D" w14:textId="2D4EA702" w:rsidR="004816AF" w:rsidRPr="00325E02" w:rsidRDefault="004816AF" w:rsidP="004816AF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325E02">
              <w:rPr>
                <w:rFonts w:ascii="Arial" w:hAnsi="Arial" w:cs="Arial"/>
                <w:szCs w:val="24"/>
                <w:lang w:val="en-CA" w:eastAsia="en-CA"/>
              </w:rPr>
              <w:t>clause 11 (2) (b) </w:t>
            </w:r>
          </w:p>
        </w:tc>
        <w:tc>
          <w:tcPr>
            <w:tcW w:w="1350" w:type="dxa"/>
          </w:tcPr>
          <w:p w14:paraId="2BA6CF4D" w14:textId="3801BEEC" w:rsidR="004816AF" w:rsidRPr="00325E02" w:rsidRDefault="004816AF" w:rsidP="004816AF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325E02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6CFF60CA" w14:textId="546ADBD5" w:rsidR="004816AF" w:rsidRPr="00325E02" w:rsidRDefault="004816AF" w:rsidP="004816AF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BD0F3E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</w:tbl>
    <w:p w14:paraId="50E3B5C3" w14:textId="77777777" w:rsidR="00193BB5" w:rsidRPr="00325E02" w:rsidRDefault="00193BB5">
      <w:pPr>
        <w:suppressAutoHyphens/>
        <w:jc w:val="both"/>
        <w:rPr>
          <w:rFonts w:ascii="Arial" w:hAnsi="Arial" w:cs="Arial"/>
          <w:szCs w:val="24"/>
        </w:rPr>
      </w:pPr>
    </w:p>
    <w:p w14:paraId="4AC0D312" w14:textId="77777777" w:rsidR="0062723F" w:rsidRPr="00325E02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325E02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23D4"/>
    <w:rsid w:val="00033C95"/>
    <w:rsid w:val="00077B1B"/>
    <w:rsid w:val="0009432D"/>
    <w:rsid w:val="001071CE"/>
    <w:rsid w:val="00157F6E"/>
    <w:rsid w:val="0017268B"/>
    <w:rsid w:val="00193BB5"/>
    <w:rsid w:val="001A2AB4"/>
    <w:rsid w:val="001A44FD"/>
    <w:rsid w:val="001A6056"/>
    <w:rsid w:val="001C1AC3"/>
    <w:rsid w:val="00210AC8"/>
    <w:rsid w:val="0028669F"/>
    <w:rsid w:val="0029229B"/>
    <w:rsid w:val="00294F32"/>
    <w:rsid w:val="002B07F9"/>
    <w:rsid w:val="00307A45"/>
    <w:rsid w:val="00325E02"/>
    <w:rsid w:val="00341CD2"/>
    <w:rsid w:val="003A4EFD"/>
    <w:rsid w:val="003B41A4"/>
    <w:rsid w:val="00417393"/>
    <w:rsid w:val="00417D34"/>
    <w:rsid w:val="00472328"/>
    <w:rsid w:val="004816AF"/>
    <w:rsid w:val="004D1E49"/>
    <w:rsid w:val="004F14A4"/>
    <w:rsid w:val="0051591D"/>
    <w:rsid w:val="00542508"/>
    <w:rsid w:val="00551C7A"/>
    <w:rsid w:val="00573FF8"/>
    <w:rsid w:val="005915DC"/>
    <w:rsid w:val="005B3A38"/>
    <w:rsid w:val="005C36CF"/>
    <w:rsid w:val="005F5AB9"/>
    <w:rsid w:val="00601007"/>
    <w:rsid w:val="0061398A"/>
    <w:rsid w:val="0062723F"/>
    <w:rsid w:val="006512C1"/>
    <w:rsid w:val="006A658F"/>
    <w:rsid w:val="006B1AFA"/>
    <w:rsid w:val="006D51FE"/>
    <w:rsid w:val="006F0079"/>
    <w:rsid w:val="006F3919"/>
    <w:rsid w:val="0070172A"/>
    <w:rsid w:val="00745531"/>
    <w:rsid w:val="00755701"/>
    <w:rsid w:val="0077156E"/>
    <w:rsid w:val="00776F22"/>
    <w:rsid w:val="00784801"/>
    <w:rsid w:val="007B01A9"/>
    <w:rsid w:val="007C0269"/>
    <w:rsid w:val="008D5F92"/>
    <w:rsid w:val="008F1BDE"/>
    <w:rsid w:val="00905416"/>
    <w:rsid w:val="00925599"/>
    <w:rsid w:val="0098671F"/>
    <w:rsid w:val="00990CB2"/>
    <w:rsid w:val="009A0845"/>
    <w:rsid w:val="009A3B41"/>
    <w:rsid w:val="009D1CD5"/>
    <w:rsid w:val="009E68CF"/>
    <w:rsid w:val="00A16205"/>
    <w:rsid w:val="00A33024"/>
    <w:rsid w:val="00A865FE"/>
    <w:rsid w:val="00A95EE3"/>
    <w:rsid w:val="00AC53EF"/>
    <w:rsid w:val="00AE0904"/>
    <w:rsid w:val="00AF7CF8"/>
    <w:rsid w:val="00B143C7"/>
    <w:rsid w:val="00B2507C"/>
    <w:rsid w:val="00B2797C"/>
    <w:rsid w:val="00BB43A4"/>
    <w:rsid w:val="00BE32E3"/>
    <w:rsid w:val="00CB1B40"/>
    <w:rsid w:val="00CE4D38"/>
    <w:rsid w:val="00CF142F"/>
    <w:rsid w:val="00D13BF7"/>
    <w:rsid w:val="00D44E3B"/>
    <w:rsid w:val="00D95B5A"/>
    <w:rsid w:val="00DB467A"/>
    <w:rsid w:val="00DE1951"/>
    <w:rsid w:val="00DE2EEF"/>
    <w:rsid w:val="00E3126F"/>
    <w:rsid w:val="00E35ABF"/>
    <w:rsid w:val="00E81FCA"/>
    <w:rsid w:val="00EA430A"/>
    <w:rsid w:val="00EC4887"/>
    <w:rsid w:val="00F70A0F"/>
    <w:rsid w:val="00F93F99"/>
    <w:rsid w:val="00FB70D5"/>
    <w:rsid w:val="00FC3F3A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2</cp:revision>
  <cp:lastPrinted>2026-05-15T14:13:00Z</cp:lastPrinted>
  <dcterms:created xsi:type="dcterms:W3CDTF">2026-06-29T16:02:00Z</dcterms:created>
  <dcterms:modified xsi:type="dcterms:W3CDTF">2026-06-29T16:02:00Z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