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0316D4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0316D4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0316D4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0316D4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0316D4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0316D4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0316D4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377442AE" w:rsidR="00FB70D5" w:rsidRPr="000316D4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0316D4">
        <w:rPr>
          <w:rFonts w:ascii="Arial" w:hAnsi="Arial" w:cs="Arial"/>
          <w:b/>
          <w:bCs/>
          <w:szCs w:val="24"/>
          <w:lang w:val="en-GB"/>
        </w:rPr>
        <w:t>IT IS ORDERED</w:t>
      </w:r>
      <w:r w:rsidRPr="000316D4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0316D4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0316D4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307A45" w:rsidRPr="000316D4">
        <w:rPr>
          <w:rFonts w:ascii="Arial" w:hAnsi="Arial" w:cs="Arial"/>
          <w:szCs w:val="24"/>
          <w:lang w:val="en-GB"/>
        </w:rPr>
        <w:t>63.1</w:t>
      </w:r>
      <w:r w:rsidRPr="000316D4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0316D4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0316D4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0316D4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0316D4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0316D4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CC06F19" w:rsidR="00FB70D5" w:rsidRPr="000316D4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0316D4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307A45" w:rsidRPr="000316D4">
        <w:rPr>
          <w:rFonts w:ascii="Arial" w:hAnsi="Arial" w:cs="Arial"/>
          <w:bCs/>
          <w:szCs w:val="24"/>
          <w:lang w:val="en-GB"/>
        </w:rPr>
        <w:t>July 1</w:t>
      </w:r>
      <w:r w:rsidR="001071CE" w:rsidRPr="000316D4">
        <w:rPr>
          <w:rFonts w:ascii="Arial" w:hAnsi="Arial" w:cs="Arial"/>
          <w:bCs/>
          <w:szCs w:val="24"/>
          <w:lang w:val="en-GB"/>
        </w:rPr>
        <w:t>, 2026</w:t>
      </w:r>
      <w:r w:rsidRPr="000316D4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7829391A" w:rsidR="00FB70D5" w:rsidRPr="000316D4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t xml:space="preserve">DATED at the </w:t>
      </w:r>
      <w:r w:rsidRPr="000316D4">
        <w:rPr>
          <w:rFonts w:ascii="Arial" w:hAnsi="Arial" w:cs="Arial"/>
          <w:szCs w:val="24"/>
          <w:lang w:val="en-GB"/>
        </w:rPr>
        <w:t xml:space="preserve">City of Toronto, Ontario, on </w:t>
      </w:r>
      <w:r w:rsidR="001069E7">
        <w:rPr>
          <w:rFonts w:ascii="Arial" w:hAnsi="Arial" w:cs="Arial"/>
          <w:szCs w:val="24"/>
          <w:lang w:val="en-GB"/>
        </w:rPr>
        <w:t>June 25</w:t>
      </w:r>
      <w:r w:rsidR="001071CE" w:rsidRPr="000316D4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0316D4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0316D4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0316D4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0316D4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0316D4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0316D4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0316D4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0316D4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0316D4">
        <w:rPr>
          <w:rFonts w:ascii="Arial" w:hAnsi="Arial" w:cs="Arial"/>
          <w:b/>
          <w:szCs w:val="24"/>
          <w:lang w:val="en-GB"/>
        </w:rPr>
        <w:br w:type="page"/>
      </w:r>
    </w:p>
    <w:p w14:paraId="5CDF39A6" w14:textId="77777777" w:rsidR="00307A45" w:rsidRPr="000316D4" w:rsidRDefault="004F14A4" w:rsidP="00307A45">
      <w:pPr>
        <w:jc w:val="center"/>
        <w:textAlignment w:val="baseline"/>
        <w:rPr>
          <w:rFonts w:ascii="Arial" w:hAnsi="Arial" w:cs="Arial"/>
          <w:b/>
          <w:caps/>
          <w:szCs w:val="24"/>
          <w:lang w:val="en-CA" w:eastAsia="en-CA"/>
        </w:rPr>
      </w:pPr>
      <w:r w:rsidRPr="000316D4">
        <w:rPr>
          <w:rFonts w:ascii="Arial" w:hAnsi="Arial" w:cs="Arial"/>
          <w:b/>
          <w:szCs w:val="24"/>
        </w:rPr>
        <w:lastRenderedPageBreak/>
        <w:t xml:space="preserve">Schedule </w:t>
      </w:r>
      <w:r w:rsidR="00307A45" w:rsidRPr="000316D4">
        <w:rPr>
          <w:rFonts w:ascii="Arial" w:hAnsi="Arial" w:cs="Arial"/>
          <w:b/>
          <w:caps/>
          <w:szCs w:val="24"/>
          <w:lang w:val="en-GB" w:eastAsia="en-CA"/>
        </w:rPr>
        <w:t>63.1</w:t>
      </w:r>
      <w:r w:rsidR="00307A45" w:rsidRPr="000316D4">
        <w:rPr>
          <w:rFonts w:ascii="Arial" w:hAnsi="Arial" w:cs="Arial"/>
          <w:b/>
          <w:caps/>
          <w:szCs w:val="24"/>
          <w:lang w:val="en-CA" w:eastAsia="en-CA"/>
        </w:rPr>
        <w:t> </w:t>
      </w:r>
    </w:p>
    <w:p w14:paraId="280BD410" w14:textId="7AB385C5" w:rsidR="004F14A4" w:rsidRPr="000316D4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68D327ED" w14:textId="46B1A325" w:rsidR="004F14A4" w:rsidRPr="000316D4" w:rsidRDefault="00307A45" w:rsidP="004F14A4">
      <w:pPr>
        <w:pStyle w:val="Header"/>
        <w:jc w:val="center"/>
        <w:rPr>
          <w:rFonts w:ascii="Arial" w:hAnsi="Arial" w:cs="Arial"/>
          <w:szCs w:val="24"/>
        </w:rPr>
      </w:pPr>
      <w:r w:rsidRPr="000316D4">
        <w:rPr>
          <w:rFonts w:ascii="Arial" w:hAnsi="Arial" w:cs="Arial"/>
          <w:i/>
          <w:szCs w:val="24"/>
        </w:rPr>
        <w:t>Livestock Community Sales Act</w:t>
      </w:r>
    </w:p>
    <w:p w14:paraId="04B93EA5" w14:textId="77777777" w:rsidR="00472328" w:rsidRPr="000316D4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4E4F6B" w:rsidRPr="000316D4" w14:paraId="48EEC095" w14:textId="1A60A2C3" w:rsidTr="004E4F6B">
        <w:trPr>
          <w:cantSplit/>
        </w:trPr>
        <w:tc>
          <w:tcPr>
            <w:tcW w:w="903" w:type="dxa"/>
          </w:tcPr>
          <w:p w14:paraId="17A8CE2E" w14:textId="77777777" w:rsidR="004E4F6B" w:rsidRPr="000316D4" w:rsidRDefault="004E4F6B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0316D4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4E4F6B" w:rsidRPr="000316D4" w:rsidRDefault="004E4F6B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0316D4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4E4F6B" w:rsidRPr="000316D4" w:rsidRDefault="004E4F6B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0316D4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4E4F6B" w:rsidRPr="000316D4" w:rsidRDefault="004E4F6B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0316D4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0850DD53" w14:textId="4082BB6E" w:rsidR="004E4F6B" w:rsidRPr="000316D4" w:rsidRDefault="004E4F6B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4E4F6B" w:rsidRPr="000316D4" w14:paraId="0481CD5C" w14:textId="21475B66" w:rsidTr="004E4F6B">
        <w:trPr>
          <w:cantSplit/>
          <w:trHeight w:val="215"/>
        </w:trPr>
        <w:tc>
          <w:tcPr>
            <w:tcW w:w="903" w:type="dxa"/>
          </w:tcPr>
          <w:p w14:paraId="0A5F02F4" w14:textId="5E5EEB3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766" w:type="dxa"/>
          </w:tcPr>
          <w:p w14:paraId="7A00F08D" w14:textId="1BE73447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Operate community sales without licence </w:t>
            </w:r>
          </w:p>
        </w:tc>
        <w:tc>
          <w:tcPr>
            <w:tcW w:w="2431" w:type="dxa"/>
          </w:tcPr>
          <w:p w14:paraId="11194DFB" w14:textId="0FCD3FD8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3 </w:t>
            </w:r>
          </w:p>
        </w:tc>
        <w:tc>
          <w:tcPr>
            <w:tcW w:w="1350" w:type="dxa"/>
          </w:tcPr>
          <w:p w14:paraId="12D15A4C" w14:textId="4A119D51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498A0BE8" w14:textId="02D4F69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396B95C3" w14:textId="4FF7916E" w:rsidTr="004E4F6B">
        <w:trPr>
          <w:cantSplit/>
        </w:trPr>
        <w:tc>
          <w:tcPr>
            <w:tcW w:w="903" w:type="dxa"/>
          </w:tcPr>
          <w:p w14:paraId="73BDAC38" w14:textId="7A71BFC4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766" w:type="dxa"/>
          </w:tcPr>
          <w:p w14:paraId="4E84CBA4" w14:textId="1AFC426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Hinder or obstruct Director </w:t>
            </w:r>
          </w:p>
        </w:tc>
        <w:tc>
          <w:tcPr>
            <w:tcW w:w="2431" w:type="dxa"/>
          </w:tcPr>
          <w:p w14:paraId="5785309D" w14:textId="5A8B6851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2BA6CF4D" w14:textId="201A4BA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6793141B" w14:textId="3F03EBD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17BAB1F3" w14:textId="10774646" w:rsidTr="004E4F6B">
        <w:trPr>
          <w:cantSplit/>
        </w:trPr>
        <w:tc>
          <w:tcPr>
            <w:tcW w:w="903" w:type="dxa"/>
          </w:tcPr>
          <w:p w14:paraId="686331B0" w14:textId="78D6C3E7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766" w:type="dxa"/>
          </w:tcPr>
          <w:p w14:paraId="407628F2" w14:textId="4426712D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Hinder or obstruct inspector </w:t>
            </w:r>
          </w:p>
        </w:tc>
        <w:tc>
          <w:tcPr>
            <w:tcW w:w="2431" w:type="dxa"/>
          </w:tcPr>
          <w:p w14:paraId="100D96FF" w14:textId="11D0AB6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74666842" w14:textId="5CACCB97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4ACFA593" w14:textId="147BAF24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203FB834" w14:textId="1B0FD072" w:rsidTr="004E4F6B">
        <w:trPr>
          <w:cantSplit/>
        </w:trPr>
        <w:tc>
          <w:tcPr>
            <w:tcW w:w="903" w:type="dxa"/>
          </w:tcPr>
          <w:p w14:paraId="4432172B" w14:textId="62265EF1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766" w:type="dxa"/>
          </w:tcPr>
          <w:p w14:paraId="50AFA509" w14:textId="4C3F047C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Refuse to permit Director to inspect </w:t>
            </w:r>
          </w:p>
        </w:tc>
        <w:tc>
          <w:tcPr>
            <w:tcW w:w="2431" w:type="dxa"/>
          </w:tcPr>
          <w:p w14:paraId="7D5B30FE" w14:textId="289BF65E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2E73819A" w14:textId="2906E56B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48BC694D" w14:textId="67FAB13F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1F209AEC" w14:textId="7F20782D" w:rsidTr="004E4F6B">
        <w:trPr>
          <w:cantSplit/>
        </w:trPr>
        <w:tc>
          <w:tcPr>
            <w:tcW w:w="903" w:type="dxa"/>
          </w:tcPr>
          <w:p w14:paraId="4BE37C4A" w14:textId="75151E4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766" w:type="dxa"/>
          </w:tcPr>
          <w:p w14:paraId="7123FF91" w14:textId="049BD3AE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Refuse to permit inspector to inspect </w:t>
            </w:r>
          </w:p>
        </w:tc>
        <w:tc>
          <w:tcPr>
            <w:tcW w:w="2431" w:type="dxa"/>
          </w:tcPr>
          <w:p w14:paraId="0D1051F8" w14:textId="691476C1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462546F9" w14:textId="31EC580F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1BAF41F2" w14:textId="176EAE6F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60087529" w14:textId="2D81B476" w:rsidTr="004E4F6B">
        <w:trPr>
          <w:cantSplit/>
        </w:trPr>
        <w:tc>
          <w:tcPr>
            <w:tcW w:w="903" w:type="dxa"/>
          </w:tcPr>
          <w:p w14:paraId="5403E93D" w14:textId="4637D573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4766" w:type="dxa"/>
          </w:tcPr>
          <w:p w14:paraId="3517ACD1" w14:textId="54E3C51E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Furnish Director with false information </w:t>
            </w:r>
          </w:p>
        </w:tc>
        <w:tc>
          <w:tcPr>
            <w:tcW w:w="2431" w:type="dxa"/>
          </w:tcPr>
          <w:p w14:paraId="684D97BA" w14:textId="410DE3D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03C2B78E" w14:textId="1FD0BD67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63F4DAA6" w14:textId="0C26850F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1CE6D368" w14:textId="4374EC98" w:rsidTr="004E4F6B">
        <w:trPr>
          <w:cantSplit/>
        </w:trPr>
        <w:tc>
          <w:tcPr>
            <w:tcW w:w="903" w:type="dxa"/>
          </w:tcPr>
          <w:p w14:paraId="522D9BED" w14:textId="5BF25D5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4766" w:type="dxa"/>
          </w:tcPr>
          <w:p w14:paraId="3AC3B57B" w14:textId="3C99EDE8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Furnish inspector with false information </w:t>
            </w:r>
          </w:p>
        </w:tc>
        <w:tc>
          <w:tcPr>
            <w:tcW w:w="2431" w:type="dxa"/>
          </w:tcPr>
          <w:p w14:paraId="0115F61F" w14:textId="7848B445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428FACD9" w14:textId="7B15DCF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77A55856" w14:textId="3CCB54C9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5177D743" w14:textId="1D3AC245" w:rsidTr="004E4F6B">
        <w:trPr>
          <w:cantSplit/>
        </w:trPr>
        <w:tc>
          <w:tcPr>
            <w:tcW w:w="903" w:type="dxa"/>
          </w:tcPr>
          <w:p w14:paraId="76948180" w14:textId="312C439A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4766" w:type="dxa"/>
          </w:tcPr>
          <w:p w14:paraId="3A390ABB" w14:textId="52CB7F5E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Refuse to furnish Director with information </w:t>
            </w:r>
          </w:p>
        </w:tc>
        <w:tc>
          <w:tcPr>
            <w:tcW w:w="2431" w:type="dxa"/>
          </w:tcPr>
          <w:p w14:paraId="395D6BE5" w14:textId="63E21F80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5001005D" w14:textId="5A01EB67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723BA19D" w14:textId="5F806FAB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4E4F6B" w:rsidRPr="000316D4" w14:paraId="3C4A0D04" w14:textId="74B3E7FD" w:rsidTr="004E4F6B">
        <w:trPr>
          <w:cantSplit/>
        </w:trPr>
        <w:tc>
          <w:tcPr>
            <w:tcW w:w="903" w:type="dxa"/>
          </w:tcPr>
          <w:p w14:paraId="53C1DEE7" w14:textId="23DB1EA2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4766" w:type="dxa"/>
          </w:tcPr>
          <w:p w14:paraId="4F913429" w14:textId="360C5243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Refuse to furnish inspector with information </w:t>
            </w:r>
          </w:p>
        </w:tc>
        <w:tc>
          <w:tcPr>
            <w:tcW w:w="2431" w:type="dxa"/>
          </w:tcPr>
          <w:p w14:paraId="108AE67C" w14:textId="11BC9468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 w:eastAsia="en-CA"/>
              </w:rPr>
              <w:t>section 17 </w:t>
            </w:r>
          </w:p>
        </w:tc>
        <w:tc>
          <w:tcPr>
            <w:tcW w:w="1350" w:type="dxa"/>
          </w:tcPr>
          <w:p w14:paraId="3BB8D181" w14:textId="12F5033C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0316D4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34D7BABD" w14:textId="5D48EC5B" w:rsidR="004E4F6B" w:rsidRPr="000316D4" w:rsidRDefault="004E4F6B" w:rsidP="004E4F6B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955912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0316D4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0316D4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0316D4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16D4"/>
    <w:rsid w:val="00033C95"/>
    <w:rsid w:val="00077B1B"/>
    <w:rsid w:val="000800E4"/>
    <w:rsid w:val="0009432D"/>
    <w:rsid w:val="001069E7"/>
    <w:rsid w:val="001071CE"/>
    <w:rsid w:val="00157F6E"/>
    <w:rsid w:val="0017268B"/>
    <w:rsid w:val="00193BB5"/>
    <w:rsid w:val="001A2AB4"/>
    <w:rsid w:val="001A44FD"/>
    <w:rsid w:val="001A6056"/>
    <w:rsid w:val="00210AC8"/>
    <w:rsid w:val="0028669F"/>
    <w:rsid w:val="0029229B"/>
    <w:rsid w:val="00294F32"/>
    <w:rsid w:val="002A1B3E"/>
    <w:rsid w:val="002B07F9"/>
    <w:rsid w:val="002C5724"/>
    <w:rsid w:val="00307A45"/>
    <w:rsid w:val="00341CD2"/>
    <w:rsid w:val="003A4EFD"/>
    <w:rsid w:val="003B41A4"/>
    <w:rsid w:val="00417393"/>
    <w:rsid w:val="00417D34"/>
    <w:rsid w:val="00472328"/>
    <w:rsid w:val="004D1E49"/>
    <w:rsid w:val="004E4F6B"/>
    <w:rsid w:val="004F14A4"/>
    <w:rsid w:val="0051591D"/>
    <w:rsid w:val="00522178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2070D"/>
    <w:rsid w:val="00745531"/>
    <w:rsid w:val="0077156E"/>
    <w:rsid w:val="00784801"/>
    <w:rsid w:val="007B01A9"/>
    <w:rsid w:val="007C0269"/>
    <w:rsid w:val="008D5F92"/>
    <w:rsid w:val="008F1BDE"/>
    <w:rsid w:val="00905416"/>
    <w:rsid w:val="00925599"/>
    <w:rsid w:val="00990CB2"/>
    <w:rsid w:val="009A0845"/>
    <w:rsid w:val="009A3B41"/>
    <w:rsid w:val="009D1CD5"/>
    <w:rsid w:val="00A16205"/>
    <w:rsid w:val="00A33024"/>
    <w:rsid w:val="00A865FE"/>
    <w:rsid w:val="00A95EE3"/>
    <w:rsid w:val="00AC53EF"/>
    <w:rsid w:val="00AE0904"/>
    <w:rsid w:val="00B2507C"/>
    <w:rsid w:val="00BE32E3"/>
    <w:rsid w:val="00CE4D38"/>
    <w:rsid w:val="00CF142F"/>
    <w:rsid w:val="00D13BF7"/>
    <w:rsid w:val="00D44E3B"/>
    <w:rsid w:val="00D95B5A"/>
    <w:rsid w:val="00DB467A"/>
    <w:rsid w:val="00DE1951"/>
    <w:rsid w:val="00DE2EEF"/>
    <w:rsid w:val="00E3126F"/>
    <w:rsid w:val="00E35ABF"/>
    <w:rsid w:val="00E81FCA"/>
    <w:rsid w:val="00EA430A"/>
    <w:rsid w:val="00EC4887"/>
    <w:rsid w:val="00F41491"/>
    <w:rsid w:val="00F70A0F"/>
    <w:rsid w:val="00FB70D5"/>
    <w:rsid w:val="00FC3F3A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2026-06-29T16:00:00Z</dcterms:created>
  <dcterms:modified xsi:type="dcterms:W3CDTF">2026-06-29T16:01:00Z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