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2D631D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2D631D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2D631D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2D631D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5869308E" w:rsidR="00FB70D5" w:rsidRPr="002D631D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2D631D">
        <w:rPr>
          <w:rFonts w:ascii="Arial" w:hAnsi="Arial" w:cs="Arial"/>
          <w:b/>
          <w:bCs/>
          <w:szCs w:val="24"/>
          <w:lang w:val="en-GB"/>
        </w:rPr>
        <w:t>IT IS ORDERED</w:t>
      </w:r>
      <w:r w:rsidRPr="002D631D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2D631D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2D631D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CD2B06">
        <w:rPr>
          <w:rFonts w:ascii="Arial" w:hAnsi="Arial" w:cs="Arial"/>
          <w:szCs w:val="24"/>
          <w:lang w:val="en-GB"/>
        </w:rPr>
        <w:t>4</w:t>
      </w:r>
      <w:r w:rsidR="00D75CD4">
        <w:rPr>
          <w:rFonts w:ascii="Arial" w:hAnsi="Arial" w:cs="Arial"/>
          <w:szCs w:val="24"/>
          <w:lang w:val="en-GB"/>
        </w:rPr>
        <w:t>4.1</w:t>
      </w:r>
      <w:r w:rsidRPr="002D631D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2D631D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2D631D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5D59218B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CD2B06">
        <w:rPr>
          <w:rFonts w:ascii="Arial" w:hAnsi="Arial" w:cs="Arial"/>
          <w:bCs/>
          <w:szCs w:val="24"/>
          <w:lang w:val="en-GB"/>
        </w:rPr>
        <w:t>July 1, 2026</w:t>
      </w:r>
      <w:r w:rsidRPr="002D631D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24A38A21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 xml:space="preserve">DATED at the </w:t>
      </w:r>
      <w:r w:rsidRPr="002D631D">
        <w:rPr>
          <w:rFonts w:ascii="Arial" w:hAnsi="Arial" w:cs="Arial"/>
          <w:szCs w:val="24"/>
          <w:lang w:val="en-GB"/>
        </w:rPr>
        <w:t xml:space="preserve">City of Toronto, Ontario, on </w:t>
      </w:r>
      <w:r w:rsidR="00286AC7">
        <w:rPr>
          <w:rFonts w:ascii="Arial" w:hAnsi="Arial" w:cs="Arial"/>
          <w:szCs w:val="24"/>
          <w:lang w:val="en-GB"/>
        </w:rPr>
        <w:t>June 25</w:t>
      </w:r>
      <w:r w:rsidR="00CD2B06">
        <w:rPr>
          <w:rFonts w:ascii="Arial" w:hAnsi="Arial" w:cs="Arial"/>
          <w:szCs w:val="24"/>
          <w:lang w:val="en-GB"/>
        </w:rPr>
        <w:t>, 2026</w:t>
      </w:r>
      <w:r w:rsidR="00B607E5">
        <w:rPr>
          <w:rFonts w:ascii="Arial" w:hAnsi="Arial" w:cs="Arial"/>
          <w:szCs w:val="24"/>
          <w:lang w:val="en-GB"/>
        </w:rPr>
        <w:t>.</w:t>
      </w:r>
    </w:p>
    <w:p w14:paraId="050397EE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94C3E">
        <w:rPr>
          <w:rFonts w:ascii="Arial" w:hAnsi="Arial" w:cs="Arial"/>
          <w:b/>
          <w:szCs w:val="24"/>
          <w:lang w:val="en-GB"/>
        </w:rPr>
        <w:t>Sharon Nicklas</w:t>
      </w:r>
      <w:r w:rsidRPr="002D631D">
        <w:rPr>
          <w:rFonts w:ascii="Arial" w:hAnsi="Arial" w:cs="Arial"/>
          <w:b/>
          <w:szCs w:val="24"/>
          <w:lang w:val="en-GB"/>
        </w:rPr>
        <w:t>, Chief Justice</w:t>
      </w:r>
    </w:p>
    <w:p w14:paraId="3C130F58" w14:textId="77777777" w:rsidR="00FB70D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FB70D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1B5F09E8" w14:textId="0FD5E01E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  <w:r w:rsidRPr="00812FAD">
        <w:rPr>
          <w:rFonts w:ascii="Arial" w:hAnsi="Arial" w:cs="Arial"/>
          <w:b/>
          <w:szCs w:val="24"/>
        </w:rPr>
        <w:lastRenderedPageBreak/>
        <w:t xml:space="preserve">Schedule </w:t>
      </w:r>
      <w:r w:rsidR="00CD2B06">
        <w:rPr>
          <w:rFonts w:ascii="Arial" w:hAnsi="Arial" w:cs="Arial"/>
          <w:b/>
          <w:szCs w:val="24"/>
        </w:rPr>
        <w:t>4</w:t>
      </w:r>
      <w:r w:rsidR="00D75CD4">
        <w:rPr>
          <w:rFonts w:ascii="Arial" w:hAnsi="Arial" w:cs="Arial"/>
          <w:b/>
          <w:szCs w:val="24"/>
        </w:rPr>
        <w:t>4.1</w:t>
      </w:r>
    </w:p>
    <w:p w14:paraId="280BD410" w14:textId="77777777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04B93EA5" w14:textId="73303F58" w:rsidR="00472328" w:rsidRDefault="00D75CD4" w:rsidP="00472328">
      <w:pPr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Cs/>
          <w:szCs w:val="24"/>
        </w:rPr>
        <w:t>Ontario Regulation 424/97</w:t>
      </w:r>
      <w:r w:rsidR="00C249F4">
        <w:rPr>
          <w:rFonts w:ascii="Arial" w:hAnsi="Arial" w:cs="Arial"/>
          <w:iCs/>
          <w:szCs w:val="24"/>
        </w:rPr>
        <w:t xml:space="preserve"> under the</w:t>
      </w:r>
      <w:r w:rsidR="00F6223A">
        <w:rPr>
          <w:rFonts w:ascii="Arial" w:hAnsi="Arial" w:cs="Arial"/>
          <w:iCs/>
          <w:szCs w:val="24"/>
        </w:rPr>
        <w:t xml:space="preserve"> </w:t>
      </w:r>
      <w:r w:rsidR="00CD2B06">
        <w:rPr>
          <w:rFonts w:ascii="Arial" w:hAnsi="Arial" w:cs="Arial"/>
          <w:i/>
          <w:szCs w:val="24"/>
        </w:rPr>
        <w:t>Highway Traffic Act</w:t>
      </w:r>
    </w:p>
    <w:p w14:paraId="74DA55AC" w14:textId="77777777" w:rsidR="006C5F60" w:rsidRPr="00E35ABF" w:rsidRDefault="006C5F60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DD34A7" w:rsidRPr="00CD2B06" w14:paraId="48EEC095" w14:textId="6250174B" w:rsidTr="00DD34A7">
        <w:trPr>
          <w:cantSplit/>
        </w:trPr>
        <w:tc>
          <w:tcPr>
            <w:tcW w:w="903" w:type="dxa"/>
          </w:tcPr>
          <w:p w14:paraId="17A8CE2E" w14:textId="77777777" w:rsidR="00DD34A7" w:rsidRPr="00CD2B06" w:rsidRDefault="00DD34A7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DD34A7" w:rsidRPr="00CD2B06" w:rsidRDefault="00DD34A7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DD34A7" w:rsidRPr="00CD2B06" w:rsidRDefault="00DD34A7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DD34A7" w:rsidRPr="00CD2B06" w:rsidRDefault="00DD34A7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359A8D96" w14:textId="46EFBCA5" w:rsidR="00DD34A7" w:rsidRPr="00CD2B06" w:rsidRDefault="00DD34A7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DD34A7" w:rsidRPr="00CD2B06" w14:paraId="038216CC" w14:textId="05367835" w:rsidTr="00DD34A7">
        <w:trPr>
          <w:cantSplit/>
        </w:trPr>
        <w:tc>
          <w:tcPr>
            <w:tcW w:w="903" w:type="dxa"/>
          </w:tcPr>
          <w:p w14:paraId="584AAF84" w14:textId="6153FC06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363027">
              <w:rPr>
                <w:rFonts w:ascii="Arial" w:hAnsi="Arial" w:cs="Arial"/>
                <w:color w:val="1A1A1A"/>
              </w:rPr>
              <w:t>1.</w:t>
            </w:r>
          </w:p>
        </w:tc>
        <w:tc>
          <w:tcPr>
            <w:tcW w:w="4766" w:type="dxa"/>
          </w:tcPr>
          <w:p w14:paraId="443C5097" w14:textId="6DF851F0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63027">
              <w:rPr>
                <w:rFonts w:ascii="Arial" w:hAnsi="Arial" w:cs="Arial"/>
                <w:color w:val="1A1A1A"/>
              </w:rPr>
              <w:t>Fail to notify of change of CVOR holder’s name</w:t>
            </w:r>
          </w:p>
        </w:tc>
        <w:tc>
          <w:tcPr>
            <w:tcW w:w="2431" w:type="dxa"/>
          </w:tcPr>
          <w:p w14:paraId="58EC9170" w14:textId="6A6C4345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63027">
              <w:rPr>
                <w:rFonts w:ascii="Arial" w:hAnsi="Arial" w:cs="Arial"/>
                <w:color w:val="1A1A1A"/>
              </w:rPr>
              <w:t>section 6.1</w:t>
            </w:r>
          </w:p>
        </w:tc>
        <w:tc>
          <w:tcPr>
            <w:tcW w:w="1350" w:type="dxa"/>
          </w:tcPr>
          <w:p w14:paraId="069454B3" w14:textId="1443D61F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363027">
              <w:rPr>
                <w:rFonts w:ascii="Arial" w:hAnsi="Arial" w:cs="Arial"/>
                <w:bCs/>
                <w:spacing w:val="-3"/>
                <w:szCs w:val="24"/>
              </w:rPr>
              <w:t>$175.00</w:t>
            </w:r>
          </w:p>
        </w:tc>
        <w:tc>
          <w:tcPr>
            <w:tcW w:w="1350" w:type="dxa"/>
          </w:tcPr>
          <w:p w14:paraId="15AE2C06" w14:textId="08B022F2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>
              <w:rPr>
                <w:rFonts w:ascii="Arial" w:hAnsi="Arial" w:cs="Arial"/>
                <w:bCs/>
                <w:spacing w:val="-3"/>
                <w:szCs w:val="24"/>
              </w:rPr>
              <w:t>NEW</w:t>
            </w:r>
          </w:p>
        </w:tc>
      </w:tr>
      <w:tr w:rsidR="00DD34A7" w:rsidRPr="00CD2B06" w14:paraId="3873C946" w14:textId="55DBA072" w:rsidTr="00DD34A7">
        <w:trPr>
          <w:cantSplit/>
        </w:trPr>
        <w:tc>
          <w:tcPr>
            <w:tcW w:w="903" w:type="dxa"/>
          </w:tcPr>
          <w:p w14:paraId="09E70D55" w14:textId="60193F96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363027">
              <w:rPr>
                <w:rFonts w:ascii="Arial" w:hAnsi="Arial" w:cs="Arial"/>
                <w:color w:val="1A1A1A"/>
              </w:rPr>
              <w:t>2.</w:t>
            </w:r>
          </w:p>
        </w:tc>
        <w:tc>
          <w:tcPr>
            <w:tcW w:w="4766" w:type="dxa"/>
          </w:tcPr>
          <w:p w14:paraId="7FF72BE6" w14:textId="43A941D2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63027">
              <w:rPr>
                <w:rFonts w:ascii="Arial" w:hAnsi="Arial" w:cs="Arial"/>
                <w:color w:val="1A1A1A"/>
              </w:rPr>
              <w:t>Fail to notify of change of CVOR holder’s address</w:t>
            </w:r>
          </w:p>
        </w:tc>
        <w:tc>
          <w:tcPr>
            <w:tcW w:w="2431" w:type="dxa"/>
          </w:tcPr>
          <w:p w14:paraId="485C1555" w14:textId="4F4EF772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63027">
              <w:rPr>
                <w:rFonts w:ascii="Arial" w:hAnsi="Arial" w:cs="Arial"/>
                <w:color w:val="1A1A1A"/>
              </w:rPr>
              <w:t>section 6.1</w:t>
            </w:r>
          </w:p>
        </w:tc>
        <w:tc>
          <w:tcPr>
            <w:tcW w:w="1350" w:type="dxa"/>
          </w:tcPr>
          <w:p w14:paraId="0FAB449C" w14:textId="2CDB15EB" w:rsidR="00DD34A7" w:rsidRPr="00CD2B06" w:rsidRDefault="00DD34A7" w:rsidP="0036302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63027">
              <w:rPr>
                <w:rFonts w:ascii="Arial" w:hAnsi="Arial" w:cs="Arial"/>
                <w:bCs/>
                <w:spacing w:val="-3"/>
                <w:szCs w:val="24"/>
              </w:rPr>
              <w:t>$175.00</w:t>
            </w:r>
          </w:p>
        </w:tc>
        <w:tc>
          <w:tcPr>
            <w:tcW w:w="1350" w:type="dxa"/>
          </w:tcPr>
          <w:p w14:paraId="65A70D14" w14:textId="7E1C3497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>
              <w:rPr>
                <w:rFonts w:ascii="Arial" w:hAnsi="Arial" w:cs="Arial"/>
                <w:bCs/>
                <w:spacing w:val="-3"/>
                <w:szCs w:val="24"/>
              </w:rPr>
              <w:t>NEW</w:t>
            </w:r>
          </w:p>
        </w:tc>
      </w:tr>
      <w:tr w:rsidR="00DD34A7" w:rsidRPr="00CD2B06" w14:paraId="42F6B69A" w14:textId="54ADA609" w:rsidTr="00DD34A7">
        <w:trPr>
          <w:cantSplit/>
        </w:trPr>
        <w:tc>
          <w:tcPr>
            <w:tcW w:w="903" w:type="dxa"/>
          </w:tcPr>
          <w:p w14:paraId="451E745F" w14:textId="408094A6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363027">
              <w:rPr>
                <w:rFonts w:ascii="Arial" w:hAnsi="Arial" w:cs="Arial"/>
                <w:color w:val="1A1A1A"/>
              </w:rPr>
              <w:t>3.</w:t>
            </w:r>
          </w:p>
        </w:tc>
        <w:tc>
          <w:tcPr>
            <w:tcW w:w="4766" w:type="dxa"/>
          </w:tcPr>
          <w:p w14:paraId="3C632B4A" w14:textId="1FD375C1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63027">
              <w:rPr>
                <w:rFonts w:ascii="Arial" w:hAnsi="Arial" w:cs="Arial"/>
                <w:color w:val="1A1A1A"/>
              </w:rPr>
              <w:t>Fail to notify of change of CVOR holder’s officers or directors</w:t>
            </w:r>
          </w:p>
        </w:tc>
        <w:tc>
          <w:tcPr>
            <w:tcW w:w="2431" w:type="dxa"/>
          </w:tcPr>
          <w:p w14:paraId="43809A5D" w14:textId="0E59319A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63027">
              <w:rPr>
                <w:rFonts w:ascii="Arial" w:hAnsi="Arial" w:cs="Arial"/>
                <w:color w:val="1A1A1A"/>
              </w:rPr>
              <w:t>section 6.1</w:t>
            </w:r>
          </w:p>
        </w:tc>
        <w:tc>
          <w:tcPr>
            <w:tcW w:w="1350" w:type="dxa"/>
          </w:tcPr>
          <w:p w14:paraId="37AEAB84" w14:textId="6BE4A5C5" w:rsidR="00DD34A7" w:rsidRPr="00CD2B06" w:rsidRDefault="00DD34A7" w:rsidP="00363027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363027">
              <w:rPr>
                <w:rFonts w:ascii="Arial" w:hAnsi="Arial" w:cs="Arial"/>
                <w:bCs/>
                <w:spacing w:val="-3"/>
                <w:szCs w:val="24"/>
              </w:rPr>
              <w:t>$175.00</w:t>
            </w:r>
          </w:p>
        </w:tc>
        <w:tc>
          <w:tcPr>
            <w:tcW w:w="1350" w:type="dxa"/>
          </w:tcPr>
          <w:p w14:paraId="24C78515" w14:textId="01E54C48" w:rsidR="00DD34A7" w:rsidRPr="00363027" w:rsidRDefault="00DD34A7" w:rsidP="00363027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>
              <w:rPr>
                <w:rFonts w:ascii="Arial" w:hAnsi="Arial" w:cs="Arial"/>
                <w:bCs/>
                <w:spacing w:val="-3"/>
                <w:szCs w:val="24"/>
              </w:rPr>
              <w:t>NEW</w:t>
            </w:r>
          </w:p>
        </w:tc>
      </w:tr>
    </w:tbl>
    <w:p w14:paraId="4AC0D312" w14:textId="77777777" w:rsidR="0062723F" w:rsidRPr="00E35ABF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E35AB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04C6"/>
    <w:rsid w:val="000123D4"/>
    <w:rsid w:val="00033C95"/>
    <w:rsid w:val="00077B1B"/>
    <w:rsid w:val="0009432D"/>
    <w:rsid w:val="001071CE"/>
    <w:rsid w:val="00157F6E"/>
    <w:rsid w:val="0017268B"/>
    <w:rsid w:val="00193BB5"/>
    <w:rsid w:val="001A2AB4"/>
    <w:rsid w:val="001A44FD"/>
    <w:rsid w:val="001A6056"/>
    <w:rsid w:val="00274A79"/>
    <w:rsid w:val="0028669F"/>
    <w:rsid w:val="00286AC7"/>
    <w:rsid w:val="0029229B"/>
    <w:rsid w:val="00294F32"/>
    <w:rsid w:val="002B07F9"/>
    <w:rsid w:val="003233B6"/>
    <w:rsid w:val="00341CD2"/>
    <w:rsid w:val="00363027"/>
    <w:rsid w:val="003A4EFD"/>
    <w:rsid w:val="003B41A4"/>
    <w:rsid w:val="00417393"/>
    <w:rsid w:val="00417D34"/>
    <w:rsid w:val="00472328"/>
    <w:rsid w:val="004A369C"/>
    <w:rsid w:val="004F14A4"/>
    <w:rsid w:val="005013B1"/>
    <w:rsid w:val="00513BBB"/>
    <w:rsid w:val="0051591D"/>
    <w:rsid w:val="00542508"/>
    <w:rsid w:val="00551C7A"/>
    <w:rsid w:val="005915DC"/>
    <w:rsid w:val="005B02D9"/>
    <w:rsid w:val="005B3450"/>
    <w:rsid w:val="005B3A38"/>
    <w:rsid w:val="005C36CF"/>
    <w:rsid w:val="00601007"/>
    <w:rsid w:val="0061398A"/>
    <w:rsid w:val="0062723F"/>
    <w:rsid w:val="006512C1"/>
    <w:rsid w:val="00651F18"/>
    <w:rsid w:val="006A658F"/>
    <w:rsid w:val="006B1AFA"/>
    <w:rsid w:val="006C5F60"/>
    <w:rsid w:val="006D51FE"/>
    <w:rsid w:val="006F0079"/>
    <w:rsid w:val="006F3919"/>
    <w:rsid w:val="00727107"/>
    <w:rsid w:val="00745531"/>
    <w:rsid w:val="0077156E"/>
    <w:rsid w:val="00784801"/>
    <w:rsid w:val="007B01A9"/>
    <w:rsid w:val="007C0269"/>
    <w:rsid w:val="00846605"/>
    <w:rsid w:val="008D5F92"/>
    <w:rsid w:val="008F1BDE"/>
    <w:rsid w:val="00905416"/>
    <w:rsid w:val="00925599"/>
    <w:rsid w:val="00990CB2"/>
    <w:rsid w:val="009A0845"/>
    <w:rsid w:val="009A3B41"/>
    <w:rsid w:val="009D1CD5"/>
    <w:rsid w:val="009D282D"/>
    <w:rsid w:val="00A16205"/>
    <w:rsid w:val="00A33024"/>
    <w:rsid w:val="00A95EE3"/>
    <w:rsid w:val="00AC53EF"/>
    <w:rsid w:val="00AD1204"/>
    <w:rsid w:val="00AE0904"/>
    <w:rsid w:val="00AF3085"/>
    <w:rsid w:val="00B2507C"/>
    <w:rsid w:val="00B607E5"/>
    <w:rsid w:val="00BC116E"/>
    <w:rsid w:val="00BE2A82"/>
    <w:rsid w:val="00BE32E3"/>
    <w:rsid w:val="00C249F4"/>
    <w:rsid w:val="00C9009A"/>
    <w:rsid w:val="00CD2B06"/>
    <w:rsid w:val="00CE4D38"/>
    <w:rsid w:val="00CF142F"/>
    <w:rsid w:val="00D13BF7"/>
    <w:rsid w:val="00D44E3B"/>
    <w:rsid w:val="00D75CD4"/>
    <w:rsid w:val="00DD34A7"/>
    <w:rsid w:val="00DE1951"/>
    <w:rsid w:val="00DE2EEF"/>
    <w:rsid w:val="00DF700E"/>
    <w:rsid w:val="00E3126F"/>
    <w:rsid w:val="00E35ABF"/>
    <w:rsid w:val="00E81FCA"/>
    <w:rsid w:val="00EA430A"/>
    <w:rsid w:val="00F6223A"/>
    <w:rsid w:val="00F70A0F"/>
    <w:rsid w:val="00FA71C8"/>
    <w:rsid w:val="00FB70D5"/>
    <w:rsid w:val="00FC3F3A"/>
    <w:rsid w:val="00FD068D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5</cp:revision>
  <cp:lastPrinted>2026-05-15T14:13:00Z</cp:lastPrinted>
  <dcterms:created xsi:type="dcterms:W3CDTF">2026-06-22T20:15:00Z</dcterms:created>
  <dcterms:modified xsi:type="dcterms:W3CDTF">2026-06-25T16:59:00Z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