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946F8B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946F8B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946F8B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946F8B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946F8B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946F8B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946F8B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946F8B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02D57F34" w:rsidR="00FB70D5" w:rsidRPr="00946F8B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946F8B">
        <w:rPr>
          <w:rFonts w:ascii="Arial" w:hAnsi="Arial" w:cs="Arial"/>
          <w:b/>
          <w:bCs/>
          <w:szCs w:val="24"/>
          <w:lang w:val="en-GB"/>
        </w:rPr>
        <w:t>IT IS ORDERED</w:t>
      </w:r>
      <w:r w:rsidRPr="00946F8B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946F8B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946F8B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B50737" w:rsidRPr="00946F8B">
        <w:rPr>
          <w:rFonts w:ascii="Arial" w:hAnsi="Arial" w:cs="Arial"/>
          <w:szCs w:val="24"/>
          <w:lang w:val="en-GB"/>
        </w:rPr>
        <w:t>17.10.</w:t>
      </w:r>
      <w:r w:rsidR="002B1F5F" w:rsidRPr="00946F8B">
        <w:rPr>
          <w:rFonts w:ascii="Arial" w:hAnsi="Arial" w:cs="Arial"/>
          <w:szCs w:val="24"/>
          <w:lang w:val="en-GB"/>
        </w:rPr>
        <w:t>2</w:t>
      </w:r>
      <w:r w:rsidR="00A86211" w:rsidRPr="00946F8B">
        <w:rPr>
          <w:rFonts w:ascii="Arial" w:hAnsi="Arial" w:cs="Arial"/>
          <w:szCs w:val="24"/>
          <w:lang w:val="en-GB"/>
        </w:rPr>
        <w:t xml:space="preserve"> </w:t>
      </w:r>
      <w:r w:rsidRPr="00946F8B">
        <w:rPr>
          <w:rFonts w:ascii="Arial" w:hAnsi="Arial" w:cs="Arial"/>
          <w:szCs w:val="24"/>
          <w:lang w:val="en-GB"/>
        </w:rPr>
        <w:t>under the Provincial Statutes and Regulations there</w:t>
      </w:r>
      <w:r w:rsidRPr="00946F8B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946F8B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946F8B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946F8B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946F8B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28E3499A" w:rsidR="00FB70D5" w:rsidRPr="00946F8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946F8B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A86211" w:rsidRPr="00946F8B">
        <w:rPr>
          <w:rFonts w:ascii="Arial" w:hAnsi="Arial" w:cs="Arial"/>
          <w:bCs/>
          <w:szCs w:val="24"/>
          <w:lang w:val="en-GB"/>
        </w:rPr>
        <w:t>July 1</w:t>
      </w:r>
      <w:r w:rsidR="001071CE" w:rsidRPr="00946F8B">
        <w:rPr>
          <w:rFonts w:ascii="Arial" w:hAnsi="Arial" w:cs="Arial"/>
          <w:bCs/>
          <w:szCs w:val="24"/>
          <w:lang w:val="en-GB"/>
        </w:rPr>
        <w:t>, 2026</w:t>
      </w:r>
      <w:r w:rsidRPr="00946F8B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946F8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946F8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946F8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946F8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531C4778" w:rsidR="00FB70D5" w:rsidRPr="00946F8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946F8B">
        <w:rPr>
          <w:rFonts w:ascii="Arial" w:hAnsi="Arial" w:cs="Arial"/>
          <w:b/>
          <w:szCs w:val="24"/>
          <w:lang w:val="en-GB"/>
        </w:rPr>
        <w:t xml:space="preserve">DATED at the </w:t>
      </w:r>
      <w:r w:rsidRPr="00946F8B">
        <w:rPr>
          <w:rFonts w:ascii="Arial" w:hAnsi="Arial" w:cs="Arial"/>
          <w:szCs w:val="24"/>
          <w:lang w:val="en-GB"/>
        </w:rPr>
        <w:t xml:space="preserve">City of Toronto, Ontario, on </w:t>
      </w:r>
      <w:r w:rsidR="004316A6">
        <w:rPr>
          <w:rFonts w:ascii="Arial" w:hAnsi="Arial" w:cs="Arial"/>
          <w:szCs w:val="24"/>
          <w:lang w:val="en-GB"/>
        </w:rPr>
        <w:t>June 25</w:t>
      </w:r>
      <w:r w:rsidR="001071CE" w:rsidRPr="00946F8B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946F8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946F8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946F8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946F8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946F8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946F8B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946F8B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946F8B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946F8B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946F8B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946F8B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946F8B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946F8B">
        <w:rPr>
          <w:rFonts w:ascii="Arial" w:hAnsi="Arial" w:cs="Arial"/>
          <w:b/>
          <w:szCs w:val="24"/>
          <w:lang w:val="en-GB"/>
        </w:rPr>
        <w:br w:type="page"/>
      </w:r>
    </w:p>
    <w:p w14:paraId="2F3387D9" w14:textId="14AD2FF3" w:rsidR="00B50737" w:rsidRPr="00946F8B" w:rsidRDefault="004F14A4" w:rsidP="00B50737">
      <w:pPr>
        <w:pStyle w:val="Header"/>
        <w:jc w:val="center"/>
        <w:rPr>
          <w:rFonts w:ascii="Arial" w:hAnsi="Arial" w:cs="Arial"/>
          <w:b/>
          <w:szCs w:val="24"/>
        </w:rPr>
      </w:pPr>
      <w:r w:rsidRPr="00946F8B">
        <w:rPr>
          <w:rFonts w:ascii="Arial" w:hAnsi="Arial" w:cs="Arial"/>
          <w:b/>
          <w:szCs w:val="24"/>
        </w:rPr>
        <w:lastRenderedPageBreak/>
        <w:t xml:space="preserve">Schedule </w:t>
      </w:r>
      <w:r w:rsidR="00B50737" w:rsidRPr="00946F8B">
        <w:rPr>
          <w:rFonts w:ascii="Arial" w:hAnsi="Arial" w:cs="Arial"/>
          <w:b/>
          <w:szCs w:val="24"/>
        </w:rPr>
        <w:t>17.10.</w:t>
      </w:r>
      <w:r w:rsidR="002B1F5F" w:rsidRPr="00946F8B">
        <w:rPr>
          <w:rFonts w:ascii="Arial" w:hAnsi="Arial" w:cs="Arial"/>
          <w:b/>
          <w:szCs w:val="24"/>
        </w:rPr>
        <w:t>2</w:t>
      </w:r>
    </w:p>
    <w:p w14:paraId="33D6F30F" w14:textId="5DEEDA24" w:rsidR="00B50737" w:rsidRPr="00946F8B" w:rsidRDefault="00B50737" w:rsidP="00B50737">
      <w:pPr>
        <w:pStyle w:val="Header"/>
        <w:jc w:val="center"/>
        <w:rPr>
          <w:rFonts w:ascii="Arial" w:hAnsi="Arial" w:cs="Arial"/>
          <w:b/>
          <w:szCs w:val="24"/>
        </w:rPr>
      </w:pPr>
      <w:r w:rsidRPr="00946F8B">
        <w:rPr>
          <w:rFonts w:ascii="Arial" w:hAnsi="Arial" w:cs="Arial"/>
          <w:b/>
          <w:szCs w:val="24"/>
        </w:rPr>
        <w:t xml:space="preserve"> </w:t>
      </w:r>
    </w:p>
    <w:p w14:paraId="061546EF" w14:textId="6F4BA965" w:rsidR="00B50737" w:rsidRPr="00946F8B" w:rsidRDefault="002B1F5F" w:rsidP="00B50737">
      <w:pPr>
        <w:pStyle w:val="Header"/>
        <w:jc w:val="center"/>
        <w:rPr>
          <w:rFonts w:ascii="Arial" w:hAnsi="Arial" w:cs="Arial"/>
          <w:bCs/>
          <w:i/>
          <w:iCs/>
          <w:szCs w:val="24"/>
        </w:rPr>
      </w:pPr>
      <w:r w:rsidRPr="00946F8B">
        <w:rPr>
          <w:rFonts w:ascii="Arial" w:hAnsi="Arial" w:cs="Arial"/>
          <w:bCs/>
          <w:szCs w:val="24"/>
        </w:rPr>
        <w:t>Ontario Regulation 105/09 made under the</w:t>
      </w:r>
      <w:r w:rsidRPr="00946F8B">
        <w:rPr>
          <w:rFonts w:ascii="Arial" w:hAnsi="Arial" w:cs="Arial"/>
          <w:bCs/>
          <w:i/>
          <w:iCs/>
          <w:szCs w:val="24"/>
        </w:rPr>
        <w:t xml:space="preserve"> Food Safety and Quality Act, 2001</w:t>
      </w:r>
    </w:p>
    <w:p w14:paraId="72E5E469" w14:textId="77777777" w:rsidR="002B1F5F" w:rsidRPr="00946F8B" w:rsidRDefault="002B1F5F" w:rsidP="00B50737">
      <w:pPr>
        <w:pStyle w:val="Header"/>
        <w:jc w:val="center"/>
        <w:rPr>
          <w:rFonts w:ascii="Arial" w:hAnsi="Arial" w:cs="Arial"/>
          <w:bCs/>
          <w:i/>
          <w:iCs/>
          <w:szCs w:val="24"/>
        </w:rPr>
      </w:pPr>
    </w:p>
    <w:tbl>
      <w:tblPr>
        <w:tblW w:w="10800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4864"/>
        <w:gridCol w:w="2431"/>
        <w:gridCol w:w="1350"/>
        <w:gridCol w:w="1350"/>
      </w:tblGrid>
      <w:tr w:rsidR="00C246A4" w:rsidRPr="00946F8B" w14:paraId="48EEC095" w14:textId="72D1F570" w:rsidTr="00C246A4">
        <w:trPr>
          <w:cantSplit/>
        </w:trPr>
        <w:tc>
          <w:tcPr>
            <w:tcW w:w="805" w:type="dxa"/>
          </w:tcPr>
          <w:p w14:paraId="17A8CE2E" w14:textId="77777777" w:rsidR="00C246A4" w:rsidRPr="00946F8B" w:rsidRDefault="00C246A4" w:rsidP="00F46C2E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46F8B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864" w:type="dxa"/>
          </w:tcPr>
          <w:p w14:paraId="41FA851D" w14:textId="77777777" w:rsidR="00C246A4" w:rsidRPr="00946F8B" w:rsidRDefault="00C246A4" w:rsidP="00F46C2E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46F8B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C246A4" w:rsidRPr="00946F8B" w:rsidRDefault="00C246A4" w:rsidP="00F46C2E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46F8B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C246A4" w:rsidRPr="00946F8B" w:rsidRDefault="00C246A4" w:rsidP="00F46C2E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46F8B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7BC1CC5C" w14:textId="766D9C63" w:rsidR="00C246A4" w:rsidRPr="00946F8B" w:rsidRDefault="00C246A4" w:rsidP="00F46C2E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C246A4" w:rsidRPr="00946F8B" w14:paraId="0481CD5C" w14:textId="54C9DD3B" w:rsidTr="00C246A4">
        <w:trPr>
          <w:cantSplit/>
          <w:trHeight w:val="215"/>
        </w:trPr>
        <w:tc>
          <w:tcPr>
            <w:tcW w:w="805" w:type="dxa"/>
          </w:tcPr>
          <w:p w14:paraId="0A5F02F4" w14:textId="399946EC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1.</w:t>
            </w:r>
          </w:p>
        </w:tc>
        <w:tc>
          <w:tcPr>
            <w:tcW w:w="4864" w:type="dxa"/>
          </w:tcPr>
          <w:p w14:paraId="7A00F08D" w14:textId="01256BE3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 w:eastAsia="en-CA"/>
              </w:rPr>
              <w:t>Transport regulated dead animals on public highway without being authorized to do so </w:t>
            </w:r>
          </w:p>
        </w:tc>
        <w:tc>
          <w:tcPr>
            <w:tcW w:w="2431" w:type="dxa"/>
          </w:tcPr>
          <w:p w14:paraId="11194DFB" w14:textId="13A88616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GB" w:eastAsia="en-CA"/>
              </w:rPr>
              <w:t>subsection 13 (1)</w:t>
            </w:r>
            <w:r w:rsidRPr="00946F8B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1350" w:type="dxa"/>
          </w:tcPr>
          <w:p w14:paraId="12D15A4C" w14:textId="670DFE96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5F390B5B" w14:textId="32B4FAAA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3C56A1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246A4" w:rsidRPr="00946F8B" w14:paraId="396B95C3" w14:textId="2A75839E" w:rsidTr="00C246A4">
        <w:trPr>
          <w:cantSplit/>
        </w:trPr>
        <w:tc>
          <w:tcPr>
            <w:tcW w:w="805" w:type="dxa"/>
          </w:tcPr>
          <w:p w14:paraId="73BDAC38" w14:textId="647A869E" w:rsidR="00C246A4" w:rsidRPr="00946F8B" w:rsidRDefault="00C246A4" w:rsidP="00C246A4">
            <w:pPr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2.</w:t>
            </w:r>
          </w:p>
        </w:tc>
        <w:tc>
          <w:tcPr>
            <w:tcW w:w="4864" w:type="dxa"/>
          </w:tcPr>
          <w:p w14:paraId="4E84CBA4" w14:textId="238EF733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 w:eastAsia="en-CA"/>
              </w:rPr>
              <w:t>Transport cured compost on public highway without being authorized to do so </w:t>
            </w:r>
          </w:p>
        </w:tc>
        <w:tc>
          <w:tcPr>
            <w:tcW w:w="2431" w:type="dxa"/>
          </w:tcPr>
          <w:p w14:paraId="5785309D" w14:textId="3EAE34CC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GB" w:eastAsia="en-CA"/>
              </w:rPr>
              <w:t>subsection 13 (1)</w:t>
            </w:r>
            <w:r w:rsidRPr="00946F8B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1350" w:type="dxa"/>
          </w:tcPr>
          <w:p w14:paraId="2BA6CF4D" w14:textId="5C535C47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79470AE7" w14:textId="64011E54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3C56A1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246A4" w:rsidRPr="00946F8B" w14:paraId="17BAB1F3" w14:textId="357A3D33" w:rsidTr="00C246A4">
        <w:trPr>
          <w:cantSplit/>
        </w:trPr>
        <w:tc>
          <w:tcPr>
            <w:tcW w:w="805" w:type="dxa"/>
          </w:tcPr>
          <w:p w14:paraId="686331B0" w14:textId="4B8B5408" w:rsidR="00C246A4" w:rsidRPr="00946F8B" w:rsidRDefault="00C246A4" w:rsidP="00C246A4">
            <w:pPr>
              <w:rPr>
                <w:rFonts w:ascii="Arial" w:hAnsi="Arial" w:cs="Arial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3.</w:t>
            </w:r>
          </w:p>
        </w:tc>
        <w:tc>
          <w:tcPr>
            <w:tcW w:w="4864" w:type="dxa"/>
          </w:tcPr>
          <w:p w14:paraId="407628F2" w14:textId="1A48B122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 w:eastAsia="en-CA"/>
              </w:rPr>
              <w:t>Transport composting material on public highway without being a licensed collector</w:t>
            </w:r>
          </w:p>
        </w:tc>
        <w:tc>
          <w:tcPr>
            <w:tcW w:w="2431" w:type="dxa"/>
          </w:tcPr>
          <w:p w14:paraId="100D96FF" w14:textId="13B0AE12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946F8B">
              <w:rPr>
                <w:rFonts w:ascii="Arial" w:hAnsi="Arial" w:cs="Arial"/>
                <w:szCs w:val="24"/>
                <w:lang w:val="en-GB" w:eastAsia="en-CA"/>
              </w:rPr>
              <w:t>subsection 13 (1)</w:t>
            </w:r>
            <w:r w:rsidRPr="00946F8B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1350" w:type="dxa"/>
          </w:tcPr>
          <w:p w14:paraId="74666842" w14:textId="7637BC35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2D8A9BFB" w14:textId="19F55CCD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3C56A1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246A4" w:rsidRPr="00946F8B" w14:paraId="203FB834" w14:textId="398EA67B" w:rsidTr="00C246A4">
        <w:trPr>
          <w:cantSplit/>
        </w:trPr>
        <w:tc>
          <w:tcPr>
            <w:tcW w:w="805" w:type="dxa"/>
          </w:tcPr>
          <w:p w14:paraId="4432172B" w14:textId="3B23A1AE" w:rsidR="00C246A4" w:rsidRPr="00946F8B" w:rsidRDefault="00C246A4" w:rsidP="00C246A4">
            <w:pPr>
              <w:rPr>
                <w:rFonts w:ascii="Arial" w:hAnsi="Arial" w:cs="Arial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4.</w:t>
            </w:r>
          </w:p>
        </w:tc>
        <w:tc>
          <w:tcPr>
            <w:tcW w:w="4864" w:type="dxa"/>
          </w:tcPr>
          <w:p w14:paraId="50AFA509" w14:textId="724E27BC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 w:eastAsia="en-CA"/>
              </w:rPr>
              <w:t>Operate premises where salvaging facility licensed activities are carried out without a licence </w:t>
            </w:r>
          </w:p>
        </w:tc>
        <w:tc>
          <w:tcPr>
            <w:tcW w:w="2431" w:type="dxa"/>
          </w:tcPr>
          <w:p w14:paraId="7D5B30FE" w14:textId="3B573914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 w:rsidRPr="00946F8B">
              <w:rPr>
                <w:rFonts w:ascii="Arial" w:hAnsi="Arial" w:cs="Arial"/>
                <w:szCs w:val="24"/>
                <w:lang w:val="en-CA" w:eastAsia="en-CA"/>
              </w:rPr>
              <w:t>subsection 25 (1) </w:t>
            </w:r>
          </w:p>
        </w:tc>
        <w:tc>
          <w:tcPr>
            <w:tcW w:w="1350" w:type="dxa"/>
          </w:tcPr>
          <w:p w14:paraId="2E73819A" w14:textId="085CB59E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946F8B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0957C4D" w14:textId="74F5E79B" w:rsidR="00C246A4" w:rsidRPr="00946F8B" w:rsidRDefault="00C246A4" w:rsidP="00C246A4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3C56A1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50E3B5C3" w14:textId="77777777" w:rsidR="00193BB5" w:rsidRPr="00946F8B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946F8B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946F8B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0E1C8E"/>
    <w:rsid w:val="001071CE"/>
    <w:rsid w:val="00157F6E"/>
    <w:rsid w:val="0017268B"/>
    <w:rsid w:val="00193BB5"/>
    <w:rsid w:val="0019436D"/>
    <w:rsid w:val="001A2AB4"/>
    <w:rsid w:val="001A44FD"/>
    <w:rsid w:val="001A6056"/>
    <w:rsid w:val="00210AC8"/>
    <w:rsid w:val="0028669F"/>
    <w:rsid w:val="0029229B"/>
    <w:rsid w:val="00294F32"/>
    <w:rsid w:val="002B07F9"/>
    <w:rsid w:val="002B1F5F"/>
    <w:rsid w:val="00341CD2"/>
    <w:rsid w:val="003A4EFD"/>
    <w:rsid w:val="003B41A4"/>
    <w:rsid w:val="00417393"/>
    <w:rsid w:val="00417D34"/>
    <w:rsid w:val="004303C5"/>
    <w:rsid w:val="004316A6"/>
    <w:rsid w:val="00472328"/>
    <w:rsid w:val="004F14A4"/>
    <w:rsid w:val="0051591D"/>
    <w:rsid w:val="00542508"/>
    <w:rsid w:val="0054330E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D51FE"/>
    <w:rsid w:val="006F0079"/>
    <w:rsid w:val="006F3919"/>
    <w:rsid w:val="00705512"/>
    <w:rsid w:val="00745531"/>
    <w:rsid w:val="0077156E"/>
    <w:rsid w:val="00784801"/>
    <w:rsid w:val="007B01A9"/>
    <w:rsid w:val="007C0269"/>
    <w:rsid w:val="008D5F92"/>
    <w:rsid w:val="008F1BDE"/>
    <w:rsid w:val="00905416"/>
    <w:rsid w:val="00925599"/>
    <w:rsid w:val="00946F8B"/>
    <w:rsid w:val="00990CB2"/>
    <w:rsid w:val="009A0845"/>
    <w:rsid w:val="009A3B41"/>
    <w:rsid w:val="009D1CD5"/>
    <w:rsid w:val="00A16205"/>
    <w:rsid w:val="00A33024"/>
    <w:rsid w:val="00A86211"/>
    <w:rsid w:val="00A95EE3"/>
    <w:rsid w:val="00AA5B82"/>
    <w:rsid w:val="00AC53EF"/>
    <w:rsid w:val="00AE0904"/>
    <w:rsid w:val="00AF4C7A"/>
    <w:rsid w:val="00B2507C"/>
    <w:rsid w:val="00B50737"/>
    <w:rsid w:val="00BE32E3"/>
    <w:rsid w:val="00C246A4"/>
    <w:rsid w:val="00CE4D38"/>
    <w:rsid w:val="00CF142F"/>
    <w:rsid w:val="00D13BF7"/>
    <w:rsid w:val="00D44E3B"/>
    <w:rsid w:val="00D516B8"/>
    <w:rsid w:val="00D95B5A"/>
    <w:rsid w:val="00DB467A"/>
    <w:rsid w:val="00DE1951"/>
    <w:rsid w:val="00DE2EEF"/>
    <w:rsid w:val="00E3126F"/>
    <w:rsid w:val="00E35ABF"/>
    <w:rsid w:val="00E81FCA"/>
    <w:rsid w:val="00EA430A"/>
    <w:rsid w:val="00EC4887"/>
    <w:rsid w:val="00ED554C"/>
    <w:rsid w:val="00F049C9"/>
    <w:rsid w:val="00F46C2E"/>
    <w:rsid w:val="00F70A0F"/>
    <w:rsid w:val="00FB70D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2026-06-29T15:41:00Z</dcterms:created>
  <dcterms:modified xsi:type="dcterms:W3CDTF">2026-06-29T15:42:00Z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