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089503FD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4F14A4">
        <w:rPr>
          <w:rFonts w:ascii="Arial" w:hAnsi="Arial" w:cs="Arial"/>
          <w:szCs w:val="24"/>
          <w:lang w:val="en-GB"/>
        </w:rPr>
        <w:t>17.5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106FA504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1071CE">
        <w:rPr>
          <w:rFonts w:ascii="Arial" w:hAnsi="Arial" w:cs="Arial"/>
          <w:bCs/>
          <w:szCs w:val="24"/>
          <w:lang w:val="en-GB"/>
        </w:rPr>
        <w:t xml:space="preserve">April </w:t>
      </w:r>
      <w:r w:rsidR="004F14A4">
        <w:rPr>
          <w:rFonts w:ascii="Arial" w:hAnsi="Arial" w:cs="Arial"/>
          <w:bCs/>
          <w:szCs w:val="24"/>
          <w:lang w:val="en-GB"/>
        </w:rPr>
        <w:t>23</w:t>
      </w:r>
      <w:r w:rsidR="001071CE">
        <w:rPr>
          <w:rFonts w:ascii="Arial" w:hAnsi="Arial" w:cs="Arial"/>
          <w:bCs/>
          <w:szCs w:val="24"/>
          <w:lang w:val="en-GB"/>
        </w:rPr>
        <w:t>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3D82E0EB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4F14A4">
        <w:rPr>
          <w:rFonts w:ascii="Arial" w:hAnsi="Arial" w:cs="Arial"/>
          <w:szCs w:val="24"/>
          <w:lang w:val="en-GB"/>
        </w:rPr>
        <w:t>April</w:t>
      </w:r>
      <w:r w:rsidR="00E4159A">
        <w:rPr>
          <w:rFonts w:ascii="Arial" w:hAnsi="Arial" w:cs="Arial"/>
          <w:szCs w:val="24"/>
          <w:lang w:val="en-GB"/>
        </w:rPr>
        <w:t xml:space="preserve"> 23</w:t>
      </w:r>
      <w:r w:rsidR="001071CE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812FAD">
        <w:rPr>
          <w:rFonts w:ascii="Arial" w:hAnsi="Arial" w:cs="Arial"/>
          <w:b/>
          <w:szCs w:val="24"/>
        </w:rPr>
        <w:lastRenderedPageBreak/>
        <w:t>Schedule 17.5</w:t>
      </w:r>
    </w:p>
    <w:p w14:paraId="280BD410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68D327ED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szCs w:val="24"/>
        </w:rPr>
      </w:pPr>
      <w:r w:rsidRPr="00812FAD">
        <w:rPr>
          <w:rFonts w:ascii="Arial" w:hAnsi="Arial" w:cs="Arial"/>
          <w:i/>
          <w:szCs w:val="24"/>
        </w:rPr>
        <w:t>Fish and Wildlife Conservation Act, 19</w:t>
      </w:r>
      <w:r w:rsidRPr="00812FAD">
        <w:rPr>
          <w:rFonts w:ascii="Arial" w:hAnsi="Arial" w:cs="Arial"/>
          <w:szCs w:val="24"/>
        </w:rPr>
        <w:t>97</w:t>
      </w:r>
    </w:p>
    <w:p w14:paraId="04B93EA5" w14:textId="77777777" w:rsidR="00472328" w:rsidRPr="00E35ABF" w:rsidRDefault="00472328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84443C" w:rsidRPr="001071CE" w14:paraId="48EEC095" w14:textId="3BB2284F" w:rsidTr="0084443C">
        <w:trPr>
          <w:cantSplit/>
        </w:trPr>
        <w:tc>
          <w:tcPr>
            <w:tcW w:w="903" w:type="dxa"/>
          </w:tcPr>
          <w:p w14:paraId="17A8CE2E" w14:textId="77777777" w:rsidR="0084443C" w:rsidRPr="001071CE" w:rsidRDefault="0084443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84443C" w:rsidRPr="001071CE" w:rsidRDefault="0084443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84443C" w:rsidRPr="001071CE" w:rsidRDefault="0084443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84443C" w:rsidRPr="001071CE" w:rsidRDefault="0084443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3CC13B29" w14:textId="2B80BF4E" w:rsidR="0084443C" w:rsidRPr="001071CE" w:rsidRDefault="0084443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84443C" w:rsidRPr="001071CE" w14:paraId="0481CD5C" w14:textId="5C077347" w:rsidTr="0084443C">
        <w:trPr>
          <w:cantSplit/>
          <w:trHeight w:val="215"/>
        </w:trPr>
        <w:tc>
          <w:tcPr>
            <w:tcW w:w="903" w:type="dxa"/>
          </w:tcPr>
          <w:p w14:paraId="0A5F02F4" w14:textId="016FA803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832647">
              <w:rPr>
                <w:rFonts w:ascii="Arial" w:hAnsi="Arial" w:cs="Arial"/>
                <w:szCs w:val="24"/>
              </w:rPr>
              <w:t>170.</w:t>
            </w:r>
          </w:p>
        </w:tc>
        <w:tc>
          <w:tcPr>
            <w:tcW w:w="4766" w:type="dxa"/>
          </w:tcPr>
          <w:p w14:paraId="7A00F08D" w14:textId="47BC5F51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832647">
              <w:rPr>
                <w:rFonts w:ascii="Arial" w:hAnsi="Arial" w:cs="Arial"/>
                <w:szCs w:val="24"/>
              </w:rPr>
              <w:t>Unlawfully own train and trial area</w:t>
            </w:r>
          </w:p>
        </w:tc>
        <w:tc>
          <w:tcPr>
            <w:tcW w:w="2431" w:type="dxa"/>
          </w:tcPr>
          <w:p w14:paraId="11194DFB" w14:textId="70C67B32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812FAD">
              <w:rPr>
                <w:rFonts w:ascii="Arial" w:hAnsi="Arial" w:cs="Arial"/>
                <w:spacing w:val="-2"/>
                <w:szCs w:val="24"/>
                <w:lang w:val="en-GB"/>
              </w:rPr>
              <w:t>35 (1)</w:t>
            </w:r>
          </w:p>
        </w:tc>
        <w:tc>
          <w:tcPr>
            <w:tcW w:w="1350" w:type="dxa"/>
          </w:tcPr>
          <w:p w14:paraId="12D15A4C" w14:textId="7E78F148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  <w:spacing w:val="-3"/>
                <w:szCs w:val="24"/>
              </w:rPr>
              <w:t>$500.00</w:t>
            </w:r>
          </w:p>
        </w:tc>
        <w:tc>
          <w:tcPr>
            <w:tcW w:w="1350" w:type="dxa"/>
          </w:tcPr>
          <w:p w14:paraId="24DE4D67" w14:textId="61755DAB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84443C" w:rsidRPr="001071CE" w14:paraId="396B95C3" w14:textId="7F4C1D64" w:rsidTr="0084443C">
        <w:trPr>
          <w:cantSplit/>
        </w:trPr>
        <w:tc>
          <w:tcPr>
            <w:tcW w:w="903" w:type="dxa"/>
          </w:tcPr>
          <w:p w14:paraId="73BDAC38" w14:textId="54BB4E58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832647">
              <w:rPr>
                <w:rFonts w:ascii="Arial" w:hAnsi="Arial" w:cs="Arial"/>
                <w:szCs w:val="24"/>
              </w:rPr>
              <w:t>171.</w:t>
            </w:r>
          </w:p>
        </w:tc>
        <w:tc>
          <w:tcPr>
            <w:tcW w:w="4766" w:type="dxa"/>
          </w:tcPr>
          <w:p w14:paraId="4E84CBA4" w14:textId="5494633D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832647">
              <w:rPr>
                <w:rFonts w:ascii="Arial" w:hAnsi="Arial" w:cs="Arial"/>
                <w:szCs w:val="24"/>
              </w:rPr>
              <w:t>Unlawfully operate train and trial area</w:t>
            </w:r>
          </w:p>
        </w:tc>
        <w:tc>
          <w:tcPr>
            <w:tcW w:w="2431" w:type="dxa"/>
          </w:tcPr>
          <w:p w14:paraId="5785309D" w14:textId="096DA622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812FAD">
              <w:rPr>
                <w:rFonts w:ascii="Arial" w:hAnsi="Arial" w:cs="Arial"/>
                <w:spacing w:val="-2"/>
                <w:szCs w:val="24"/>
                <w:lang w:val="en-GB"/>
              </w:rPr>
              <w:t>35 (1)</w:t>
            </w:r>
          </w:p>
        </w:tc>
        <w:tc>
          <w:tcPr>
            <w:tcW w:w="1350" w:type="dxa"/>
          </w:tcPr>
          <w:p w14:paraId="2BA6CF4D" w14:textId="779B04BC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  <w:spacing w:val="-3"/>
                <w:szCs w:val="24"/>
              </w:rPr>
              <w:t>$500.00</w:t>
            </w:r>
          </w:p>
        </w:tc>
        <w:tc>
          <w:tcPr>
            <w:tcW w:w="1350" w:type="dxa"/>
          </w:tcPr>
          <w:p w14:paraId="26106F47" w14:textId="0ECB0E66" w:rsidR="0084443C" w:rsidRPr="001071CE" w:rsidRDefault="0084443C" w:rsidP="004F14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</w:tbl>
    <w:p w14:paraId="50E3B5C3" w14:textId="77777777" w:rsidR="00193BB5" w:rsidRPr="00E35ABF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E35AB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33C95"/>
    <w:rsid w:val="00077B1B"/>
    <w:rsid w:val="0009432D"/>
    <w:rsid w:val="001071CE"/>
    <w:rsid w:val="00157F6E"/>
    <w:rsid w:val="0017268B"/>
    <w:rsid w:val="00193BB5"/>
    <w:rsid w:val="001A44FD"/>
    <w:rsid w:val="001A6056"/>
    <w:rsid w:val="001C3DA3"/>
    <w:rsid w:val="0028669F"/>
    <w:rsid w:val="00294F32"/>
    <w:rsid w:val="002B07F9"/>
    <w:rsid w:val="00341CD2"/>
    <w:rsid w:val="003A4EFD"/>
    <w:rsid w:val="00417393"/>
    <w:rsid w:val="00417D34"/>
    <w:rsid w:val="00472328"/>
    <w:rsid w:val="004F14A4"/>
    <w:rsid w:val="0051591D"/>
    <w:rsid w:val="00551C7A"/>
    <w:rsid w:val="005915DC"/>
    <w:rsid w:val="005C36CF"/>
    <w:rsid w:val="00601007"/>
    <w:rsid w:val="0061398A"/>
    <w:rsid w:val="0062723F"/>
    <w:rsid w:val="006512C1"/>
    <w:rsid w:val="006A658F"/>
    <w:rsid w:val="006B1AFA"/>
    <w:rsid w:val="006D51FE"/>
    <w:rsid w:val="006F0079"/>
    <w:rsid w:val="006F3919"/>
    <w:rsid w:val="00745531"/>
    <w:rsid w:val="0077156E"/>
    <w:rsid w:val="007B01A9"/>
    <w:rsid w:val="0084443C"/>
    <w:rsid w:val="008D5F92"/>
    <w:rsid w:val="00905416"/>
    <w:rsid w:val="00925599"/>
    <w:rsid w:val="00990CB2"/>
    <w:rsid w:val="009A3B41"/>
    <w:rsid w:val="009D1CD5"/>
    <w:rsid w:val="00A16205"/>
    <w:rsid w:val="00A95EE3"/>
    <w:rsid w:val="00AC53EF"/>
    <w:rsid w:val="00AE0904"/>
    <w:rsid w:val="00B2507C"/>
    <w:rsid w:val="00BE32E3"/>
    <w:rsid w:val="00C27118"/>
    <w:rsid w:val="00CE4D38"/>
    <w:rsid w:val="00CF142F"/>
    <w:rsid w:val="00CF2547"/>
    <w:rsid w:val="00D13BF7"/>
    <w:rsid w:val="00DE1951"/>
    <w:rsid w:val="00E3126F"/>
    <w:rsid w:val="00E35ABF"/>
    <w:rsid w:val="00E4159A"/>
    <w:rsid w:val="00E81FCA"/>
    <w:rsid w:val="00EA430A"/>
    <w:rsid w:val="00F70A0F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4</cp:revision>
  <cp:lastPrinted>2023-11-29T21:18:00Z</cp:lastPrinted>
  <dcterms:created xsi:type="dcterms:W3CDTF">2026-04-20T16:18:00Z</dcterms:created>
  <dcterms:modified xsi:type="dcterms:W3CDTF">2026-04-20T16:39:00Z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