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2D631D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2D631D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2D631D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2D631D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3072783B" w:rsidR="00FB70D5" w:rsidRPr="002D631D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2D631D">
        <w:rPr>
          <w:rFonts w:ascii="Arial" w:hAnsi="Arial" w:cs="Arial"/>
          <w:b/>
          <w:bCs/>
          <w:szCs w:val="24"/>
          <w:lang w:val="en-GB"/>
        </w:rPr>
        <w:t>IT IS ORDERED</w:t>
      </w:r>
      <w:r w:rsidRPr="002D631D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2D631D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2D631D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D44E3B">
        <w:rPr>
          <w:rFonts w:ascii="Arial" w:hAnsi="Arial" w:cs="Arial"/>
          <w:szCs w:val="24"/>
          <w:lang w:val="en-GB"/>
        </w:rPr>
        <w:t>0.2.</w:t>
      </w:r>
      <w:r w:rsidR="00C31BA2">
        <w:rPr>
          <w:rFonts w:ascii="Arial" w:hAnsi="Arial" w:cs="Arial"/>
          <w:szCs w:val="24"/>
          <w:lang w:val="en-GB"/>
        </w:rPr>
        <w:t>4</w:t>
      </w:r>
      <w:r w:rsidRPr="002D631D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2D631D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2D631D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3D274614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D44E3B">
        <w:rPr>
          <w:rFonts w:ascii="Arial" w:hAnsi="Arial" w:cs="Arial"/>
          <w:bCs/>
          <w:szCs w:val="24"/>
          <w:lang w:val="en-GB"/>
        </w:rPr>
        <w:t>May 2</w:t>
      </w:r>
      <w:r w:rsidR="00C31BA2">
        <w:rPr>
          <w:rFonts w:ascii="Arial" w:hAnsi="Arial" w:cs="Arial"/>
          <w:bCs/>
          <w:szCs w:val="24"/>
          <w:lang w:val="en-GB"/>
        </w:rPr>
        <w:t>5</w:t>
      </w:r>
      <w:r w:rsidR="001071CE">
        <w:rPr>
          <w:rFonts w:ascii="Arial" w:hAnsi="Arial" w:cs="Arial"/>
          <w:bCs/>
          <w:szCs w:val="24"/>
          <w:lang w:val="en-GB"/>
        </w:rPr>
        <w:t>, 2026</w:t>
      </w:r>
      <w:r w:rsidRPr="002D631D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6C4C238C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 xml:space="preserve">DATED at the </w:t>
      </w:r>
      <w:r w:rsidRPr="002D631D">
        <w:rPr>
          <w:rFonts w:ascii="Arial" w:hAnsi="Arial" w:cs="Arial"/>
          <w:szCs w:val="24"/>
          <w:lang w:val="en-GB"/>
        </w:rPr>
        <w:t xml:space="preserve">City of Toronto, Ontario, on </w:t>
      </w:r>
      <w:r w:rsidR="00C31BA2">
        <w:rPr>
          <w:rFonts w:ascii="Arial" w:hAnsi="Arial" w:cs="Arial"/>
          <w:szCs w:val="24"/>
          <w:lang w:val="en-GB"/>
        </w:rPr>
        <w:t>May 15</w:t>
      </w:r>
      <w:r w:rsidR="001071CE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94C3E">
        <w:rPr>
          <w:rFonts w:ascii="Arial" w:hAnsi="Arial" w:cs="Arial"/>
          <w:b/>
          <w:szCs w:val="24"/>
          <w:lang w:val="en-GB"/>
        </w:rPr>
        <w:t>Sharon Nicklas</w:t>
      </w:r>
      <w:r w:rsidRPr="002D631D">
        <w:rPr>
          <w:rFonts w:ascii="Arial" w:hAnsi="Arial" w:cs="Arial"/>
          <w:b/>
          <w:szCs w:val="24"/>
          <w:lang w:val="en-GB"/>
        </w:rPr>
        <w:t>, Chief Justice</w:t>
      </w:r>
    </w:p>
    <w:p w14:paraId="3C130F58" w14:textId="77777777" w:rsidR="00FB70D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FB70D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1B5F09E8" w14:textId="5A7076C4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  <w:r w:rsidRPr="00812FAD">
        <w:rPr>
          <w:rFonts w:ascii="Arial" w:hAnsi="Arial" w:cs="Arial"/>
          <w:b/>
          <w:szCs w:val="24"/>
        </w:rPr>
        <w:lastRenderedPageBreak/>
        <w:t xml:space="preserve">Schedule </w:t>
      </w:r>
      <w:r w:rsidR="00D44E3B">
        <w:rPr>
          <w:rFonts w:ascii="Arial" w:hAnsi="Arial" w:cs="Arial"/>
          <w:b/>
          <w:szCs w:val="24"/>
        </w:rPr>
        <w:t>0.2.</w:t>
      </w:r>
      <w:r w:rsidR="00C31BA2">
        <w:rPr>
          <w:rFonts w:ascii="Arial" w:hAnsi="Arial" w:cs="Arial"/>
          <w:b/>
          <w:szCs w:val="24"/>
        </w:rPr>
        <w:t>4</w:t>
      </w:r>
    </w:p>
    <w:p w14:paraId="280BD410" w14:textId="77777777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68D327ED" w14:textId="62F4622C" w:rsidR="004F14A4" w:rsidRPr="00812FAD" w:rsidRDefault="00D44E3B" w:rsidP="004F14A4">
      <w:pPr>
        <w:pStyle w:val="Header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>Blind Persons’ Rights Act</w:t>
      </w:r>
    </w:p>
    <w:p w14:paraId="04B93EA5" w14:textId="77777777" w:rsidR="00472328" w:rsidRPr="00E35ABF" w:rsidRDefault="00472328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954"/>
        <w:gridCol w:w="2431"/>
        <w:gridCol w:w="1350"/>
        <w:gridCol w:w="1350"/>
      </w:tblGrid>
      <w:tr w:rsidR="00E329BD" w:rsidRPr="001071CE" w14:paraId="48EEC095" w14:textId="11240044" w:rsidTr="00E329BD">
        <w:trPr>
          <w:cantSplit/>
        </w:trPr>
        <w:tc>
          <w:tcPr>
            <w:tcW w:w="715" w:type="dxa"/>
          </w:tcPr>
          <w:p w14:paraId="17A8CE2E" w14:textId="77777777" w:rsidR="00E329BD" w:rsidRPr="001071CE" w:rsidRDefault="00E329BD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954" w:type="dxa"/>
          </w:tcPr>
          <w:p w14:paraId="41FA851D" w14:textId="77777777" w:rsidR="00E329BD" w:rsidRPr="001071CE" w:rsidRDefault="00E329BD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E329BD" w:rsidRPr="001071CE" w:rsidRDefault="00E329BD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E329BD" w:rsidRPr="001071CE" w:rsidRDefault="00E329BD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1071CE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2D2ADBA3" w14:textId="4BEA7C06" w:rsidR="00E329BD" w:rsidRPr="001071CE" w:rsidRDefault="00E329BD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E329BD" w:rsidRPr="001071CE" w14:paraId="0481CD5C" w14:textId="6038D920" w:rsidTr="00E329BD">
        <w:trPr>
          <w:cantSplit/>
          <w:trHeight w:val="215"/>
        </w:trPr>
        <w:tc>
          <w:tcPr>
            <w:tcW w:w="715" w:type="dxa"/>
          </w:tcPr>
          <w:p w14:paraId="0A5F02F4" w14:textId="5E5EEB32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954" w:type="dxa"/>
          </w:tcPr>
          <w:p w14:paraId="7A00F08D" w14:textId="10C6B2D9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</w:rPr>
              <w:t>Deny person with guide dog — accommodation, services or facilities where public customarily admitted</w:t>
            </w:r>
          </w:p>
        </w:tc>
        <w:tc>
          <w:tcPr>
            <w:tcW w:w="2431" w:type="dxa"/>
          </w:tcPr>
          <w:p w14:paraId="11194DFB" w14:textId="5E94C799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</w:rPr>
              <w:t>clause 2(1)(a)</w:t>
            </w:r>
          </w:p>
        </w:tc>
        <w:tc>
          <w:tcPr>
            <w:tcW w:w="1350" w:type="dxa"/>
          </w:tcPr>
          <w:p w14:paraId="12D15A4C" w14:textId="0C3405B3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$500.00</w:t>
            </w:r>
          </w:p>
        </w:tc>
        <w:tc>
          <w:tcPr>
            <w:tcW w:w="1350" w:type="dxa"/>
          </w:tcPr>
          <w:p w14:paraId="7FEE8374" w14:textId="2C43BBC7" w:rsidR="00E329BD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  <w:tr w:rsidR="00E329BD" w:rsidRPr="001071CE" w14:paraId="396B95C3" w14:textId="7C35E961" w:rsidTr="00E329BD">
        <w:trPr>
          <w:cantSplit/>
        </w:trPr>
        <w:tc>
          <w:tcPr>
            <w:tcW w:w="715" w:type="dxa"/>
          </w:tcPr>
          <w:p w14:paraId="73BDAC38" w14:textId="7A71BFC4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954" w:type="dxa"/>
          </w:tcPr>
          <w:p w14:paraId="4E84CBA4" w14:textId="28FC95C7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</w:rPr>
              <w:t>Discriminate against person with guide dog — accommodation, services or facilities where public customarily admitted or charges for their use</w:t>
            </w:r>
          </w:p>
        </w:tc>
        <w:tc>
          <w:tcPr>
            <w:tcW w:w="2431" w:type="dxa"/>
          </w:tcPr>
          <w:p w14:paraId="5785309D" w14:textId="1E58F1F9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</w:rPr>
              <w:t>clause 2(1)(b)</w:t>
            </w:r>
          </w:p>
        </w:tc>
        <w:tc>
          <w:tcPr>
            <w:tcW w:w="1350" w:type="dxa"/>
          </w:tcPr>
          <w:p w14:paraId="2BA6CF4D" w14:textId="543F7676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$500.00</w:t>
            </w:r>
          </w:p>
        </w:tc>
        <w:tc>
          <w:tcPr>
            <w:tcW w:w="1350" w:type="dxa"/>
          </w:tcPr>
          <w:p w14:paraId="3B473256" w14:textId="571BFCCA" w:rsidR="00E329BD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  <w:tr w:rsidR="00E329BD" w:rsidRPr="001071CE" w14:paraId="17BAB1F3" w14:textId="3562F013" w:rsidTr="00E329BD">
        <w:trPr>
          <w:cantSplit/>
        </w:trPr>
        <w:tc>
          <w:tcPr>
            <w:tcW w:w="715" w:type="dxa"/>
          </w:tcPr>
          <w:p w14:paraId="686331B0" w14:textId="78D6C3E7" w:rsidR="00E329BD" w:rsidRPr="00832647" w:rsidRDefault="00E329BD" w:rsidP="00D44E3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954" w:type="dxa"/>
          </w:tcPr>
          <w:p w14:paraId="407628F2" w14:textId="7C237C66" w:rsidR="00E329BD" w:rsidRPr="00832647" w:rsidRDefault="00E329BD" w:rsidP="00D44E3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Deny person with guide dog — occupancy of self-contained dwelling unit</w:t>
            </w:r>
          </w:p>
        </w:tc>
        <w:tc>
          <w:tcPr>
            <w:tcW w:w="2431" w:type="dxa"/>
          </w:tcPr>
          <w:p w14:paraId="100D96FF" w14:textId="786846A5" w:rsidR="00E329BD" w:rsidRPr="00812FAD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>
              <w:rPr>
                <w:rFonts w:ascii="Arial" w:hAnsi="Arial" w:cs="Arial"/>
              </w:rPr>
              <w:t>clause 2(2)(a)</w:t>
            </w:r>
          </w:p>
        </w:tc>
        <w:tc>
          <w:tcPr>
            <w:tcW w:w="1350" w:type="dxa"/>
          </w:tcPr>
          <w:p w14:paraId="74666842" w14:textId="21CDEA0A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$500.00</w:t>
            </w:r>
          </w:p>
        </w:tc>
        <w:tc>
          <w:tcPr>
            <w:tcW w:w="1350" w:type="dxa"/>
          </w:tcPr>
          <w:p w14:paraId="2FA0D2C8" w14:textId="77E7BDC3" w:rsidR="00E329BD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  <w:tr w:rsidR="00E329BD" w:rsidRPr="001071CE" w14:paraId="203FB834" w14:textId="47C3203E" w:rsidTr="00E329BD">
        <w:trPr>
          <w:cantSplit/>
        </w:trPr>
        <w:tc>
          <w:tcPr>
            <w:tcW w:w="715" w:type="dxa"/>
          </w:tcPr>
          <w:p w14:paraId="4432172B" w14:textId="62265EF1" w:rsidR="00E329BD" w:rsidRPr="00832647" w:rsidRDefault="00E329BD" w:rsidP="00D44E3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954" w:type="dxa"/>
          </w:tcPr>
          <w:p w14:paraId="50AFA509" w14:textId="0D1A3E39" w:rsidR="00E329BD" w:rsidRPr="00832647" w:rsidRDefault="00E329BD" w:rsidP="00D44E3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Discriminate against person with guide dog — terms and conditions of occupancy of self-contained dwelling unit</w:t>
            </w:r>
          </w:p>
        </w:tc>
        <w:tc>
          <w:tcPr>
            <w:tcW w:w="2431" w:type="dxa"/>
          </w:tcPr>
          <w:p w14:paraId="7D5B30FE" w14:textId="42D1D484" w:rsidR="00E329BD" w:rsidRPr="00812FAD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>
              <w:rPr>
                <w:rFonts w:ascii="Arial" w:hAnsi="Arial" w:cs="Arial"/>
              </w:rPr>
              <w:t>clause 2(2)(b)</w:t>
            </w:r>
          </w:p>
        </w:tc>
        <w:tc>
          <w:tcPr>
            <w:tcW w:w="1350" w:type="dxa"/>
          </w:tcPr>
          <w:p w14:paraId="2E73819A" w14:textId="00B2FFC0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$500.00</w:t>
            </w:r>
          </w:p>
        </w:tc>
        <w:tc>
          <w:tcPr>
            <w:tcW w:w="1350" w:type="dxa"/>
          </w:tcPr>
          <w:p w14:paraId="23B8BF58" w14:textId="3CBE57D9" w:rsidR="00E329BD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  <w:tr w:rsidR="00E329BD" w:rsidRPr="001071CE" w14:paraId="1F209AEC" w14:textId="01915E20" w:rsidTr="00E329BD">
        <w:trPr>
          <w:cantSplit/>
        </w:trPr>
        <w:tc>
          <w:tcPr>
            <w:tcW w:w="715" w:type="dxa"/>
          </w:tcPr>
          <w:p w14:paraId="4BE37C4A" w14:textId="75151E49" w:rsidR="00E329BD" w:rsidRPr="00832647" w:rsidRDefault="00E329BD" w:rsidP="00D44E3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954" w:type="dxa"/>
          </w:tcPr>
          <w:p w14:paraId="7123FF91" w14:textId="3B4414B9" w:rsidR="00E329BD" w:rsidRPr="00832647" w:rsidRDefault="00E329BD" w:rsidP="00D44E3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Illegal use of white cane or walking stick</w:t>
            </w:r>
          </w:p>
        </w:tc>
        <w:tc>
          <w:tcPr>
            <w:tcW w:w="2431" w:type="dxa"/>
          </w:tcPr>
          <w:p w14:paraId="0D1051F8" w14:textId="3DDBC883" w:rsidR="00E329BD" w:rsidRPr="00812FAD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>
              <w:rPr>
                <w:rFonts w:ascii="Arial" w:hAnsi="Arial" w:cs="Arial"/>
              </w:rPr>
              <w:t>section 3</w:t>
            </w:r>
          </w:p>
        </w:tc>
        <w:tc>
          <w:tcPr>
            <w:tcW w:w="1350" w:type="dxa"/>
          </w:tcPr>
          <w:p w14:paraId="462546F9" w14:textId="77030113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$150.00</w:t>
            </w:r>
          </w:p>
        </w:tc>
        <w:tc>
          <w:tcPr>
            <w:tcW w:w="1350" w:type="dxa"/>
          </w:tcPr>
          <w:p w14:paraId="40D4AC38" w14:textId="28AA1363" w:rsidR="00E329BD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  <w:tr w:rsidR="00E329BD" w:rsidRPr="001071CE" w14:paraId="60087529" w14:textId="39DFBBD5" w:rsidTr="00E329BD">
        <w:trPr>
          <w:cantSplit/>
        </w:trPr>
        <w:tc>
          <w:tcPr>
            <w:tcW w:w="715" w:type="dxa"/>
          </w:tcPr>
          <w:p w14:paraId="5403E93D" w14:textId="4637D573" w:rsidR="00E329BD" w:rsidRPr="00832647" w:rsidRDefault="00E329BD" w:rsidP="00D44E3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954" w:type="dxa"/>
          </w:tcPr>
          <w:p w14:paraId="3517ACD1" w14:textId="1A890780" w:rsidR="00E329BD" w:rsidRPr="00832647" w:rsidRDefault="00E329BD" w:rsidP="00D44E3B">
            <w:pPr>
              <w:suppressAutoHyphens/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Fail to surrender identification card</w:t>
            </w:r>
          </w:p>
        </w:tc>
        <w:tc>
          <w:tcPr>
            <w:tcW w:w="2431" w:type="dxa"/>
          </w:tcPr>
          <w:p w14:paraId="684D97BA" w14:textId="15F17DEA" w:rsidR="00E329BD" w:rsidRPr="00812FAD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2"/>
                <w:szCs w:val="24"/>
                <w:lang w:val="en-GB"/>
              </w:rPr>
            </w:pPr>
            <w:r>
              <w:rPr>
                <w:rFonts w:ascii="Arial" w:hAnsi="Arial" w:cs="Arial"/>
              </w:rPr>
              <w:t>subsection 4(3)</w:t>
            </w:r>
          </w:p>
        </w:tc>
        <w:tc>
          <w:tcPr>
            <w:tcW w:w="1350" w:type="dxa"/>
          </w:tcPr>
          <w:p w14:paraId="03C2B78E" w14:textId="671F3843" w:rsidR="00E329BD" w:rsidRPr="001071CE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$150.00</w:t>
            </w:r>
          </w:p>
        </w:tc>
        <w:tc>
          <w:tcPr>
            <w:tcW w:w="1350" w:type="dxa"/>
          </w:tcPr>
          <w:p w14:paraId="5735B75D" w14:textId="606FA0C7" w:rsidR="00E329BD" w:rsidRDefault="00E329BD" w:rsidP="00D44E3B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>
              <w:rPr>
                <w:rFonts w:ascii="Arial" w:hAnsi="Arial" w:cs="Arial"/>
                <w:spacing w:val="-3"/>
                <w:szCs w:val="24"/>
              </w:rPr>
              <w:t>NEW</w:t>
            </w:r>
          </w:p>
        </w:tc>
      </w:tr>
    </w:tbl>
    <w:p w14:paraId="50E3B5C3" w14:textId="77777777" w:rsidR="00193BB5" w:rsidRPr="00E35ABF" w:rsidRDefault="00193BB5">
      <w:pPr>
        <w:suppressAutoHyphens/>
        <w:jc w:val="both"/>
        <w:rPr>
          <w:rFonts w:ascii="Arial" w:hAnsi="Arial" w:cs="Arial"/>
          <w:szCs w:val="24"/>
        </w:rPr>
      </w:pPr>
    </w:p>
    <w:p w14:paraId="4AC0D312" w14:textId="77777777" w:rsidR="0062723F" w:rsidRPr="00E35ABF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E35AB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7B1B"/>
    <w:rsid w:val="0009432D"/>
    <w:rsid w:val="001071CE"/>
    <w:rsid w:val="00157F6E"/>
    <w:rsid w:val="0017268B"/>
    <w:rsid w:val="00193BB5"/>
    <w:rsid w:val="001A44FD"/>
    <w:rsid w:val="001A6056"/>
    <w:rsid w:val="0028669F"/>
    <w:rsid w:val="0029229B"/>
    <w:rsid w:val="00294F32"/>
    <w:rsid w:val="002B07F9"/>
    <w:rsid w:val="00341CD2"/>
    <w:rsid w:val="003A4EFD"/>
    <w:rsid w:val="003B41A4"/>
    <w:rsid w:val="00417393"/>
    <w:rsid w:val="00417D34"/>
    <w:rsid w:val="00472328"/>
    <w:rsid w:val="004F14A4"/>
    <w:rsid w:val="0051591D"/>
    <w:rsid w:val="00551C7A"/>
    <w:rsid w:val="005915DC"/>
    <w:rsid w:val="005B3A38"/>
    <w:rsid w:val="005C36CF"/>
    <w:rsid w:val="00601007"/>
    <w:rsid w:val="0061398A"/>
    <w:rsid w:val="0062723F"/>
    <w:rsid w:val="006512C1"/>
    <w:rsid w:val="006A658F"/>
    <w:rsid w:val="006B1AFA"/>
    <w:rsid w:val="006D51FE"/>
    <w:rsid w:val="006F0079"/>
    <w:rsid w:val="006F3919"/>
    <w:rsid w:val="00745531"/>
    <w:rsid w:val="0077156E"/>
    <w:rsid w:val="00784801"/>
    <w:rsid w:val="007B01A9"/>
    <w:rsid w:val="007C0269"/>
    <w:rsid w:val="008B1EB6"/>
    <w:rsid w:val="008D5F92"/>
    <w:rsid w:val="008F1BDE"/>
    <w:rsid w:val="00905416"/>
    <w:rsid w:val="00925599"/>
    <w:rsid w:val="00990CB2"/>
    <w:rsid w:val="009A0845"/>
    <w:rsid w:val="009A3B41"/>
    <w:rsid w:val="009D1CD5"/>
    <w:rsid w:val="00A16205"/>
    <w:rsid w:val="00A33024"/>
    <w:rsid w:val="00A95EE3"/>
    <w:rsid w:val="00AC53EF"/>
    <w:rsid w:val="00AE0904"/>
    <w:rsid w:val="00B2507C"/>
    <w:rsid w:val="00BE32E3"/>
    <w:rsid w:val="00C31BA2"/>
    <w:rsid w:val="00CE4D38"/>
    <w:rsid w:val="00CF142F"/>
    <w:rsid w:val="00D13BF7"/>
    <w:rsid w:val="00D44E3B"/>
    <w:rsid w:val="00DE1951"/>
    <w:rsid w:val="00DE2EEF"/>
    <w:rsid w:val="00E3126F"/>
    <w:rsid w:val="00E329BD"/>
    <w:rsid w:val="00E35ABF"/>
    <w:rsid w:val="00E81FCA"/>
    <w:rsid w:val="00EA430A"/>
    <w:rsid w:val="00F70A0F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4</cp:revision>
  <cp:lastPrinted>2023-11-29T21:18:00Z</cp:lastPrinted>
  <dcterms:created xsi:type="dcterms:W3CDTF">2026-04-22T13:19:00Z</dcterms:created>
  <dcterms:modified xsi:type="dcterms:W3CDTF">2026-05-15T14:22:00Z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