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8C371" w14:textId="56D2C171" w:rsidR="006A39AE" w:rsidRPr="009705AE" w:rsidRDefault="00C9650E" w:rsidP="009C2C38">
      <w:pPr>
        <w:jc w:val="center"/>
        <w:rPr>
          <w:rFonts w:eastAsia="Times New Roman"/>
          <w:b/>
          <w:bCs/>
          <w:szCs w:val="24"/>
          <w:lang w:val="fr-CA" w:eastAsia="en-CA"/>
        </w:rPr>
      </w:pPr>
      <w:r w:rsidRPr="009705AE">
        <w:rPr>
          <w:rFonts w:eastAsia="Arial" w:cs="Times New Roman"/>
          <w:b/>
          <w:bCs/>
          <w:color w:val="000000"/>
          <w:szCs w:val="24"/>
          <w:lang w:val="fr-CA"/>
        </w:rPr>
        <w:t>Gestion des causes par un juge seul pour les affaires complexes</w:t>
      </w:r>
    </w:p>
    <w:p w14:paraId="0AB85027" w14:textId="67806BEE" w:rsidR="009F493E" w:rsidRPr="009705AE" w:rsidRDefault="00013725" w:rsidP="009C2C38">
      <w:pPr>
        <w:jc w:val="center"/>
        <w:rPr>
          <w:rFonts w:eastAsia="Times New Roman"/>
          <w:b/>
          <w:bCs/>
          <w:szCs w:val="24"/>
          <w:lang w:val="fr-CA" w:eastAsia="en-CA"/>
        </w:rPr>
      </w:pPr>
      <w:r w:rsidRPr="00013725">
        <w:rPr>
          <w:rFonts w:eastAsia="Times New Roman"/>
          <w:b/>
          <w:bCs/>
          <w:szCs w:val="24"/>
          <w:lang w:val="fr-CA" w:eastAsia="en-CA"/>
        </w:rPr>
        <w:t xml:space="preserve">Document de processus à </w:t>
      </w:r>
      <w:r w:rsidR="009F493E" w:rsidRPr="009705AE">
        <w:rPr>
          <w:rFonts w:eastAsia="Times New Roman"/>
          <w:b/>
          <w:bCs/>
          <w:szCs w:val="24"/>
          <w:lang w:val="fr-CA" w:eastAsia="en-CA"/>
        </w:rPr>
        <w:t xml:space="preserve">Peterborough </w:t>
      </w:r>
    </w:p>
    <w:p w14:paraId="1CAFA897" w14:textId="77777777" w:rsidR="006A39AE" w:rsidRPr="009705AE" w:rsidRDefault="006A39AE" w:rsidP="006A39AE">
      <w:pPr>
        <w:spacing w:before="100" w:beforeAutospacing="1" w:after="200" w:line="276" w:lineRule="auto"/>
        <w:contextualSpacing/>
        <w:jc w:val="center"/>
        <w:rPr>
          <w:rFonts w:eastAsia="Times New Roman"/>
          <w:b/>
          <w:bCs/>
          <w:szCs w:val="24"/>
          <w:lang w:val="fr-CA" w:eastAsia="en-CA"/>
        </w:rPr>
      </w:pPr>
    </w:p>
    <w:p w14:paraId="0A45E8A7" w14:textId="537F7110" w:rsidR="00AF7C46" w:rsidRPr="009705AE" w:rsidRDefault="008D115C" w:rsidP="00E33DE1">
      <w:pPr>
        <w:spacing w:before="100" w:beforeAutospacing="1"/>
        <w:jc w:val="both"/>
        <w:rPr>
          <w:rFonts w:eastAsia="Times New Roman"/>
          <w:szCs w:val="24"/>
          <w:lang w:val="fr-CA" w:eastAsia="en-CA"/>
        </w:rPr>
      </w:pPr>
      <w:r w:rsidRPr="009705AE">
        <w:rPr>
          <w:rFonts w:eastAsia="Times New Roman"/>
          <w:szCs w:val="24"/>
          <w:lang w:val="fr-CA" w:eastAsia="en-CA"/>
        </w:rPr>
        <w:t xml:space="preserve">La Cour de justice de l’Ontario à </w:t>
      </w:r>
      <w:r w:rsidR="005F722B" w:rsidRPr="009705AE">
        <w:rPr>
          <w:rFonts w:eastAsia="Times New Roman"/>
          <w:szCs w:val="24"/>
          <w:lang w:val="fr-CA" w:eastAsia="en-CA"/>
        </w:rPr>
        <w:t xml:space="preserve">Peterborough </w:t>
      </w:r>
      <w:r w:rsidR="00BB233D" w:rsidRPr="009705AE">
        <w:rPr>
          <w:rFonts w:eastAsia="Times New Roman"/>
          <w:szCs w:val="24"/>
          <w:lang w:val="fr-CA" w:eastAsia="en-CA"/>
        </w:rPr>
        <w:t xml:space="preserve">participe au projet pilote de gestion des causes par un juge seul pour les affaires complexes, mis en place par la Cour de justice de l’Ontario (le « projet pilote »). Ce projet pilote a pour objectif de rationaliser la gestion des causes pour les affaires complexes devant la Cour de justice de l’Ontario. L’annexe contient des renseignements sur le processus de renvoi d'une affaire au projet pilote de gestion des causes par un juge seul pour les affaires complexes à </w:t>
      </w:r>
      <w:r w:rsidR="00484C0D" w:rsidRPr="009705AE">
        <w:rPr>
          <w:rFonts w:eastAsia="Times New Roman"/>
          <w:szCs w:val="24"/>
          <w:lang w:val="fr-CA" w:eastAsia="en-CA"/>
        </w:rPr>
        <w:t>Peterborough</w:t>
      </w:r>
      <w:r w:rsidR="00BB233D" w:rsidRPr="009705AE">
        <w:rPr>
          <w:rFonts w:eastAsia="Times New Roman"/>
          <w:szCs w:val="24"/>
          <w:lang w:val="fr-CA" w:eastAsia="en-CA"/>
        </w:rPr>
        <w:t xml:space="preserve">. Le projet pilote </w:t>
      </w:r>
      <w:r w:rsidR="00A31171" w:rsidRPr="009705AE">
        <w:rPr>
          <w:rFonts w:eastAsia="Times New Roman"/>
          <w:szCs w:val="24"/>
          <w:lang w:val="fr-CA" w:eastAsia="en-CA"/>
        </w:rPr>
        <w:t xml:space="preserve">à Peterborough </w:t>
      </w:r>
      <w:r w:rsidR="00BB233D" w:rsidRPr="009705AE">
        <w:rPr>
          <w:rFonts w:eastAsia="Times New Roman"/>
          <w:szCs w:val="24"/>
          <w:lang w:val="fr-CA" w:eastAsia="en-CA"/>
        </w:rPr>
        <w:t>commence le</w:t>
      </w:r>
      <w:r w:rsidR="001266F6" w:rsidRPr="009705AE">
        <w:rPr>
          <w:rFonts w:eastAsia="Times New Roman"/>
          <w:szCs w:val="24"/>
          <w:lang w:val="fr-CA" w:eastAsia="en-CA"/>
        </w:rPr>
        <w:t xml:space="preserve"> </w:t>
      </w:r>
      <w:r w:rsidR="00013725">
        <w:rPr>
          <w:rFonts w:eastAsia="Times New Roman"/>
          <w:szCs w:val="24"/>
          <w:lang w:val="fr-CA" w:eastAsia="en-CA"/>
        </w:rPr>
        <w:t>3 novembre</w:t>
      </w:r>
      <w:r w:rsidR="001266F6" w:rsidRPr="009705AE">
        <w:rPr>
          <w:rFonts w:eastAsia="Times New Roman"/>
          <w:szCs w:val="24"/>
          <w:lang w:val="fr-CA" w:eastAsia="en-CA"/>
        </w:rPr>
        <w:t xml:space="preserve"> 2026.</w:t>
      </w:r>
    </w:p>
    <w:p w14:paraId="39E958E4" w14:textId="77777777" w:rsidR="00E33DE1" w:rsidRPr="009705AE" w:rsidRDefault="00E33DE1" w:rsidP="009C2C38">
      <w:pPr>
        <w:spacing w:before="100" w:beforeAutospacing="1"/>
        <w:jc w:val="both"/>
        <w:rPr>
          <w:rFonts w:eastAsia="Times New Roman"/>
          <w:szCs w:val="24"/>
          <w:lang w:val="fr-CA" w:eastAsia="en-CA"/>
        </w:rPr>
      </w:pPr>
    </w:p>
    <w:p w14:paraId="3092FF6A" w14:textId="511D0833" w:rsidR="009F493E" w:rsidRPr="009705AE" w:rsidRDefault="009F493E" w:rsidP="009C2C38">
      <w:pPr>
        <w:spacing w:before="100" w:beforeAutospacing="1"/>
        <w:jc w:val="both"/>
        <w:rPr>
          <w:rFonts w:eastAsia="Times New Roman"/>
          <w:b/>
          <w:bCs/>
          <w:szCs w:val="24"/>
          <w:lang w:val="fr-CA" w:eastAsia="en-CA"/>
        </w:rPr>
      </w:pPr>
      <w:r w:rsidRPr="009705AE">
        <w:rPr>
          <w:rFonts w:eastAsia="Times New Roman"/>
          <w:b/>
          <w:bCs/>
          <w:szCs w:val="24"/>
          <w:lang w:val="fr-CA" w:eastAsia="en-CA"/>
        </w:rPr>
        <w:t xml:space="preserve">1. </w:t>
      </w:r>
      <w:r w:rsidR="007372B4" w:rsidRPr="009705AE">
        <w:rPr>
          <w:b/>
          <w:bCs/>
          <w:szCs w:val="24"/>
          <w:lang w:val="fr-CA"/>
        </w:rPr>
        <w:t>Application du projet pilote :</w:t>
      </w:r>
    </w:p>
    <w:p w14:paraId="366D075F" w14:textId="47668B36" w:rsidR="009F493E" w:rsidRPr="009705AE" w:rsidRDefault="00701B55" w:rsidP="009F493E">
      <w:pPr>
        <w:numPr>
          <w:ilvl w:val="1"/>
          <w:numId w:val="9"/>
        </w:numPr>
        <w:contextualSpacing/>
        <w:rPr>
          <w:kern w:val="2"/>
          <w:szCs w:val="24"/>
          <w:lang w:val="fr-CA"/>
          <w14:ligatures w14:val="standardContextual"/>
        </w:rPr>
      </w:pPr>
      <w:r w:rsidRPr="009705AE">
        <w:rPr>
          <w:szCs w:val="24"/>
          <w:lang w:val="fr-CA"/>
        </w:rPr>
        <w:t>Les affaires admissibles à la gestion des causes par un juge seul sont les suivantes</w:t>
      </w:r>
      <w:r w:rsidRPr="009705AE">
        <w:rPr>
          <w:szCs w:val="24"/>
          <w:vertAlign w:val="superscript"/>
          <w:lang w:val="fr-CA"/>
        </w:rPr>
        <w:footnoteReference w:id="1"/>
      </w:r>
      <w:r w:rsidRPr="009705AE">
        <w:rPr>
          <w:szCs w:val="24"/>
          <w:lang w:val="fr-CA"/>
        </w:rPr>
        <w:t> :</w:t>
      </w:r>
      <w:r w:rsidR="009F493E" w:rsidRPr="009705AE">
        <w:rPr>
          <w:kern w:val="2"/>
          <w:szCs w:val="24"/>
          <w:lang w:val="fr-CA"/>
          <w14:ligatures w14:val="standardContextual"/>
        </w:rPr>
        <w:t xml:space="preserve"> </w:t>
      </w:r>
    </w:p>
    <w:p w14:paraId="28ADC316" w14:textId="77777777" w:rsidR="0048173E" w:rsidRPr="009705AE" w:rsidRDefault="0048173E" w:rsidP="0048173E">
      <w:pPr>
        <w:pStyle w:val="ListParagraph"/>
        <w:numPr>
          <w:ilvl w:val="2"/>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Homicide</w:t>
      </w:r>
    </w:p>
    <w:p w14:paraId="2D21F650" w14:textId="77777777" w:rsidR="0048173E" w:rsidRPr="009705AE" w:rsidRDefault="0048173E" w:rsidP="0048173E">
      <w:pPr>
        <w:pStyle w:val="ListParagraph"/>
        <w:numPr>
          <w:ilvl w:val="2"/>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 xml:space="preserve">Tentative de meurtre </w:t>
      </w:r>
    </w:p>
    <w:p w14:paraId="0AF3344E" w14:textId="77777777" w:rsidR="0048173E" w:rsidRPr="009705AE" w:rsidRDefault="0048173E" w:rsidP="0048173E">
      <w:pPr>
        <w:pStyle w:val="ListParagraph"/>
        <w:numPr>
          <w:ilvl w:val="2"/>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Infractions sexuelles contre des enfants</w:t>
      </w:r>
    </w:p>
    <w:p w14:paraId="2F2A54A0"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Contacts sexuels (art. 151)</w:t>
      </w:r>
    </w:p>
    <w:p w14:paraId="05FD5220"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Incitation à des contacts sexuels (art. 152)</w:t>
      </w:r>
    </w:p>
    <w:p w14:paraId="62443A7D"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Exploitation sexuelle (art. 153)</w:t>
      </w:r>
    </w:p>
    <w:p w14:paraId="6E84B555"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Matériel d’abus et d’exploitation pédosexuels (art. 163.1)</w:t>
      </w:r>
    </w:p>
    <w:p w14:paraId="742D7B9B"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Père, mère ou tuteur qui sert d’entremetteur (art. 170)</w:t>
      </w:r>
    </w:p>
    <w:p w14:paraId="0FEBE1B9"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Maître de maison qui permet des actes sexuels interdits (art. 171)</w:t>
      </w:r>
    </w:p>
    <w:p w14:paraId="673F25C9"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Rendre accessible à un enfant du matériel sexuellement explicite +(art. 171.1)</w:t>
      </w:r>
    </w:p>
    <w:p w14:paraId="7C9976F8"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Leurre (art. 172.1)</w:t>
      </w:r>
    </w:p>
    <w:p w14:paraId="2675F7F7"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Entente ou arrangement — infraction d’ordre sexuel à l’égard d’un enfant (art. 172.2)</w:t>
      </w:r>
    </w:p>
    <w:p w14:paraId="16B6798D"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 xml:space="preserve">Agression sexuelle si le plaignant est âgé de moins de 16 ans (art. 271, 272 ou 273) </w:t>
      </w:r>
    </w:p>
    <w:p w14:paraId="7161E040"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Traite de personnes âgées de moins de dix-huit ans (art. 279.011)</w:t>
      </w:r>
    </w:p>
    <w:p w14:paraId="52E4E2C5" w14:textId="77777777" w:rsidR="0048173E" w:rsidRPr="009705AE" w:rsidRDefault="0048173E" w:rsidP="0048173E">
      <w:pPr>
        <w:pStyle w:val="ListParagraph"/>
        <w:numPr>
          <w:ilvl w:val="3"/>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Avantage matériel — traite de personnes (art. 279.02)</w:t>
      </w:r>
    </w:p>
    <w:p w14:paraId="64E6D3BE" w14:textId="31DC9295" w:rsidR="009F493E" w:rsidRPr="009705AE" w:rsidRDefault="0048173E" w:rsidP="0048173E">
      <w:pPr>
        <w:numPr>
          <w:ilvl w:val="3"/>
          <w:numId w:val="10"/>
        </w:numPr>
        <w:spacing w:after="0" w:line="240" w:lineRule="auto"/>
        <w:rPr>
          <w:rFonts w:eastAsia="Times New Roman"/>
          <w:szCs w:val="24"/>
          <w:lang w:val="fr-CA" w:eastAsia="en-CA"/>
        </w:rPr>
      </w:pPr>
      <w:r w:rsidRPr="009705AE">
        <w:rPr>
          <w:rFonts w:eastAsia="Times New Roman"/>
          <w:szCs w:val="24"/>
          <w:lang w:val="fr-CA" w:eastAsia="en-CA"/>
        </w:rPr>
        <w:t>Obtention de services si le plaignant est âgé de moins de 18 ans (art. 286.1, 286.2, 286.3, 286.4)</w:t>
      </w:r>
    </w:p>
    <w:p w14:paraId="31A52424" w14:textId="77777777" w:rsidR="00ED5B3D" w:rsidRPr="009705AE" w:rsidRDefault="00ED5B3D" w:rsidP="00ED5B3D">
      <w:pPr>
        <w:pStyle w:val="ListParagraph"/>
        <w:numPr>
          <w:ilvl w:val="2"/>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lastRenderedPageBreak/>
        <w:t>Agression sexuelle si la Couronne choisit la voie de l’accusation et demande une peine d’emprisonnement</w:t>
      </w:r>
    </w:p>
    <w:p w14:paraId="27683B3E" w14:textId="77777777" w:rsidR="00ED5B3D" w:rsidRPr="009705AE" w:rsidRDefault="00ED5B3D" w:rsidP="00ED5B3D">
      <w:pPr>
        <w:pStyle w:val="ListParagraph"/>
        <w:numPr>
          <w:ilvl w:val="2"/>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Traite des personnes</w:t>
      </w:r>
    </w:p>
    <w:p w14:paraId="64B57BE8" w14:textId="77777777" w:rsidR="00ED5B3D" w:rsidRPr="009705AE" w:rsidRDefault="00ED5B3D" w:rsidP="00ED5B3D">
      <w:pPr>
        <w:pStyle w:val="ListParagraph"/>
        <w:numPr>
          <w:ilvl w:val="2"/>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Infractions mettant en jeu le recours à des armes à feu (pas la possession d’armes à feu seulement)</w:t>
      </w:r>
    </w:p>
    <w:p w14:paraId="215F70F0" w14:textId="77777777" w:rsidR="00ED5B3D" w:rsidRPr="009705AE" w:rsidRDefault="00ED5B3D" w:rsidP="00ED5B3D">
      <w:pPr>
        <w:pStyle w:val="ListParagraph"/>
        <w:numPr>
          <w:ilvl w:val="2"/>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 xml:space="preserve">Infractions de conduite prévues par le </w:t>
      </w:r>
      <w:r w:rsidRPr="009705AE">
        <w:rPr>
          <w:rFonts w:eastAsia="Times New Roman"/>
          <w:i/>
          <w:iCs/>
          <w:szCs w:val="24"/>
          <w:lang w:val="fr-CA" w:eastAsia="en-CA"/>
        </w:rPr>
        <w:t>Code criminel</w:t>
      </w:r>
      <w:r w:rsidRPr="009705AE">
        <w:rPr>
          <w:rFonts w:eastAsia="Times New Roman"/>
          <w:szCs w:val="24"/>
          <w:lang w:val="fr-CA" w:eastAsia="en-CA"/>
        </w:rPr>
        <w:t xml:space="preserve"> si un décès est survenu </w:t>
      </w:r>
    </w:p>
    <w:p w14:paraId="657C721D" w14:textId="77777777" w:rsidR="00ED5B3D" w:rsidRPr="009705AE" w:rsidRDefault="00ED5B3D" w:rsidP="00ED5B3D">
      <w:pPr>
        <w:pStyle w:val="ListParagraph"/>
        <w:numPr>
          <w:ilvl w:val="2"/>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 xml:space="preserve">Infractions concernant des organisations criminelles  </w:t>
      </w:r>
    </w:p>
    <w:p w14:paraId="7232B4F3" w14:textId="77777777" w:rsidR="00ED5B3D" w:rsidRPr="009705AE" w:rsidRDefault="00ED5B3D" w:rsidP="00ED5B3D">
      <w:pPr>
        <w:pStyle w:val="ListParagraph"/>
        <w:numPr>
          <w:ilvl w:val="2"/>
          <w:numId w:val="10"/>
        </w:numPr>
        <w:spacing w:after="0" w:line="240" w:lineRule="auto"/>
        <w:contextualSpacing w:val="0"/>
        <w:rPr>
          <w:rFonts w:eastAsia="Times New Roman"/>
          <w:szCs w:val="24"/>
          <w:lang w:val="fr-CA" w:eastAsia="en-CA"/>
        </w:rPr>
      </w:pPr>
      <w:r w:rsidRPr="009705AE">
        <w:rPr>
          <w:rFonts w:eastAsia="Times New Roman"/>
          <w:szCs w:val="24"/>
          <w:lang w:val="fr-CA" w:eastAsia="en-CA"/>
        </w:rPr>
        <w:t>Affaires participant au projet</w:t>
      </w:r>
      <w:r w:rsidRPr="009705AE">
        <w:rPr>
          <w:rStyle w:val="FootnoteReference"/>
          <w:rFonts w:eastAsia="Times New Roman"/>
          <w:szCs w:val="24"/>
          <w:lang w:val="fr-CA" w:eastAsia="en-CA"/>
        </w:rPr>
        <w:footnoteReference w:id="2"/>
      </w:r>
      <w:r w:rsidRPr="009705AE">
        <w:rPr>
          <w:rFonts w:eastAsia="Times New Roman"/>
          <w:szCs w:val="24"/>
          <w:lang w:val="fr-CA" w:eastAsia="en-CA"/>
        </w:rPr>
        <w:t xml:space="preserve"> </w:t>
      </w:r>
    </w:p>
    <w:p w14:paraId="6BA24859" w14:textId="1E54B621" w:rsidR="009F493E" w:rsidRPr="009705AE" w:rsidRDefault="00ED5B3D" w:rsidP="00ED5B3D">
      <w:pPr>
        <w:numPr>
          <w:ilvl w:val="2"/>
          <w:numId w:val="10"/>
        </w:numPr>
        <w:spacing w:after="0" w:line="240" w:lineRule="auto"/>
        <w:rPr>
          <w:kern w:val="2"/>
          <w:szCs w:val="24"/>
          <w:lang w:val="fr-CA"/>
          <w14:ligatures w14:val="standardContextual"/>
        </w:rPr>
      </w:pPr>
      <w:r w:rsidRPr="009705AE">
        <w:rPr>
          <w:rFonts w:eastAsia="Times New Roman"/>
          <w:szCs w:val="24"/>
          <w:lang w:val="fr-CA" w:eastAsia="en-CA"/>
        </w:rPr>
        <w:t>Infractions de terrorisme et autres infractions contre la sécurité nationale</w:t>
      </w:r>
    </w:p>
    <w:p w14:paraId="64F9036A" w14:textId="77777777" w:rsidR="00E33DE1" w:rsidRPr="009705AE" w:rsidRDefault="00E33DE1" w:rsidP="009C2C38">
      <w:pPr>
        <w:spacing w:after="0" w:line="240" w:lineRule="auto"/>
        <w:ind w:left="2160"/>
        <w:rPr>
          <w:kern w:val="2"/>
          <w:szCs w:val="24"/>
          <w:lang w:val="fr-CA"/>
          <w14:ligatures w14:val="standardContextual"/>
        </w:rPr>
      </w:pPr>
    </w:p>
    <w:p w14:paraId="1F8CF88A" w14:textId="142E2EA0" w:rsidR="009F493E" w:rsidRPr="009705AE" w:rsidRDefault="00576A3C" w:rsidP="009F493E">
      <w:pPr>
        <w:pStyle w:val="ListParagraph"/>
        <w:numPr>
          <w:ilvl w:val="0"/>
          <w:numId w:val="9"/>
        </w:numPr>
        <w:rPr>
          <w:b/>
          <w:bCs/>
          <w:szCs w:val="24"/>
          <w:lang w:val="fr-CA"/>
        </w:rPr>
      </w:pPr>
      <w:r w:rsidRPr="009705AE">
        <w:rPr>
          <w:b/>
          <w:bCs/>
          <w:szCs w:val="24"/>
          <w:lang w:val="fr-CA"/>
        </w:rPr>
        <w:t>Démarche :</w:t>
      </w:r>
    </w:p>
    <w:p w14:paraId="7E2776C2" w14:textId="77777777" w:rsidR="009F493E" w:rsidRPr="009705AE" w:rsidRDefault="009F493E" w:rsidP="009F493E">
      <w:pPr>
        <w:pStyle w:val="ListParagraph"/>
        <w:rPr>
          <w:szCs w:val="24"/>
          <w:lang w:val="fr-CA"/>
        </w:rPr>
      </w:pPr>
    </w:p>
    <w:p w14:paraId="41EF6534" w14:textId="2B346603" w:rsidR="009F493E" w:rsidRPr="009705AE" w:rsidRDefault="00D21D28" w:rsidP="009C2C38">
      <w:pPr>
        <w:pStyle w:val="ListParagraph"/>
        <w:numPr>
          <w:ilvl w:val="1"/>
          <w:numId w:val="9"/>
        </w:numPr>
        <w:spacing w:before="240" w:after="240"/>
        <w:ind w:left="1123" w:hanging="403"/>
        <w:contextualSpacing w:val="0"/>
        <w:jc w:val="both"/>
        <w:rPr>
          <w:szCs w:val="24"/>
          <w:lang w:val="fr-CA"/>
        </w:rPr>
      </w:pPr>
      <w:r w:rsidRPr="009705AE">
        <w:rPr>
          <w:szCs w:val="24"/>
          <w:lang w:val="fr-CA"/>
        </w:rPr>
        <w:t xml:space="preserve">Avant la première comparution devant le tribunal de gestion des causes présidé par un juge de paix, le procureur de la Couronne passe en revue les dossiers, </w:t>
      </w:r>
      <w:r w:rsidR="00594D2D" w:rsidRPr="009705AE">
        <w:rPr>
          <w:szCs w:val="24"/>
          <w:lang w:val="fr-CA"/>
        </w:rPr>
        <w:t xml:space="preserve">notamment pour connaître les choix faits par le procureur de la Couronne, afin d’isoler les affaires </w:t>
      </w:r>
      <w:r w:rsidR="001A222C" w:rsidRPr="009705AE">
        <w:rPr>
          <w:szCs w:val="24"/>
          <w:lang w:val="fr-CA"/>
        </w:rPr>
        <w:t>qui r</w:t>
      </w:r>
      <w:r w:rsidR="001A70E9" w:rsidRPr="009705AE">
        <w:rPr>
          <w:szCs w:val="24"/>
          <w:lang w:val="fr-CA"/>
        </w:rPr>
        <w:t>emplissent les</w:t>
      </w:r>
      <w:r w:rsidR="001A222C" w:rsidRPr="009705AE">
        <w:rPr>
          <w:szCs w:val="24"/>
          <w:lang w:val="fr-CA"/>
        </w:rPr>
        <w:t xml:space="preserve"> critères d</w:t>
      </w:r>
      <w:r w:rsidR="001B1E20">
        <w:rPr>
          <w:szCs w:val="24"/>
          <w:lang w:val="fr-CA"/>
        </w:rPr>
        <w:t>’</w:t>
      </w:r>
      <w:r w:rsidR="001A222C" w:rsidRPr="009705AE">
        <w:rPr>
          <w:szCs w:val="24"/>
          <w:lang w:val="fr-CA"/>
        </w:rPr>
        <w:t>admissibilité au projet pilote</w:t>
      </w:r>
      <w:r w:rsidR="009F493E" w:rsidRPr="009705AE">
        <w:rPr>
          <w:rFonts w:eastAsia="Times New Roman"/>
          <w:szCs w:val="24"/>
          <w:lang w:val="fr-CA" w:eastAsia="en-CA"/>
        </w:rPr>
        <w:t xml:space="preserve">. </w:t>
      </w:r>
      <w:r w:rsidR="009F493E" w:rsidRPr="009705AE">
        <w:rPr>
          <w:szCs w:val="24"/>
          <w:lang w:val="fr-CA"/>
        </w:rPr>
        <w:t xml:space="preserve"> </w:t>
      </w:r>
    </w:p>
    <w:p w14:paraId="1005B538" w14:textId="03143947" w:rsidR="006B40F6" w:rsidRPr="009705AE" w:rsidRDefault="008753D6" w:rsidP="006C102C">
      <w:pPr>
        <w:pStyle w:val="ListParagraph"/>
        <w:numPr>
          <w:ilvl w:val="1"/>
          <w:numId w:val="9"/>
        </w:numPr>
        <w:spacing w:before="240" w:after="240"/>
        <w:ind w:left="1123" w:hanging="403"/>
        <w:contextualSpacing w:val="0"/>
        <w:jc w:val="both"/>
        <w:rPr>
          <w:lang w:val="fr-CA"/>
        </w:rPr>
      </w:pPr>
      <w:r w:rsidRPr="009705AE">
        <w:rPr>
          <w:rFonts w:eastAsia="Times New Roman"/>
          <w:szCs w:val="24"/>
          <w:lang w:val="fr-CA"/>
        </w:rPr>
        <w:t xml:space="preserve">À </w:t>
      </w:r>
      <w:r w:rsidRPr="009705AE">
        <w:rPr>
          <w:szCs w:val="24"/>
          <w:lang w:val="fr-CA"/>
        </w:rPr>
        <w:t>la première comparution devant le tribunal de gestion des causes présidé par un juge de paix</w:t>
      </w:r>
      <w:r w:rsidR="006A39AE" w:rsidRPr="009705AE">
        <w:rPr>
          <w:lang w:val="fr-CA"/>
        </w:rPr>
        <w:t xml:space="preserve">, </w:t>
      </w:r>
      <w:r w:rsidRPr="009705AE">
        <w:rPr>
          <w:szCs w:val="24"/>
          <w:lang w:val="fr-CA"/>
        </w:rPr>
        <w:t>le procureur de la Couronne informe le juge de paix que le dossier r</w:t>
      </w:r>
      <w:r w:rsidR="001A70E9" w:rsidRPr="009705AE">
        <w:rPr>
          <w:szCs w:val="24"/>
          <w:lang w:val="fr-CA"/>
        </w:rPr>
        <w:t>emplit les critères d'admissibilité au projet pilote</w:t>
      </w:r>
      <w:r w:rsidR="001A70E9" w:rsidRPr="009705AE">
        <w:rPr>
          <w:rFonts w:eastAsia="Times New Roman"/>
          <w:szCs w:val="24"/>
          <w:lang w:val="fr-CA" w:eastAsia="en-CA"/>
        </w:rPr>
        <w:t>.</w:t>
      </w:r>
      <w:r w:rsidR="00FA6F61" w:rsidRPr="009705AE">
        <w:rPr>
          <w:lang w:val="fr-CA"/>
        </w:rPr>
        <w:t xml:space="preserve"> </w:t>
      </w:r>
      <w:r w:rsidR="00E45AFD" w:rsidRPr="009705AE">
        <w:rPr>
          <w:lang w:val="fr-CA"/>
        </w:rPr>
        <w:t>L</w:t>
      </w:r>
      <w:r w:rsidR="001E55FB">
        <w:rPr>
          <w:lang w:val="fr-CA"/>
        </w:rPr>
        <w:t>’</w:t>
      </w:r>
      <w:r w:rsidR="00E45AFD" w:rsidRPr="009705AE">
        <w:rPr>
          <w:lang w:val="fr-CA"/>
        </w:rPr>
        <w:t xml:space="preserve">admissibilité au projet pilote </w:t>
      </w:r>
      <w:r w:rsidR="006C102C" w:rsidRPr="009705AE">
        <w:rPr>
          <w:lang w:val="fr-CA"/>
        </w:rPr>
        <w:t>ne dépend pas du fait que l</w:t>
      </w:r>
      <w:r w:rsidR="00D9550D">
        <w:rPr>
          <w:lang w:val="fr-CA"/>
        </w:rPr>
        <w:t>’</w:t>
      </w:r>
      <w:r w:rsidR="006C102C" w:rsidRPr="009705AE">
        <w:rPr>
          <w:lang w:val="fr-CA"/>
        </w:rPr>
        <w:t>accusé soit représenté ou non par un avocat à</w:t>
      </w:r>
      <w:r w:rsidR="006C102C" w:rsidRPr="009705AE">
        <w:rPr>
          <w:szCs w:val="24"/>
          <w:lang w:val="fr-CA"/>
        </w:rPr>
        <w:t xml:space="preserve"> la première comparution, mais plutôt de </w:t>
      </w:r>
      <w:r w:rsidR="006C102C" w:rsidRPr="009705AE">
        <w:rPr>
          <w:u w:val="single"/>
          <w:lang w:val="fr-CA"/>
        </w:rPr>
        <w:t>la</w:t>
      </w:r>
      <w:r w:rsidR="005C239E" w:rsidRPr="009705AE">
        <w:rPr>
          <w:u w:val="single"/>
          <w:lang w:val="fr-CA"/>
        </w:rPr>
        <w:t xml:space="preserve"> nature </w:t>
      </w:r>
      <w:r w:rsidR="006C102C" w:rsidRPr="009705AE">
        <w:rPr>
          <w:u w:val="single"/>
          <w:lang w:val="fr-CA"/>
        </w:rPr>
        <w:t>de la cause</w:t>
      </w:r>
      <w:r w:rsidR="005C239E" w:rsidRPr="009705AE">
        <w:rPr>
          <w:lang w:val="fr-CA"/>
        </w:rPr>
        <w:t xml:space="preserve">. </w:t>
      </w:r>
      <w:r w:rsidR="00AC5F17" w:rsidRPr="009705AE">
        <w:rPr>
          <w:szCs w:val="24"/>
          <w:lang w:val="fr-CA"/>
        </w:rPr>
        <w:t>Si l’accusé n</w:t>
      </w:r>
      <w:r w:rsidR="00194FD2">
        <w:rPr>
          <w:szCs w:val="24"/>
          <w:lang w:val="fr-CA"/>
        </w:rPr>
        <w:t>’</w:t>
      </w:r>
      <w:r w:rsidR="00AC5F17" w:rsidRPr="009705AE">
        <w:rPr>
          <w:szCs w:val="24"/>
          <w:lang w:val="fr-CA"/>
        </w:rPr>
        <w:t xml:space="preserve">est pas représenté par un avocat, les coordonnées d’Aide juridique Ontario (1 800 668-8258) peuvent lui être communiquées pour qu’il puisse demander un certificat d'aide juridique ou obtenir des conseils juridiques sommaires avant sa comparution devant le tribunal </w:t>
      </w:r>
      <w:r w:rsidR="00AC5F17" w:rsidRPr="009705AE">
        <w:rPr>
          <w:rFonts w:eastAsia="Times New Roman"/>
          <w:szCs w:val="24"/>
          <w:lang w:val="fr-CA" w:eastAsia="en-CA"/>
        </w:rPr>
        <w:t>de gestion des causes par un juge seul pour les affaires complexes</w:t>
      </w:r>
      <w:r w:rsidR="00AC5F17" w:rsidRPr="009705AE">
        <w:rPr>
          <w:szCs w:val="24"/>
          <w:lang w:val="fr-CA"/>
        </w:rPr>
        <w:t>, selon ce qui est nécessaire. Le protocole d’ajournement de 12 semaines ne s’applique pas aux affaires faisant l’objet du</w:t>
      </w:r>
      <w:r w:rsidR="007D2A32" w:rsidRPr="009705AE">
        <w:rPr>
          <w:szCs w:val="24"/>
          <w:lang w:val="fr-CA"/>
        </w:rPr>
        <w:t xml:space="preserve"> processus de </w:t>
      </w:r>
      <w:r w:rsidR="007D2A32" w:rsidRPr="009705AE">
        <w:rPr>
          <w:rFonts w:eastAsia="Times New Roman"/>
          <w:szCs w:val="24"/>
          <w:lang w:val="fr-CA" w:eastAsia="en-CA"/>
        </w:rPr>
        <w:t>gestion des causes par un juge seul pour les affaires complexes</w:t>
      </w:r>
      <w:r w:rsidR="00790226" w:rsidRPr="009705AE">
        <w:rPr>
          <w:lang w:val="fr-CA"/>
        </w:rPr>
        <w:t>.</w:t>
      </w:r>
    </w:p>
    <w:p w14:paraId="6A2A4EFF" w14:textId="311BD849" w:rsidR="009F493E" w:rsidRPr="009705AE" w:rsidRDefault="00007815" w:rsidP="00DD690B">
      <w:pPr>
        <w:pStyle w:val="ListParagraph"/>
        <w:numPr>
          <w:ilvl w:val="1"/>
          <w:numId w:val="9"/>
        </w:numPr>
        <w:spacing w:before="240" w:after="240"/>
        <w:ind w:left="1123" w:hanging="403"/>
        <w:contextualSpacing w:val="0"/>
        <w:jc w:val="both"/>
        <w:rPr>
          <w:lang w:val="fr-CA"/>
        </w:rPr>
      </w:pPr>
      <w:r w:rsidRPr="009705AE">
        <w:rPr>
          <w:lang w:val="fr-CA"/>
        </w:rPr>
        <w:t xml:space="preserve">L’affaire qui est renvoyée au projet pilote </w:t>
      </w:r>
      <w:r w:rsidR="00DD690B" w:rsidRPr="009705AE">
        <w:rPr>
          <w:lang w:val="fr-CA"/>
        </w:rPr>
        <w:t xml:space="preserve">sera ajournée pour une période de deux semaines jusqu'à un </w:t>
      </w:r>
      <w:r w:rsidR="00DD690B" w:rsidRPr="00247605">
        <w:rPr>
          <w:u w:val="single"/>
          <w:lang w:val="fr-CA"/>
        </w:rPr>
        <w:t xml:space="preserve">lundi après-midi dans la salle d'audience CR4, à </w:t>
      </w:r>
      <w:r w:rsidR="00DD690B" w:rsidRPr="00247605">
        <w:rPr>
          <w:u w:val="single"/>
          <w:lang w:val="fr-CA"/>
        </w:rPr>
        <w:lastRenderedPageBreak/>
        <w:t>14</w:t>
      </w:r>
      <w:r w:rsidR="00247605" w:rsidRPr="00247605">
        <w:rPr>
          <w:u w:val="single"/>
          <w:lang w:val="fr-CA"/>
        </w:rPr>
        <w:t> </w:t>
      </w:r>
      <w:r w:rsidR="00DD690B" w:rsidRPr="00247605">
        <w:rPr>
          <w:u w:val="single"/>
          <w:lang w:val="fr-CA"/>
        </w:rPr>
        <w:t>h</w:t>
      </w:r>
      <w:r w:rsidR="00DD690B" w:rsidRPr="009705AE">
        <w:rPr>
          <w:lang w:val="fr-CA"/>
        </w:rPr>
        <w:t xml:space="preserve">, afin de fixer une date de comparution devant le juge affecté au dossier </w:t>
      </w:r>
      <w:r w:rsidR="006A39AE" w:rsidRPr="009705AE">
        <w:rPr>
          <w:lang w:val="fr-CA"/>
        </w:rPr>
        <w:t>[</w:t>
      </w:r>
      <w:r w:rsidR="00DD690B" w:rsidRPr="009705AE">
        <w:rPr>
          <w:lang w:val="fr-CA"/>
        </w:rPr>
        <w:t xml:space="preserve">le </w:t>
      </w:r>
      <w:r w:rsidR="002164D0">
        <w:rPr>
          <w:lang w:val="fr-CA"/>
        </w:rPr>
        <w:t>« </w:t>
      </w:r>
      <w:r w:rsidR="00DD690B" w:rsidRPr="009705AE">
        <w:rPr>
          <w:lang w:val="fr-CA"/>
        </w:rPr>
        <w:t xml:space="preserve">tribunal </w:t>
      </w:r>
      <w:r w:rsidR="00CA39C7" w:rsidRPr="009705AE">
        <w:rPr>
          <w:lang w:val="fr-CA"/>
        </w:rPr>
        <w:t>affecté au projet pilote</w:t>
      </w:r>
      <w:r w:rsidR="002164D0">
        <w:rPr>
          <w:lang w:val="fr-CA"/>
        </w:rPr>
        <w:t> »</w:t>
      </w:r>
      <w:r w:rsidR="006A39AE" w:rsidRPr="009705AE">
        <w:rPr>
          <w:lang w:val="fr-CA"/>
        </w:rPr>
        <w:t xml:space="preserve">].  </w:t>
      </w:r>
      <w:r w:rsidR="006F11A0" w:rsidRPr="009705AE">
        <w:rPr>
          <w:lang w:val="fr-CA"/>
        </w:rPr>
        <w:t xml:space="preserve"> </w:t>
      </w:r>
    </w:p>
    <w:p w14:paraId="25AAAFA3" w14:textId="2B872034" w:rsidR="009F493E" w:rsidRPr="009705AE" w:rsidRDefault="00B23A8E" w:rsidP="00036AAD">
      <w:pPr>
        <w:pStyle w:val="ListParagraph"/>
        <w:numPr>
          <w:ilvl w:val="1"/>
          <w:numId w:val="9"/>
        </w:numPr>
        <w:spacing w:before="240" w:after="240"/>
        <w:ind w:left="1123" w:hanging="403"/>
        <w:contextualSpacing w:val="0"/>
        <w:jc w:val="both"/>
        <w:rPr>
          <w:lang w:val="fr-CA"/>
        </w:rPr>
      </w:pPr>
      <w:r w:rsidRPr="009705AE">
        <w:rPr>
          <w:lang w:val="fr-CA"/>
        </w:rPr>
        <w:t>Au</w:t>
      </w:r>
      <w:r w:rsidR="00CA39C7" w:rsidRPr="009705AE">
        <w:rPr>
          <w:lang w:val="fr-CA"/>
        </w:rPr>
        <w:t xml:space="preserve"> tribunal affecté au projet pilote</w:t>
      </w:r>
      <w:r w:rsidR="000F1CD3" w:rsidRPr="009705AE">
        <w:rPr>
          <w:lang w:val="fr-CA"/>
        </w:rPr>
        <w:t xml:space="preserve">, </w:t>
      </w:r>
      <w:r w:rsidR="00CA39C7" w:rsidRPr="009705AE">
        <w:rPr>
          <w:lang w:val="fr-CA"/>
        </w:rPr>
        <w:t>l’affaire sera ajournée</w:t>
      </w:r>
      <w:r w:rsidRPr="009705AE">
        <w:rPr>
          <w:lang w:val="fr-CA"/>
        </w:rPr>
        <w:t xml:space="preserve"> devant le juge </w:t>
      </w:r>
      <w:r w:rsidRPr="009705AE">
        <w:rPr>
          <w:rFonts w:eastAsia="Times New Roman"/>
          <w:szCs w:val="24"/>
          <w:lang w:val="fr-CA" w:eastAsia="en-CA"/>
        </w:rPr>
        <w:t>du projet pilote de gestion des causes par un juge seul pour les affaires complexes</w:t>
      </w:r>
      <w:r w:rsidRPr="009705AE">
        <w:rPr>
          <w:lang w:val="fr-CA"/>
        </w:rPr>
        <w:t xml:space="preserve">, </w:t>
      </w:r>
      <w:r w:rsidR="005C1EE0" w:rsidRPr="009705AE">
        <w:rPr>
          <w:lang w:val="fr-CA"/>
        </w:rPr>
        <w:t xml:space="preserve">où elle </w:t>
      </w:r>
      <w:r w:rsidR="00094C94">
        <w:rPr>
          <w:lang w:val="fr-CA"/>
        </w:rPr>
        <w:t>restera</w:t>
      </w:r>
      <w:r w:rsidR="005C1EE0" w:rsidRPr="009705AE">
        <w:rPr>
          <w:lang w:val="fr-CA"/>
        </w:rPr>
        <w:t xml:space="preserve"> </w:t>
      </w:r>
      <w:r w:rsidR="00095AF6" w:rsidRPr="009705AE">
        <w:rPr>
          <w:lang w:val="fr-CA"/>
        </w:rPr>
        <w:t xml:space="preserve">jusqu'à ce que soit fixée une date d’enquête préliminaire ou de procès, ou jusqu’à ce qu'elle soit réglée par le juge </w:t>
      </w:r>
      <w:r w:rsidR="00095AF6" w:rsidRPr="009705AE">
        <w:rPr>
          <w:rFonts w:eastAsia="Times New Roman"/>
          <w:szCs w:val="24"/>
          <w:lang w:val="fr-CA" w:eastAsia="en-CA"/>
        </w:rPr>
        <w:t>du projet pilote de gestion des causes par un juge seul pour les affaires complexes</w:t>
      </w:r>
      <w:r w:rsidR="00095AF6" w:rsidRPr="009705AE">
        <w:rPr>
          <w:lang w:val="fr-CA"/>
        </w:rPr>
        <w:t xml:space="preserve"> </w:t>
      </w:r>
      <w:r w:rsidR="00923D41" w:rsidRPr="009705AE">
        <w:rPr>
          <w:lang w:val="fr-CA"/>
        </w:rPr>
        <w:t>(</w:t>
      </w:r>
      <w:r w:rsidR="00036AAD" w:rsidRPr="009705AE">
        <w:rPr>
          <w:lang w:val="fr-CA"/>
        </w:rPr>
        <w:t>ou un autre juge avec le consentement des parties</w:t>
      </w:r>
      <w:r w:rsidR="00923D41" w:rsidRPr="009705AE">
        <w:rPr>
          <w:lang w:val="fr-CA"/>
        </w:rPr>
        <w:t xml:space="preserve">). </w:t>
      </w:r>
    </w:p>
    <w:p w14:paraId="75B990F6" w14:textId="344CAC2C" w:rsidR="00755827" w:rsidRPr="009705AE" w:rsidRDefault="00036AAD" w:rsidP="00036AAD">
      <w:pPr>
        <w:pStyle w:val="ListParagraph"/>
        <w:numPr>
          <w:ilvl w:val="1"/>
          <w:numId w:val="9"/>
        </w:numPr>
        <w:spacing w:before="240" w:after="240"/>
        <w:ind w:left="1123" w:hanging="403"/>
        <w:contextualSpacing w:val="0"/>
        <w:jc w:val="both"/>
        <w:rPr>
          <w:lang w:val="fr-CA"/>
        </w:rPr>
      </w:pPr>
      <w:r w:rsidRPr="009705AE">
        <w:rPr>
          <w:lang w:val="fr-CA"/>
        </w:rPr>
        <w:t xml:space="preserve">Lorsqu'un accusé n'est pas représenté par un avocat au moment de la comparution au tribunal </w:t>
      </w:r>
      <w:r w:rsidRPr="009705AE">
        <w:rPr>
          <w:rFonts w:eastAsia="Times New Roman"/>
          <w:szCs w:val="24"/>
          <w:lang w:val="fr-CA" w:eastAsia="en-CA"/>
        </w:rPr>
        <w:t>de gestion des causes par un juge seul pour les affaires complexes</w:t>
      </w:r>
      <w:r w:rsidR="00755827" w:rsidRPr="009705AE">
        <w:rPr>
          <w:lang w:val="fr-CA"/>
        </w:rPr>
        <w:t xml:space="preserve">, </w:t>
      </w:r>
      <w:r w:rsidR="009705AE" w:rsidRPr="009705AE">
        <w:rPr>
          <w:lang w:val="fr-CA"/>
        </w:rPr>
        <w:t>un avocat de service d’Aide juridique Ontario sera présent pour aider l’accusé à remplir une demande d’aide juridique</w:t>
      </w:r>
      <w:r w:rsidR="00755827" w:rsidRPr="009705AE">
        <w:rPr>
          <w:lang w:val="fr-CA"/>
        </w:rPr>
        <w:t>.</w:t>
      </w:r>
    </w:p>
    <w:p w14:paraId="619BFE0A" w14:textId="700BCAF7" w:rsidR="000B462E" w:rsidRPr="009705AE" w:rsidRDefault="00E9717F" w:rsidP="009C2C38">
      <w:pPr>
        <w:pStyle w:val="ListParagraph"/>
        <w:numPr>
          <w:ilvl w:val="1"/>
          <w:numId w:val="9"/>
        </w:numPr>
        <w:spacing w:before="240" w:after="240"/>
        <w:ind w:left="1123" w:hanging="403"/>
        <w:contextualSpacing w:val="0"/>
        <w:jc w:val="both"/>
        <w:rPr>
          <w:lang w:val="fr-CA"/>
        </w:rPr>
      </w:pPr>
      <w:bookmarkStart w:id="0" w:name="_Hlk228953238"/>
      <w:r w:rsidRPr="009705AE">
        <w:rPr>
          <w:szCs w:val="24"/>
          <w:lang w:val="fr-CA"/>
        </w:rPr>
        <w:t xml:space="preserve">Le juge du tribunal </w:t>
      </w:r>
      <w:r w:rsidRPr="009705AE">
        <w:rPr>
          <w:rFonts w:eastAsia="Times New Roman"/>
          <w:szCs w:val="24"/>
          <w:lang w:val="fr-CA" w:eastAsia="en-CA"/>
        </w:rPr>
        <w:t>de gestion des causes par un juge seul pour les affaires complexes</w:t>
      </w:r>
      <w:r w:rsidRPr="009705AE">
        <w:rPr>
          <w:szCs w:val="24"/>
          <w:lang w:val="fr-CA"/>
        </w:rPr>
        <w:t xml:space="preserve"> n’est </w:t>
      </w:r>
      <w:r w:rsidRPr="009705AE">
        <w:rPr>
          <w:szCs w:val="24"/>
          <w:u w:val="single"/>
          <w:lang w:val="fr-CA"/>
        </w:rPr>
        <w:t>pas</w:t>
      </w:r>
      <w:r w:rsidRPr="009705AE">
        <w:rPr>
          <w:szCs w:val="24"/>
          <w:lang w:val="fr-CA"/>
        </w:rPr>
        <w:t xml:space="preserve"> un </w:t>
      </w:r>
      <w:r w:rsidRPr="009705AE">
        <w:rPr>
          <w:rFonts w:eastAsia="Times New Roman"/>
          <w:spacing w:val="-2"/>
          <w:kern w:val="36"/>
          <w:szCs w:val="24"/>
          <w:lang w:val="fr-CA" w:eastAsia="en-CA"/>
        </w:rPr>
        <w:t>juge responsable de la gestion de l’instance</w:t>
      </w:r>
      <w:r w:rsidRPr="009705AE">
        <w:rPr>
          <w:szCs w:val="24"/>
          <w:lang w:val="fr-CA"/>
        </w:rPr>
        <w:t xml:space="preserve"> nommé en vertu de l’article 551.1 du </w:t>
      </w:r>
      <w:r w:rsidRPr="009705AE">
        <w:rPr>
          <w:i/>
          <w:iCs/>
          <w:szCs w:val="24"/>
          <w:lang w:val="fr-CA"/>
        </w:rPr>
        <w:t>Code criminel,</w:t>
      </w:r>
      <w:r w:rsidRPr="009705AE">
        <w:rPr>
          <w:szCs w:val="24"/>
          <w:lang w:val="fr-CA"/>
        </w:rPr>
        <w:t xml:space="preserve"> à moins qu’un juge de ce type n’ait été nommé. </w:t>
      </w:r>
      <w:bookmarkEnd w:id="0"/>
      <w:r w:rsidR="00583700" w:rsidRPr="009705AE">
        <w:rPr>
          <w:szCs w:val="24"/>
          <w:lang w:val="fr-CA"/>
        </w:rPr>
        <w:t xml:space="preserve">La nomination d’un </w:t>
      </w:r>
      <w:r w:rsidR="00583700" w:rsidRPr="009705AE">
        <w:rPr>
          <w:rFonts w:eastAsia="Times New Roman"/>
          <w:spacing w:val="-2"/>
          <w:kern w:val="36"/>
          <w:szCs w:val="24"/>
          <w:lang w:val="fr-CA" w:eastAsia="en-CA"/>
        </w:rPr>
        <w:t>juge responsable de la gestion de l’instance</w:t>
      </w:r>
      <w:r w:rsidR="00583700" w:rsidRPr="009705AE">
        <w:rPr>
          <w:szCs w:val="24"/>
          <w:lang w:val="fr-CA"/>
        </w:rPr>
        <w:t xml:space="preserve"> en vertu de l’article 551.1 est envisagée si elle est nécessaire à </w:t>
      </w:r>
      <w:r w:rsidR="00583700" w:rsidRPr="009705AE">
        <w:rPr>
          <w:rFonts w:eastAsia="Times New Roman"/>
          <w:szCs w:val="24"/>
          <w:lang w:val="fr-CA" w:eastAsia="en-CA"/>
        </w:rPr>
        <w:t>la bonne administration de la justice</w:t>
      </w:r>
      <w:r w:rsidR="00583700" w:rsidRPr="009705AE">
        <w:rPr>
          <w:szCs w:val="24"/>
          <w:lang w:val="fr-CA"/>
        </w:rPr>
        <w:t xml:space="preserve">. Les parties peuvent présenter une demande de nomination d’un </w:t>
      </w:r>
      <w:r w:rsidR="00583700" w:rsidRPr="009705AE">
        <w:rPr>
          <w:rFonts w:eastAsia="Times New Roman"/>
          <w:spacing w:val="-2"/>
          <w:kern w:val="36"/>
          <w:szCs w:val="24"/>
          <w:lang w:val="fr-CA" w:eastAsia="en-CA"/>
        </w:rPr>
        <w:t xml:space="preserve">juge responsable de la gestion de l’instance ou le juge du </w:t>
      </w:r>
      <w:r w:rsidR="00583700" w:rsidRPr="009705AE">
        <w:rPr>
          <w:szCs w:val="24"/>
          <w:lang w:val="fr-CA"/>
        </w:rPr>
        <w:t xml:space="preserve">tribunal </w:t>
      </w:r>
      <w:r w:rsidR="00583700" w:rsidRPr="009705AE">
        <w:rPr>
          <w:rFonts w:eastAsia="Times New Roman"/>
          <w:szCs w:val="24"/>
          <w:lang w:val="fr-CA" w:eastAsia="en-CA"/>
        </w:rPr>
        <w:t>de gestion des causes par un juge seul pour les affaires complexes</w:t>
      </w:r>
      <w:r w:rsidR="00583700" w:rsidRPr="009705AE">
        <w:rPr>
          <w:szCs w:val="24"/>
          <w:lang w:val="fr-CA"/>
        </w:rPr>
        <w:t xml:space="preserve"> peut renvoyer l’affaire pour qu’un </w:t>
      </w:r>
      <w:r w:rsidR="00583700" w:rsidRPr="009705AE">
        <w:rPr>
          <w:rFonts w:eastAsia="Times New Roman"/>
          <w:spacing w:val="-2"/>
          <w:kern w:val="36"/>
          <w:szCs w:val="24"/>
          <w:lang w:val="fr-CA" w:eastAsia="en-CA"/>
        </w:rPr>
        <w:t xml:space="preserve">juge responsable de la gestion de l’instance soit nommé en vertu de l’article </w:t>
      </w:r>
      <w:r w:rsidR="00583700" w:rsidRPr="009705AE">
        <w:rPr>
          <w:szCs w:val="24"/>
          <w:lang w:val="fr-CA"/>
        </w:rPr>
        <w:t>551.1.</w:t>
      </w:r>
    </w:p>
    <w:p w14:paraId="19AA7D02" w14:textId="4B7DBE6C" w:rsidR="000D7F2C" w:rsidRPr="009705AE" w:rsidRDefault="00C20C4D">
      <w:pPr>
        <w:rPr>
          <w:lang w:val="fr-CA"/>
        </w:rPr>
      </w:pPr>
      <w:r w:rsidRPr="009705AE">
        <w:rPr>
          <w:lang w:val="fr-CA"/>
        </w:rPr>
        <w:tab/>
      </w:r>
    </w:p>
    <w:sectPr w:rsidR="000D7F2C" w:rsidRPr="009705AE">
      <w:headerReference w:type="even" r:id="rId8"/>
      <w:headerReference w:type="default" r:id="rId9"/>
      <w:headerReference w:type="firs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B537C" w14:textId="77777777" w:rsidR="00824636" w:rsidRDefault="00824636" w:rsidP="006A39AE">
      <w:pPr>
        <w:spacing w:after="0" w:line="240" w:lineRule="auto"/>
      </w:pPr>
      <w:r>
        <w:separator/>
      </w:r>
    </w:p>
  </w:endnote>
  <w:endnote w:type="continuationSeparator" w:id="0">
    <w:p w14:paraId="5EA10FF7" w14:textId="77777777" w:rsidR="00824636" w:rsidRDefault="00824636" w:rsidP="006A3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1F48C" w14:textId="77777777" w:rsidR="00824636" w:rsidRDefault="00824636" w:rsidP="006A39AE">
      <w:pPr>
        <w:spacing w:after="0" w:line="240" w:lineRule="auto"/>
      </w:pPr>
      <w:r>
        <w:separator/>
      </w:r>
    </w:p>
  </w:footnote>
  <w:footnote w:type="continuationSeparator" w:id="0">
    <w:p w14:paraId="0B5922B9" w14:textId="77777777" w:rsidR="00824636" w:rsidRDefault="00824636" w:rsidP="006A39AE">
      <w:pPr>
        <w:spacing w:after="0" w:line="240" w:lineRule="auto"/>
      </w:pPr>
      <w:r>
        <w:continuationSeparator/>
      </w:r>
    </w:p>
  </w:footnote>
  <w:footnote w:id="1">
    <w:p w14:paraId="43F76D9C" w14:textId="77777777" w:rsidR="00701B55" w:rsidRPr="00383CB1" w:rsidRDefault="00701B55" w:rsidP="00701B55">
      <w:pPr>
        <w:pStyle w:val="FootnoteText"/>
        <w:rPr>
          <w:lang w:val="fr-CA"/>
        </w:rPr>
      </w:pPr>
      <w:r w:rsidRPr="00383CB1">
        <w:rPr>
          <w:rStyle w:val="FootnoteReference"/>
          <w:lang w:val="fr-CA"/>
        </w:rPr>
        <w:footnoteRef/>
      </w:r>
      <w:r w:rsidRPr="00383CB1">
        <w:rPr>
          <w:lang w:val="fr-CA"/>
        </w:rPr>
        <w:t xml:space="preserve"> Les affaires admissibles comprennent les affaires qui portent sur une accusation de complot en vue de commettre une des infractions énumérées.</w:t>
      </w:r>
    </w:p>
  </w:footnote>
  <w:footnote w:id="2">
    <w:p w14:paraId="32DBE08A" w14:textId="77777777" w:rsidR="00ED5B3D" w:rsidRPr="00BC76EB" w:rsidRDefault="00ED5B3D" w:rsidP="00ED5B3D">
      <w:pPr>
        <w:pStyle w:val="FootnoteText"/>
        <w:rPr>
          <w:lang w:val="fr-CA"/>
        </w:rPr>
      </w:pPr>
      <w:r w:rsidRPr="00383CB1">
        <w:rPr>
          <w:rStyle w:val="FootnoteReference"/>
          <w:lang w:val="fr-CA"/>
        </w:rPr>
        <w:footnoteRef/>
      </w:r>
      <w:r w:rsidRPr="00383CB1">
        <w:rPr>
          <w:lang w:val="fr-CA"/>
        </w:rPr>
        <w:t xml:space="preserve"> </w:t>
      </w:r>
      <w:r w:rsidRPr="00BC76EB">
        <w:rPr>
          <w:lang w:val="fr-CA"/>
        </w:rPr>
        <w:t xml:space="preserve">Les </w:t>
      </w:r>
      <w:r w:rsidRPr="00BC76EB">
        <w:rPr>
          <w:rFonts w:eastAsia="Times New Roman" w:cs="Arial"/>
          <w:kern w:val="0"/>
          <w:lang w:val="fr-CA" w:eastAsia="en-CA"/>
          <w14:ligatures w14:val="none"/>
        </w:rPr>
        <w:t>affaires participant au projet</w:t>
      </w:r>
      <w:r w:rsidRPr="00BC76EB">
        <w:rPr>
          <w:lang w:val="fr-CA"/>
        </w:rPr>
        <w:t xml:space="preserve"> peuvent comprendre les affaires suivantes :</w:t>
      </w:r>
    </w:p>
    <w:p w14:paraId="3841CBBA" w14:textId="77777777" w:rsidR="00ED5B3D" w:rsidRPr="00BC76EB" w:rsidRDefault="00ED5B3D" w:rsidP="00ED5B3D">
      <w:pPr>
        <w:numPr>
          <w:ilvl w:val="0"/>
          <w:numId w:val="11"/>
        </w:numPr>
        <w:spacing w:after="0" w:line="240" w:lineRule="auto"/>
        <w:ind w:left="540"/>
        <w:rPr>
          <w:rFonts w:cs="Times New Roman"/>
          <w:sz w:val="20"/>
          <w:szCs w:val="20"/>
          <w:lang w:val="fr-CA"/>
        </w:rPr>
      </w:pPr>
      <w:r w:rsidRPr="00BC76EB">
        <w:rPr>
          <w:rFonts w:cs="Times New Roman"/>
          <w:sz w:val="20"/>
          <w:szCs w:val="20"/>
          <w:lang w:val="fr-CA"/>
        </w:rPr>
        <w:t>Les enquêtes désignées par un nom;</w:t>
      </w:r>
    </w:p>
    <w:p w14:paraId="4F315DE2" w14:textId="77777777" w:rsidR="00ED5B3D" w:rsidRPr="00BC76EB" w:rsidRDefault="00ED5B3D" w:rsidP="00ED5B3D">
      <w:pPr>
        <w:numPr>
          <w:ilvl w:val="0"/>
          <w:numId w:val="11"/>
        </w:numPr>
        <w:spacing w:after="0" w:line="240" w:lineRule="auto"/>
        <w:ind w:left="540"/>
        <w:rPr>
          <w:rFonts w:cs="Times New Roman"/>
          <w:sz w:val="20"/>
          <w:szCs w:val="20"/>
          <w:lang w:val="fr-CA"/>
        </w:rPr>
      </w:pPr>
      <w:r w:rsidRPr="00BC76EB">
        <w:rPr>
          <w:rFonts w:cs="Times New Roman"/>
          <w:sz w:val="20"/>
          <w:szCs w:val="20"/>
          <w:lang w:val="fr-CA"/>
        </w:rPr>
        <w:t>Les enquêtes expressément désignées par la police comme faisant partie du projet;</w:t>
      </w:r>
    </w:p>
    <w:p w14:paraId="33EB9399" w14:textId="77777777" w:rsidR="00ED5B3D" w:rsidRPr="00BC76EB" w:rsidRDefault="00ED5B3D" w:rsidP="00ED5B3D">
      <w:pPr>
        <w:numPr>
          <w:ilvl w:val="0"/>
          <w:numId w:val="11"/>
        </w:numPr>
        <w:spacing w:after="0" w:line="240" w:lineRule="auto"/>
        <w:ind w:left="540"/>
        <w:rPr>
          <w:rFonts w:cs="Times New Roman"/>
          <w:sz w:val="20"/>
          <w:szCs w:val="20"/>
          <w:lang w:val="fr-CA"/>
        </w:rPr>
      </w:pPr>
      <w:r w:rsidRPr="00BC76EB">
        <w:rPr>
          <w:rFonts w:cs="Times New Roman"/>
          <w:sz w:val="20"/>
          <w:szCs w:val="20"/>
          <w:lang w:val="fr-CA"/>
        </w:rPr>
        <w:t>Les affaires poursuivies par le Bureau des poursuites complexes du ministère du Procureur général ou l’Équipe volante intégrée de SPPC;</w:t>
      </w:r>
    </w:p>
    <w:p w14:paraId="6F8A2F05" w14:textId="77777777" w:rsidR="00ED5B3D" w:rsidRPr="00383CB1" w:rsidRDefault="00ED5B3D" w:rsidP="00ED5B3D">
      <w:pPr>
        <w:numPr>
          <w:ilvl w:val="0"/>
          <w:numId w:val="11"/>
        </w:numPr>
        <w:spacing w:after="0" w:line="240" w:lineRule="auto"/>
        <w:ind w:left="540"/>
        <w:rPr>
          <w:rFonts w:cs="Times New Roman"/>
          <w:sz w:val="20"/>
          <w:szCs w:val="20"/>
          <w:lang w:val="fr-CA"/>
        </w:rPr>
      </w:pPr>
      <w:r w:rsidRPr="00BC76EB">
        <w:rPr>
          <w:rFonts w:cs="Times New Roman"/>
          <w:sz w:val="20"/>
          <w:szCs w:val="20"/>
          <w:lang w:val="fr-CA"/>
        </w:rPr>
        <w:t>Les affaires qui satisfont à au moins deux des</w:t>
      </w:r>
      <w:r w:rsidRPr="00383CB1">
        <w:rPr>
          <w:rFonts w:cs="Times New Roman"/>
          <w:sz w:val="20"/>
          <w:szCs w:val="20"/>
          <w:lang w:val="fr-CA"/>
        </w:rPr>
        <w:t xml:space="preserve"> critères suivants : quatre accusés ou plus, autorisation donnée en vertu de la partie VI, trois autorisations judiciaires ou plus, intervention de multiples organismes d'application de la loi ou recours à des techniques d'enquête telles que des opérations d'infiltration, des agents civils ou des livraisons surveillées.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F7E5" w14:textId="63CF8111" w:rsidR="00E33DE1" w:rsidRDefault="00E33D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A8C9F" w14:textId="4C55FDA6" w:rsidR="00572F14" w:rsidRDefault="000B674F" w:rsidP="002029A2">
    <w:pPr>
      <w:tabs>
        <w:tab w:val="center" w:pos="4680"/>
        <w:tab w:val="right" w:pos="9360"/>
      </w:tabs>
      <w:spacing w:after="0" w:line="240" w:lineRule="auto"/>
      <w:jc w:val="right"/>
    </w:pPr>
    <w:r w:rsidRPr="000B674F">
      <w:rPr>
        <w:rFonts w:eastAsia="Arial" w:cs="Times New Roman"/>
        <w:kern w:val="2"/>
        <w:sz w:val="20"/>
        <w:szCs w:val="20"/>
        <w14:ligatures w14:val="standardContextual"/>
      </w:rPr>
      <w:t xml:space="preserve"> </w:t>
    </w:r>
  </w:p>
  <w:p w14:paraId="542D6A1D" w14:textId="1791AD0B" w:rsidR="00E33DE1" w:rsidRDefault="00E33DE1" w:rsidP="00572F14">
    <w:pPr>
      <w:tabs>
        <w:tab w:val="center" w:pos="4680"/>
        <w:tab w:val="right" w:pos="9360"/>
      </w:tabs>
      <w:spacing w:after="0" w:line="240" w:lineRule="aut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3476" w14:textId="22E91B78" w:rsidR="00E33DE1" w:rsidRDefault="00E33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A3B"/>
    <w:multiLevelType w:val="hybridMultilevel"/>
    <w:tmpl w:val="E99CB1FC"/>
    <w:lvl w:ilvl="0" w:tplc="0736FC40">
      <w:start w:val="2022"/>
      <w:numFmt w:val="bullet"/>
      <w:lvlText w:val="-"/>
      <w:lvlJc w:val="left"/>
      <w:pPr>
        <w:ind w:left="720" w:hanging="360"/>
      </w:pPr>
      <w:rPr>
        <w:rFonts w:ascii="Aptos" w:eastAsiaTheme="minorHAnsi"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A72112"/>
    <w:multiLevelType w:val="hybridMultilevel"/>
    <w:tmpl w:val="EBACAC7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E04B77"/>
    <w:multiLevelType w:val="hybridMultilevel"/>
    <w:tmpl w:val="E82A20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E5D41BA"/>
    <w:multiLevelType w:val="multilevel"/>
    <w:tmpl w:val="B0623D3E"/>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4970945"/>
    <w:multiLevelType w:val="multilevel"/>
    <w:tmpl w:val="ED7420FE"/>
    <w:lvl w:ilvl="0">
      <w:start w:val="1"/>
      <w:numFmt w:val="decimal"/>
      <w:lvlText w:val="%1."/>
      <w:lvlJc w:val="left"/>
      <w:pPr>
        <w:ind w:left="840" w:hanging="480"/>
      </w:pPr>
      <w:rPr>
        <w:rFonts w:hint="default"/>
      </w:rPr>
    </w:lvl>
    <w:lvl w:ilvl="1">
      <w:start w:val="1"/>
      <w:numFmt w:val="decimal"/>
      <w:isLgl/>
      <w:lvlText w:val="%1.%2"/>
      <w:lvlJc w:val="left"/>
      <w:pPr>
        <w:ind w:left="1560" w:hanging="720"/>
      </w:pPr>
      <w:rPr>
        <w:rFonts w:hint="default"/>
      </w:rPr>
    </w:lvl>
    <w:lvl w:ilvl="2">
      <w:start w:val="1"/>
      <w:numFmt w:val="decimal"/>
      <w:isLgl/>
      <w:lvlText w:val="%1.%2.%3"/>
      <w:lvlJc w:val="left"/>
      <w:pPr>
        <w:ind w:left="240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720" w:hanging="1440"/>
      </w:pPr>
      <w:rPr>
        <w:rFonts w:hint="default"/>
      </w:rPr>
    </w:lvl>
    <w:lvl w:ilvl="5">
      <w:start w:val="1"/>
      <w:numFmt w:val="decimal"/>
      <w:isLgl/>
      <w:lvlText w:val="%1.%2.%3.%4.%5.%6"/>
      <w:lvlJc w:val="left"/>
      <w:pPr>
        <w:ind w:left="456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6240" w:hanging="2520"/>
      </w:pPr>
      <w:rPr>
        <w:rFonts w:hint="default"/>
      </w:rPr>
    </w:lvl>
    <w:lvl w:ilvl="8">
      <w:start w:val="1"/>
      <w:numFmt w:val="decimal"/>
      <w:isLgl/>
      <w:lvlText w:val="%1.%2.%3.%4.%5.%6.%7.%8.%9"/>
      <w:lvlJc w:val="left"/>
      <w:pPr>
        <w:ind w:left="6720" w:hanging="2520"/>
      </w:pPr>
      <w:rPr>
        <w:rFonts w:hint="default"/>
      </w:rPr>
    </w:lvl>
  </w:abstractNum>
  <w:abstractNum w:abstractNumId="5" w15:restartNumberingAfterBreak="0">
    <w:nsid w:val="4CC737EE"/>
    <w:multiLevelType w:val="hybridMultilevel"/>
    <w:tmpl w:val="11C62A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53F2C36"/>
    <w:multiLevelType w:val="hybridMultilevel"/>
    <w:tmpl w:val="3E30042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F3C3A3D"/>
    <w:multiLevelType w:val="hybridMultilevel"/>
    <w:tmpl w:val="10D075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2F3599F"/>
    <w:multiLevelType w:val="hybridMultilevel"/>
    <w:tmpl w:val="5B94ABF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FFF480C"/>
    <w:multiLevelType w:val="hybridMultilevel"/>
    <w:tmpl w:val="6D60911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1423A07"/>
    <w:multiLevelType w:val="hybridMultilevel"/>
    <w:tmpl w:val="D15C5B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03721579">
    <w:abstractNumId w:val="4"/>
  </w:num>
  <w:num w:numId="2" w16cid:durableId="796293665">
    <w:abstractNumId w:val="1"/>
  </w:num>
  <w:num w:numId="3" w16cid:durableId="1630548554">
    <w:abstractNumId w:val="2"/>
  </w:num>
  <w:num w:numId="4" w16cid:durableId="1779911679">
    <w:abstractNumId w:val="9"/>
  </w:num>
  <w:num w:numId="5" w16cid:durableId="684483747">
    <w:abstractNumId w:val="5"/>
  </w:num>
  <w:num w:numId="6" w16cid:durableId="927542607">
    <w:abstractNumId w:val="10"/>
  </w:num>
  <w:num w:numId="7" w16cid:durableId="1929650172">
    <w:abstractNumId w:val="8"/>
  </w:num>
  <w:num w:numId="8" w16cid:durableId="2016493612">
    <w:abstractNumId w:val="6"/>
  </w:num>
  <w:num w:numId="9" w16cid:durableId="2015911438">
    <w:abstractNumId w:val="3"/>
  </w:num>
  <w:num w:numId="10" w16cid:durableId="152524524">
    <w:abstractNumId w:val="7"/>
  </w:num>
  <w:num w:numId="11" w16cid:durableId="1490907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9AE"/>
    <w:rsid w:val="00001EFC"/>
    <w:rsid w:val="00005BAD"/>
    <w:rsid w:val="0000723E"/>
    <w:rsid w:val="00007815"/>
    <w:rsid w:val="00013725"/>
    <w:rsid w:val="00016D3E"/>
    <w:rsid w:val="00036AAD"/>
    <w:rsid w:val="00075052"/>
    <w:rsid w:val="00094C94"/>
    <w:rsid w:val="00095AF6"/>
    <w:rsid w:val="000A755D"/>
    <w:rsid w:val="000B462E"/>
    <w:rsid w:val="000B674F"/>
    <w:rsid w:val="000B76A8"/>
    <w:rsid w:val="000D7F2C"/>
    <w:rsid w:val="000E5A72"/>
    <w:rsid w:val="000F1CD3"/>
    <w:rsid w:val="0011088D"/>
    <w:rsid w:val="001266F6"/>
    <w:rsid w:val="00171744"/>
    <w:rsid w:val="001944BB"/>
    <w:rsid w:val="00194FD2"/>
    <w:rsid w:val="001A222C"/>
    <w:rsid w:val="001A70E9"/>
    <w:rsid w:val="001B1E20"/>
    <w:rsid w:val="001D21EE"/>
    <w:rsid w:val="001E0B5F"/>
    <w:rsid w:val="001E1758"/>
    <w:rsid w:val="001E55FB"/>
    <w:rsid w:val="001F7F2E"/>
    <w:rsid w:val="002029A2"/>
    <w:rsid w:val="00203322"/>
    <w:rsid w:val="002164D0"/>
    <w:rsid w:val="00247605"/>
    <w:rsid w:val="00277C3B"/>
    <w:rsid w:val="002A6547"/>
    <w:rsid w:val="002C28E4"/>
    <w:rsid w:val="002E654E"/>
    <w:rsid w:val="00333C18"/>
    <w:rsid w:val="00352584"/>
    <w:rsid w:val="00360CED"/>
    <w:rsid w:val="0039701B"/>
    <w:rsid w:val="003E77BA"/>
    <w:rsid w:val="00435F14"/>
    <w:rsid w:val="00437193"/>
    <w:rsid w:val="0048173E"/>
    <w:rsid w:val="00484C0D"/>
    <w:rsid w:val="004A3668"/>
    <w:rsid w:val="004C7EA9"/>
    <w:rsid w:val="004F1825"/>
    <w:rsid w:val="0055120A"/>
    <w:rsid w:val="005535A2"/>
    <w:rsid w:val="00572F14"/>
    <w:rsid w:val="00576A3C"/>
    <w:rsid w:val="005828D7"/>
    <w:rsid w:val="00583700"/>
    <w:rsid w:val="00592C53"/>
    <w:rsid w:val="00594D2D"/>
    <w:rsid w:val="005C1EE0"/>
    <w:rsid w:val="005C239E"/>
    <w:rsid w:val="005D795C"/>
    <w:rsid w:val="005F3F59"/>
    <w:rsid w:val="005F722B"/>
    <w:rsid w:val="00606A67"/>
    <w:rsid w:val="006364A9"/>
    <w:rsid w:val="00650AD0"/>
    <w:rsid w:val="00657AB7"/>
    <w:rsid w:val="006A39AE"/>
    <w:rsid w:val="006B40F6"/>
    <w:rsid w:val="006C102C"/>
    <w:rsid w:val="006C3E2D"/>
    <w:rsid w:val="006D7A0D"/>
    <w:rsid w:val="006F11A0"/>
    <w:rsid w:val="00701B55"/>
    <w:rsid w:val="007126DE"/>
    <w:rsid w:val="00712FC5"/>
    <w:rsid w:val="007165F9"/>
    <w:rsid w:val="00716EDB"/>
    <w:rsid w:val="00723216"/>
    <w:rsid w:val="007350E0"/>
    <w:rsid w:val="007372B4"/>
    <w:rsid w:val="00747F65"/>
    <w:rsid w:val="00755827"/>
    <w:rsid w:val="00755B32"/>
    <w:rsid w:val="00784156"/>
    <w:rsid w:val="00790226"/>
    <w:rsid w:val="007C3D08"/>
    <w:rsid w:val="007D241D"/>
    <w:rsid w:val="007D2A32"/>
    <w:rsid w:val="00824636"/>
    <w:rsid w:val="00826986"/>
    <w:rsid w:val="008576B3"/>
    <w:rsid w:val="008753D6"/>
    <w:rsid w:val="00887ABE"/>
    <w:rsid w:val="00892881"/>
    <w:rsid w:val="008D115C"/>
    <w:rsid w:val="008D6570"/>
    <w:rsid w:val="00904907"/>
    <w:rsid w:val="00923D41"/>
    <w:rsid w:val="009462C9"/>
    <w:rsid w:val="009705AE"/>
    <w:rsid w:val="0097587A"/>
    <w:rsid w:val="009A37BE"/>
    <w:rsid w:val="009B2BDC"/>
    <w:rsid w:val="009C2C38"/>
    <w:rsid w:val="009F0D32"/>
    <w:rsid w:val="009F493E"/>
    <w:rsid w:val="00A21E91"/>
    <w:rsid w:val="00A31171"/>
    <w:rsid w:val="00A76347"/>
    <w:rsid w:val="00A836ED"/>
    <w:rsid w:val="00A875D5"/>
    <w:rsid w:val="00AC5F17"/>
    <w:rsid w:val="00AF7C46"/>
    <w:rsid w:val="00B052D9"/>
    <w:rsid w:val="00B23A8E"/>
    <w:rsid w:val="00B34871"/>
    <w:rsid w:val="00B7151B"/>
    <w:rsid w:val="00B95C91"/>
    <w:rsid w:val="00BB233D"/>
    <w:rsid w:val="00BC76EB"/>
    <w:rsid w:val="00BD17EE"/>
    <w:rsid w:val="00C20C4D"/>
    <w:rsid w:val="00C9650E"/>
    <w:rsid w:val="00CA39C7"/>
    <w:rsid w:val="00CB0CDE"/>
    <w:rsid w:val="00CB6EB3"/>
    <w:rsid w:val="00D03512"/>
    <w:rsid w:val="00D21D28"/>
    <w:rsid w:val="00D272CF"/>
    <w:rsid w:val="00D4054D"/>
    <w:rsid w:val="00D41449"/>
    <w:rsid w:val="00D5586A"/>
    <w:rsid w:val="00D94FB5"/>
    <w:rsid w:val="00D9550D"/>
    <w:rsid w:val="00DA1CE7"/>
    <w:rsid w:val="00DA3CFC"/>
    <w:rsid w:val="00DB5126"/>
    <w:rsid w:val="00DD0261"/>
    <w:rsid w:val="00DD4C0E"/>
    <w:rsid w:val="00DD690B"/>
    <w:rsid w:val="00E21620"/>
    <w:rsid w:val="00E275B9"/>
    <w:rsid w:val="00E33DE1"/>
    <w:rsid w:val="00E45AFD"/>
    <w:rsid w:val="00E5442E"/>
    <w:rsid w:val="00E55B9F"/>
    <w:rsid w:val="00E9717F"/>
    <w:rsid w:val="00ED5B3D"/>
    <w:rsid w:val="00FA4C13"/>
    <w:rsid w:val="00FA6F61"/>
    <w:rsid w:val="00FB1063"/>
    <w:rsid w:val="00FE18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15659"/>
  <w15:chartTrackingRefBased/>
  <w15:docId w15:val="{56CBFB3F-4F1B-4E25-B6FA-D4E8191C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9A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9A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A39A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A39A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39A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39A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39A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9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9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9A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9A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A39A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A39A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A39A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A39A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A39A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A3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9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9A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9A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A39AE"/>
    <w:pPr>
      <w:spacing w:before="160"/>
      <w:jc w:val="center"/>
    </w:pPr>
    <w:rPr>
      <w:i/>
      <w:iCs/>
      <w:color w:val="404040" w:themeColor="text1" w:themeTint="BF"/>
    </w:rPr>
  </w:style>
  <w:style w:type="character" w:customStyle="1" w:styleId="QuoteChar">
    <w:name w:val="Quote Char"/>
    <w:basedOn w:val="DefaultParagraphFont"/>
    <w:link w:val="Quote"/>
    <w:uiPriority w:val="29"/>
    <w:rsid w:val="006A39AE"/>
    <w:rPr>
      <w:i/>
      <w:iCs/>
      <w:color w:val="404040" w:themeColor="text1" w:themeTint="BF"/>
    </w:rPr>
  </w:style>
  <w:style w:type="paragraph" w:styleId="ListParagraph">
    <w:name w:val="List Paragraph"/>
    <w:basedOn w:val="Normal"/>
    <w:uiPriority w:val="34"/>
    <w:qFormat/>
    <w:rsid w:val="006A39AE"/>
    <w:pPr>
      <w:ind w:left="720"/>
      <w:contextualSpacing/>
    </w:pPr>
  </w:style>
  <w:style w:type="character" w:styleId="IntenseEmphasis">
    <w:name w:val="Intense Emphasis"/>
    <w:basedOn w:val="DefaultParagraphFont"/>
    <w:uiPriority w:val="21"/>
    <w:qFormat/>
    <w:rsid w:val="006A39AE"/>
    <w:rPr>
      <w:i/>
      <w:iCs/>
      <w:color w:val="0F4761" w:themeColor="accent1" w:themeShade="BF"/>
    </w:rPr>
  </w:style>
  <w:style w:type="paragraph" w:styleId="IntenseQuote">
    <w:name w:val="Intense Quote"/>
    <w:basedOn w:val="Normal"/>
    <w:next w:val="Normal"/>
    <w:link w:val="IntenseQuoteChar"/>
    <w:uiPriority w:val="30"/>
    <w:qFormat/>
    <w:rsid w:val="006A3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9AE"/>
    <w:rPr>
      <w:i/>
      <w:iCs/>
      <w:color w:val="0F4761" w:themeColor="accent1" w:themeShade="BF"/>
    </w:rPr>
  </w:style>
  <w:style w:type="character" w:styleId="IntenseReference">
    <w:name w:val="Intense Reference"/>
    <w:basedOn w:val="DefaultParagraphFont"/>
    <w:uiPriority w:val="32"/>
    <w:qFormat/>
    <w:rsid w:val="006A39AE"/>
    <w:rPr>
      <w:b/>
      <w:bCs/>
      <w:smallCaps/>
      <w:color w:val="0F4761" w:themeColor="accent1" w:themeShade="BF"/>
      <w:spacing w:val="5"/>
    </w:rPr>
  </w:style>
  <w:style w:type="paragraph" w:styleId="FootnoteText">
    <w:name w:val="footnote text"/>
    <w:basedOn w:val="Normal"/>
    <w:link w:val="FootnoteTextChar"/>
    <w:uiPriority w:val="99"/>
    <w:semiHidden/>
    <w:unhideWhenUsed/>
    <w:rsid w:val="006A39AE"/>
    <w:pPr>
      <w:spacing w:after="0" w:line="240" w:lineRule="auto"/>
    </w:pPr>
    <w:rPr>
      <w:rFonts w:cs="Times New Roman"/>
      <w:kern w:val="2"/>
      <w:sz w:val="20"/>
      <w:szCs w:val="20"/>
      <w14:ligatures w14:val="standardContextual"/>
    </w:rPr>
  </w:style>
  <w:style w:type="character" w:customStyle="1" w:styleId="FootnoteTextChar">
    <w:name w:val="Footnote Text Char"/>
    <w:basedOn w:val="DefaultParagraphFont"/>
    <w:link w:val="FootnoteText"/>
    <w:uiPriority w:val="99"/>
    <w:semiHidden/>
    <w:rsid w:val="006A39AE"/>
    <w:rPr>
      <w:rFonts w:cs="Times New Roman"/>
      <w:kern w:val="2"/>
      <w:sz w:val="20"/>
      <w:szCs w:val="20"/>
      <w14:ligatures w14:val="standardContextual"/>
    </w:rPr>
  </w:style>
  <w:style w:type="character" w:styleId="FootnoteReference">
    <w:name w:val="footnote reference"/>
    <w:basedOn w:val="DefaultParagraphFont"/>
    <w:uiPriority w:val="99"/>
    <w:semiHidden/>
    <w:unhideWhenUsed/>
    <w:rsid w:val="006A39AE"/>
    <w:rPr>
      <w:vertAlign w:val="superscript"/>
    </w:rPr>
  </w:style>
  <w:style w:type="paragraph" w:styleId="Revision">
    <w:name w:val="Revision"/>
    <w:hidden/>
    <w:uiPriority w:val="99"/>
    <w:semiHidden/>
    <w:rsid w:val="009F493E"/>
    <w:pPr>
      <w:spacing w:after="0" w:line="240" w:lineRule="auto"/>
    </w:pPr>
  </w:style>
  <w:style w:type="paragraph" w:styleId="Header">
    <w:name w:val="header"/>
    <w:basedOn w:val="Normal"/>
    <w:link w:val="HeaderChar"/>
    <w:uiPriority w:val="99"/>
    <w:unhideWhenUsed/>
    <w:rsid w:val="00E33D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DE1"/>
  </w:style>
  <w:style w:type="paragraph" w:styleId="Footer">
    <w:name w:val="footer"/>
    <w:basedOn w:val="Normal"/>
    <w:link w:val="FooterChar"/>
    <w:uiPriority w:val="99"/>
    <w:unhideWhenUsed/>
    <w:rsid w:val="00E33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ADDAA-9326-4469-BA79-62215D02576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765</Words>
  <Characters>4365</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Broderick, Justice Jennifer (OCJ)</dc:creator>
  <cp:keywords/>
  <dc:description/>
  <cp:lastModifiedBy>Okonkwo, Chukwuemeka (JUD)</cp:lastModifiedBy>
  <cp:revision>2</cp:revision>
  <dcterms:created xsi:type="dcterms:W3CDTF">2026-10-28T17:08:00Z</dcterms:created>
  <dcterms:modified xsi:type="dcterms:W3CDTF">2026-10-28T17:08:00Z</dcterms:modified>
</cp:coreProperties>
</file>