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AE530" w14:textId="10E7A412" w:rsidR="00801074" w:rsidRPr="006E719B" w:rsidRDefault="00801074" w:rsidP="00087A14">
      <w:pPr>
        <w:jc w:val="center"/>
        <w:rPr>
          <w:rFonts w:ascii="Arial" w:eastAsia="Arial" w:hAnsi="Arial" w:cs="Times New Roman"/>
          <w:b/>
          <w:bCs/>
          <w:color w:val="000000"/>
          <w:kern w:val="0"/>
          <w:sz w:val="24"/>
          <w:szCs w:val="24"/>
          <w:lang w:val="en-US"/>
        </w:rPr>
      </w:pPr>
      <w:r w:rsidRPr="006E719B">
        <w:rPr>
          <w:rFonts w:ascii="Arial" w:eastAsia="Arial" w:hAnsi="Arial" w:cs="Times New Roman"/>
          <w:b/>
          <w:bCs/>
          <w:color w:val="000000"/>
          <w:kern w:val="0"/>
          <w:sz w:val="24"/>
          <w:szCs w:val="24"/>
          <w:lang w:val="en-US"/>
        </w:rPr>
        <w:t>Single Judge Case Management for Complex Cases</w:t>
      </w:r>
    </w:p>
    <w:p w14:paraId="42B5021F" w14:textId="7B7F2588" w:rsidR="00087A14" w:rsidRPr="006E719B" w:rsidRDefault="00087A14" w:rsidP="006E719B">
      <w:pPr>
        <w:jc w:val="center"/>
        <w:rPr>
          <w:rFonts w:ascii="Arial" w:eastAsia="Arial" w:hAnsi="Arial" w:cs="Times New Roman"/>
          <w:b/>
          <w:bCs/>
          <w:color w:val="000000"/>
          <w:kern w:val="0"/>
          <w:sz w:val="24"/>
          <w:szCs w:val="24"/>
          <w:lang w:val="en-US"/>
        </w:rPr>
      </w:pPr>
      <w:r w:rsidRPr="006E719B">
        <w:rPr>
          <w:rFonts w:ascii="Arial" w:eastAsia="Arial" w:hAnsi="Arial" w:cs="Times New Roman"/>
          <w:b/>
          <w:bCs/>
          <w:color w:val="000000"/>
          <w:kern w:val="0"/>
          <w:sz w:val="24"/>
          <w:szCs w:val="24"/>
          <w:lang w:val="en-US"/>
        </w:rPr>
        <w:t>Hamilton Process</w:t>
      </w:r>
      <w:r w:rsidR="00836A51">
        <w:rPr>
          <w:rFonts w:ascii="Arial" w:eastAsia="Arial" w:hAnsi="Arial" w:cs="Times New Roman"/>
          <w:b/>
          <w:bCs/>
          <w:color w:val="000000"/>
          <w:kern w:val="0"/>
          <w:sz w:val="24"/>
          <w:szCs w:val="24"/>
          <w:lang w:val="en-US"/>
        </w:rPr>
        <w:t xml:space="preserve"> Document</w:t>
      </w:r>
    </w:p>
    <w:p w14:paraId="486D2DF7" w14:textId="77777777" w:rsidR="00161969" w:rsidRPr="006E719B" w:rsidRDefault="00161969" w:rsidP="00860E76">
      <w:pPr>
        <w:rPr>
          <w:rFonts w:ascii="Arial" w:eastAsia="Arial" w:hAnsi="Arial" w:cs="Times New Roman"/>
          <w:color w:val="000000"/>
          <w:kern w:val="0"/>
          <w:sz w:val="24"/>
          <w:szCs w:val="24"/>
          <w:lang w:val="en-US"/>
        </w:rPr>
      </w:pPr>
    </w:p>
    <w:p w14:paraId="6413391C" w14:textId="7F8B31B0" w:rsidR="00087A14" w:rsidRPr="006E719B" w:rsidRDefault="006E719B" w:rsidP="00342373">
      <w:pPr>
        <w:jc w:val="both"/>
        <w:rPr>
          <w:rFonts w:ascii="Arial" w:hAnsi="Arial" w:cs="Arial"/>
          <w:b/>
          <w:bCs/>
          <w:sz w:val="24"/>
          <w:szCs w:val="24"/>
        </w:rPr>
      </w:pPr>
      <w:r w:rsidRPr="006E719B">
        <w:rPr>
          <w:rFonts w:ascii="Arial" w:eastAsia="Times New Roman" w:hAnsi="Arial" w:cs="Arial"/>
          <w:sz w:val="24"/>
          <w:szCs w:val="24"/>
          <w:lang w:val="en-US" w:eastAsia="en-CA"/>
        </w:rPr>
        <w:t xml:space="preserve">The Ontario Court of Justice in </w:t>
      </w:r>
      <w:r>
        <w:rPr>
          <w:rFonts w:ascii="Arial" w:eastAsia="Times New Roman" w:hAnsi="Arial" w:cs="Arial"/>
          <w:sz w:val="24"/>
          <w:szCs w:val="24"/>
          <w:lang w:val="en-US" w:eastAsia="en-CA"/>
        </w:rPr>
        <w:t>Hamilton is</w:t>
      </w:r>
      <w:r w:rsidRPr="006E719B">
        <w:rPr>
          <w:rFonts w:ascii="Arial" w:eastAsia="Times New Roman" w:hAnsi="Arial" w:cs="Arial"/>
          <w:sz w:val="24"/>
          <w:szCs w:val="24"/>
          <w:lang w:val="en-US" w:eastAsia="en-CA"/>
        </w:rPr>
        <w:t xml:space="preserve"> participating in the Ontario Court of Justice Pilot Project for Single Judge Case Management for Complex Cases (“SJCM”).  The objective of the pilot project is to help streamline case management of complex matters in the Ontario Court of Justice.</w:t>
      </w:r>
      <w:r w:rsidRPr="006E719B">
        <w:rPr>
          <w:rFonts w:eastAsia="Times New Roman"/>
          <w:sz w:val="24"/>
          <w:szCs w:val="24"/>
          <w:lang w:val="en-US" w:eastAsia="en-CA"/>
        </w:rPr>
        <w:t xml:space="preserve">  </w:t>
      </w:r>
      <w:r w:rsidR="00087A14" w:rsidRPr="006E719B">
        <w:rPr>
          <w:rFonts w:ascii="Arial" w:eastAsia="Arial" w:hAnsi="Arial" w:cs="Times New Roman"/>
          <w:color w:val="000000"/>
          <w:kern w:val="0"/>
          <w:sz w:val="24"/>
          <w:szCs w:val="24"/>
          <w:lang w:val="en-US"/>
        </w:rPr>
        <w:t>This Appendix outlines local process information for the application of the Single Judge Case Management for Complex Cases</w:t>
      </w:r>
      <w:r w:rsidR="00342373" w:rsidRPr="006E719B">
        <w:rPr>
          <w:rFonts w:ascii="Arial" w:eastAsia="Arial" w:hAnsi="Arial" w:cs="Times New Roman"/>
          <w:color w:val="000000"/>
          <w:kern w:val="0"/>
          <w:sz w:val="24"/>
          <w:szCs w:val="24"/>
          <w:lang w:val="en-US"/>
        </w:rPr>
        <w:t xml:space="preserve"> (</w:t>
      </w:r>
      <w:bookmarkStart w:id="0" w:name="_Hlk228715307"/>
      <w:r w:rsidR="00342373" w:rsidRPr="006E719B">
        <w:rPr>
          <w:rFonts w:ascii="Arial" w:eastAsia="Arial" w:hAnsi="Arial" w:cs="Times New Roman"/>
          <w:color w:val="000000"/>
          <w:kern w:val="0"/>
          <w:sz w:val="24"/>
          <w:szCs w:val="24"/>
          <w:lang w:val="en-US"/>
        </w:rPr>
        <w:t>SJCM</w:t>
      </w:r>
      <w:bookmarkEnd w:id="0"/>
      <w:r w:rsidR="00342373" w:rsidRPr="006E719B">
        <w:rPr>
          <w:rFonts w:ascii="Arial" w:eastAsia="Arial" w:hAnsi="Arial" w:cs="Times New Roman"/>
          <w:color w:val="000000"/>
          <w:kern w:val="0"/>
          <w:sz w:val="24"/>
          <w:szCs w:val="24"/>
          <w:lang w:val="en-US"/>
        </w:rPr>
        <w:t>)</w:t>
      </w:r>
      <w:r w:rsidR="00087A14" w:rsidRPr="006E719B">
        <w:rPr>
          <w:rFonts w:ascii="Arial" w:eastAsia="Arial" w:hAnsi="Arial" w:cs="Times New Roman"/>
          <w:color w:val="000000"/>
          <w:kern w:val="0"/>
          <w:sz w:val="24"/>
          <w:szCs w:val="24"/>
          <w:lang w:val="en-US"/>
        </w:rPr>
        <w:t xml:space="preserve"> Pilot Project in Hamilton. </w:t>
      </w:r>
      <w:r w:rsidR="00342373" w:rsidRPr="006E719B">
        <w:rPr>
          <w:rFonts w:ascii="Arial" w:eastAsia="Arial" w:hAnsi="Arial" w:cs="Times New Roman"/>
          <w:color w:val="000000"/>
          <w:kern w:val="0"/>
          <w:sz w:val="24"/>
          <w:szCs w:val="24"/>
          <w:lang w:val="en-US"/>
        </w:rPr>
        <w:t xml:space="preserve">The </w:t>
      </w:r>
      <w:r w:rsidR="0098312B" w:rsidRPr="006E719B">
        <w:rPr>
          <w:rFonts w:ascii="Arial" w:eastAsia="Arial" w:hAnsi="Arial" w:cs="Times New Roman"/>
          <w:color w:val="000000"/>
          <w:kern w:val="0"/>
          <w:sz w:val="24"/>
          <w:szCs w:val="24"/>
          <w:lang w:val="en-US"/>
        </w:rPr>
        <w:t>SJ</w:t>
      </w:r>
      <w:r w:rsidR="004338BF" w:rsidRPr="006E719B">
        <w:rPr>
          <w:rFonts w:ascii="Arial" w:eastAsia="Arial" w:hAnsi="Arial" w:cs="Times New Roman"/>
          <w:color w:val="000000"/>
          <w:kern w:val="0"/>
          <w:sz w:val="24"/>
          <w:szCs w:val="24"/>
          <w:lang w:val="en-US"/>
        </w:rPr>
        <w:t>CM</w:t>
      </w:r>
      <w:r w:rsidR="0098312B" w:rsidRPr="006E719B">
        <w:rPr>
          <w:rFonts w:ascii="Arial" w:eastAsia="Arial" w:hAnsi="Arial" w:cs="Times New Roman"/>
          <w:color w:val="000000"/>
          <w:kern w:val="0"/>
          <w:sz w:val="24"/>
          <w:szCs w:val="24"/>
          <w:lang w:val="en-US"/>
        </w:rPr>
        <w:t xml:space="preserve"> </w:t>
      </w:r>
      <w:r w:rsidR="00087A14" w:rsidRPr="006E719B">
        <w:rPr>
          <w:rFonts w:ascii="Arial" w:eastAsia="Arial" w:hAnsi="Arial" w:cs="Times New Roman"/>
          <w:color w:val="000000"/>
          <w:kern w:val="0"/>
          <w:sz w:val="24"/>
          <w:szCs w:val="24"/>
          <w:lang w:val="en-US"/>
        </w:rPr>
        <w:t xml:space="preserve">Pilot Project for Hamilton starts on </w:t>
      </w:r>
      <w:r w:rsidR="00836A51">
        <w:rPr>
          <w:rFonts w:ascii="Arial" w:eastAsia="Arial" w:hAnsi="Arial" w:cs="Times New Roman"/>
          <w:color w:val="000000"/>
          <w:kern w:val="0"/>
          <w:sz w:val="24"/>
          <w:szCs w:val="24"/>
          <w:lang w:val="en-US"/>
        </w:rPr>
        <w:t>October 13</w:t>
      </w:r>
      <w:r w:rsidR="00087A14" w:rsidRPr="006E719B">
        <w:rPr>
          <w:rFonts w:ascii="Arial" w:eastAsia="Arial" w:hAnsi="Arial" w:cs="Times New Roman"/>
          <w:color w:val="000000"/>
          <w:kern w:val="0"/>
          <w:sz w:val="24"/>
          <w:szCs w:val="24"/>
          <w:lang w:val="en-US"/>
        </w:rPr>
        <w:t>, 2026.</w:t>
      </w:r>
    </w:p>
    <w:p w14:paraId="484C670C" w14:textId="77777777" w:rsidR="00087A14" w:rsidRPr="006E719B" w:rsidRDefault="00087A14" w:rsidP="00860E76">
      <w:pPr>
        <w:rPr>
          <w:rFonts w:ascii="Arial" w:hAnsi="Arial" w:cs="Arial"/>
          <w:b/>
          <w:bCs/>
          <w:sz w:val="24"/>
          <w:szCs w:val="24"/>
        </w:rPr>
      </w:pPr>
    </w:p>
    <w:p w14:paraId="5CF67250" w14:textId="53A27889" w:rsidR="00087A14" w:rsidRPr="006E719B" w:rsidRDefault="00087A14" w:rsidP="00087A14">
      <w:pPr>
        <w:pStyle w:val="ListParagraph"/>
        <w:numPr>
          <w:ilvl w:val="0"/>
          <w:numId w:val="4"/>
        </w:numPr>
        <w:rPr>
          <w:rFonts w:ascii="Arial" w:hAnsi="Arial" w:cs="Arial"/>
          <w:b/>
          <w:bCs/>
          <w:sz w:val="24"/>
          <w:szCs w:val="24"/>
        </w:rPr>
      </w:pPr>
      <w:r w:rsidRPr="006E719B">
        <w:rPr>
          <w:rFonts w:ascii="Arial" w:hAnsi="Arial" w:cs="Arial"/>
          <w:b/>
          <w:bCs/>
          <w:sz w:val="24"/>
          <w:szCs w:val="24"/>
        </w:rPr>
        <w:t>Application of the Pilot:</w:t>
      </w:r>
    </w:p>
    <w:p w14:paraId="0EE6F1F4" w14:textId="77777777" w:rsidR="00087A14" w:rsidRPr="006E719B" w:rsidRDefault="00087A14" w:rsidP="00087A14">
      <w:pPr>
        <w:pStyle w:val="ListParagraph"/>
        <w:rPr>
          <w:rFonts w:ascii="Arial" w:hAnsi="Arial" w:cs="Arial"/>
          <w:sz w:val="24"/>
          <w:szCs w:val="24"/>
        </w:rPr>
      </w:pPr>
    </w:p>
    <w:p w14:paraId="63AEE2EC" w14:textId="4FC42972" w:rsidR="00087A14" w:rsidRPr="006E719B" w:rsidRDefault="00087A14" w:rsidP="00935D52">
      <w:pPr>
        <w:pStyle w:val="ListParagraph"/>
        <w:numPr>
          <w:ilvl w:val="1"/>
          <w:numId w:val="7"/>
        </w:numPr>
        <w:rPr>
          <w:rFonts w:ascii="Arial" w:hAnsi="Arial" w:cs="Arial"/>
          <w:sz w:val="24"/>
          <w:szCs w:val="24"/>
          <w:lang w:val="en-US"/>
        </w:rPr>
      </w:pPr>
      <w:bookmarkStart w:id="1" w:name="_Hlk228952661"/>
      <w:r w:rsidRPr="006E719B">
        <w:rPr>
          <w:rFonts w:ascii="Arial" w:hAnsi="Arial" w:cs="Arial"/>
          <w:sz w:val="24"/>
          <w:szCs w:val="24"/>
          <w:lang w:val="en-US"/>
        </w:rPr>
        <w:t>Matters that are eligible for single judge case management are</w:t>
      </w:r>
      <w:r w:rsidRPr="006E719B">
        <w:rPr>
          <w:rFonts w:ascii="Arial" w:hAnsi="Arial" w:cs="Arial"/>
          <w:sz w:val="24"/>
          <w:szCs w:val="24"/>
          <w:vertAlign w:val="superscript"/>
          <w:lang w:val="en-US"/>
        </w:rPr>
        <w:footnoteReference w:id="1"/>
      </w:r>
      <w:r w:rsidRPr="006E719B">
        <w:rPr>
          <w:rFonts w:ascii="Arial" w:hAnsi="Arial" w:cs="Arial"/>
          <w:sz w:val="24"/>
          <w:szCs w:val="24"/>
          <w:lang w:val="en-US"/>
        </w:rPr>
        <w:t xml:space="preserve">: </w:t>
      </w:r>
    </w:p>
    <w:p w14:paraId="1B46D8F8"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Homicide</w:t>
      </w:r>
    </w:p>
    <w:p w14:paraId="07FE7053"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 xml:space="preserve">Attempt Murder </w:t>
      </w:r>
    </w:p>
    <w:p w14:paraId="4727C58B"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Child sexual offences</w:t>
      </w:r>
    </w:p>
    <w:p w14:paraId="5BD23179"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Sexual interference (s. 151)</w:t>
      </w:r>
    </w:p>
    <w:p w14:paraId="29C0CFD7"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Invitation to sexual touching (s. 152)</w:t>
      </w:r>
    </w:p>
    <w:p w14:paraId="64F23F9F"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Sexual exploitation (s. 153)</w:t>
      </w:r>
    </w:p>
    <w:p w14:paraId="3C7FB2C5"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Child sexual abuse and exploitation material (s. 163.1)</w:t>
      </w:r>
    </w:p>
    <w:p w14:paraId="09F9FAA6"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Parent or guardian procuring sexual activity (s. 170)</w:t>
      </w:r>
    </w:p>
    <w:p w14:paraId="561165EE"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Householder permitting prohibited sexual activity (s. 171)</w:t>
      </w:r>
    </w:p>
    <w:p w14:paraId="74803B11"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Making sexually explicit material available to child (s. 171.1)</w:t>
      </w:r>
    </w:p>
    <w:p w14:paraId="7666F2AF"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Luring a child (s. 172.1)</w:t>
      </w:r>
    </w:p>
    <w:p w14:paraId="667918FC"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Agreement or arrangement – sexual offence against a child (s. 172.2)</w:t>
      </w:r>
    </w:p>
    <w:p w14:paraId="4EC06DA9"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Sexual assault in respect of complainant under the age of 16 years (ss. 271, 272 or 273)</w:t>
      </w:r>
    </w:p>
    <w:p w14:paraId="473BDEBC"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Trafficking of a person under the age of 18 years (s. 279.011)</w:t>
      </w:r>
    </w:p>
    <w:p w14:paraId="5EDCB32D"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Material benefit – trafficking (s. 279.02)</w:t>
      </w:r>
    </w:p>
    <w:p w14:paraId="53D2C03B" w14:textId="77777777" w:rsidR="00087A14" w:rsidRPr="006E719B" w:rsidRDefault="00087A14" w:rsidP="00087A14">
      <w:pPr>
        <w:pStyle w:val="ListParagraph"/>
        <w:numPr>
          <w:ilvl w:val="3"/>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Sexual services in respect of a complainant under the age of 18 (ss. 286.1, 286.2, 286.3, 286.4)</w:t>
      </w:r>
    </w:p>
    <w:p w14:paraId="57256D13"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Sexual assault where the Crown is proceeding by indictment and seeking a penitentiary sentence</w:t>
      </w:r>
    </w:p>
    <w:p w14:paraId="51D66358"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Human trafficking</w:t>
      </w:r>
    </w:p>
    <w:p w14:paraId="28AE00F6"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Firearms use offences (not firearms possession alone)</w:t>
      </w:r>
    </w:p>
    <w:p w14:paraId="3667969D"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i/>
          <w:iCs/>
          <w:kern w:val="0"/>
          <w:sz w:val="24"/>
          <w:szCs w:val="24"/>
          <w:lang w:eastAsia="en-CA"/>
          <w14:ligatures w14:val="none"/>
        </w:rPr>
        <w:t xml:space="preserve">Criminal Code </w:t>
      </w:r>
      <w:r w:rsidRPr="006E719B">
        <w:rPr>
          <w:rFonts w:ascii="Arial" w:eastAsia="Times New Roman" w:hAnsi="Arial" w:cs="Arial"/>
          <w:kern w:val="0"/>
          <w:sz w:val="24"/>
          <w:szCs w:val="24"/>
          <w:lang w:eastAsia="en-CA"/>
          <w14:ligatures w14:val="none"/>
        </w:rPr>
        <w:t xml:space="preserve">driving offence where a death has occurred </w:t>
      </w:r>
    </w:p>
    <w:p w14:paraId="3F09D62F" w14:textId="77777777"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 xml:space="preserve">Criminal Organization offences </w:t>
      </w:r>
    </w:p>
    <w:p w14:paraId="41B00850" w14:textId="53CACBEE" w:rsidR="00087A14"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lastRenderedPageBreak/>
        <w:t>Project cases</w:t>
      </w:r>
      <w:r w:rsidR="0098312B" w:rsidRPr="006E719B">
        <w:rPr>
          <w:rStyle w:val="FootnoteReference"/>
          <w:rFonts w:ascii="Arial" w:eastAsia="Times New Roman" w:hAnsi="Arial" w:cs="Arial"/>
          <w:kern w:val="0"/>
          <w:sz w:val="24"/>
          <w:szCs w:val="24"/>
          <w:lang w:eastAsia="en-CA"/>
          <w14:ligatures w14:val="none"/>
        </w:rPr>
        <w:footnoteReference w:id="2"/>
      </w:r>
      <w:r w:rsidRPr="006E719B">
        <w:rPr>
          <w:rFonts w:ascii="Arial" w:eastAsia="Times New Roman" w:hAnsi="Arial" w:cs="Arial"/>
          <w:kern w:val="0"/>
          <w:sz w:val="24"/>
          <w:szCs w:val="24"/>
          <w:lang w:eastAsia="en-CA"/>
          <w14:ligatures w14:val="none"/>
        </w:rPr>
        <w:t xml:space="preserve"> </w:t>
      </w:r>
    </w:p>
    <w:p w14:paraId="196CCC90" w14:textId="46617B7A" w:rsidR="0098312B" w:rsidRPr="006E719B" w:rsidRDefault="00087A14" w:rsidP="00087A14">
      <w:pPr>
        <w:pStyle w:val="ListParagraph"/>
        <w:numPr>
          <w:ilvl w:val="2"/>
          <w:numId w:val="5"/>
        </w:numPr>
        <w:spacing w:after="0" w:line="240" w:lineRule="auto"/>
        <w:contextualSpacing w:val="0"/>
        <w:rPr>
          <w:rFonts w:ascii="Arial" w:eastAsia="Times New Roman" w:hAnsi="Arial" w:cs="Arial"/>
          <w:kern w:val="0"/>
          <w:sz w:val="24"/>
          <w:szCs w:val="24"/>
          <w:lang w:eastAsia="en-CA"/>
          <w14:ligatures w14:val="none"/>
        </w:rPr>
      </w:pPr>
      <w:r w:rsidRPr="006E719B">
        <w:rPr>
          <w:rFonts w:ascii="Arial" w:eastAsia="Times New Roman" w:hAnsi="Arial" w:cs="Arial"/>
          <w:kern w:val="0"/>
          <w:sz w:val="24"/>
          <w:szCs w:val="24"/>
          <w:lang w:eastAsia="en-CA"/>
          <w14:ligatures w14:val="none"/>
        </w:rPr>
        <w:t>Terrorism and other national security offences</w:t>
      </w:r>
    </w:p>
    <w:p w14:paraId="7D8E1B8F" w14:textId="77777777" w:rsidR="00087A14" w:rsidRPr="006E719B" w:rsidRDefault="00087A14" w:rsidP="00551EDF">
      <w:pPr>
        <w:pStyle w:val="ListParagraph"/>
        <w:spacing w:after="0" w:line="240" w:lineRule="auto"/>
        <w:ind w:left="2160"/>
        <w:contextualSpacing w:val="0"/>
        <w:rPr>
          <w:rFonts w:ascii="Arial" w:hAnsi="Arial" w:cs="Arial"/>
          <w:sz w:val="24"/>
          <w:szCs w:val="24"/>
        </w:rPr>
      </w:pPr>
    </w:p>
    <w:p w14:paraId="5069B680" w14:textId="26189F81" w:rsidR="00087A14" w:rsidRPr="006E719B" w:rsidRDefault="00342373" w:rsidP="00342373">
      <w:pPr>
        <w:pStyle w:val="ListParagraph"/>
        <w:numPr>
          <w:ilvl w:val="0"/>
          <w:numId w:val="4"/>
        </w:numPr>
        <w:rPr>
          <w:rFonts w:ascii="Arial" w:hAnsi="Arial" w:cs="Arial"/>
          <w:b/>
          <w:bCs/>
          <w:sz w:val="24"/>
          <w:szCs w:val="24"/>
        </w:rPr>
      </w:pPr>
      <w:bookmarkStart w:id="2" w:name="_Hlk228952820"/>
      <w:bookmarkEnd w:id="1"/>
      <w:r w:rsidRPr="006E719B">
        <w:rPr>
          <w:rFonts w:ascii="Arial" w:hAnsi="Arial" w:cs="Arial"/>
          <w:b/>
          <w:bCs/>
          <w:sz w:val="24"/>
          <w:szCs w:val="24"/>
        </w:rPr>
        <w:t>Process:</w:t>
      </w:r>
    </w:p>
    <w:p w14:paraId="6F3A138D" w14:textId="77777777" w:rsidR="00342373" w:rsidRPr="006E719B" w:rsidRDefault="00342373" w:rsidP="00342373">
      <w:pPr>
        <w:pStyle w:val="ListParagraph"/>
        <w:rPr>
          <w:rFonts w:ascii="Arial" w:hAnsi="Arial" w:cs="Arial"/>
          <w:sz w:val="24"/>
          <w:szCs w:val="24"/>
        </w:rPr>
      </w:pPr>
    </w:p>
    <w:p w14:paraId="34782C8E" w14:textId="0F0AF403" w:rsidR="00860E76" w:rsidRPr="006E719B" w:rsidRDefault="00860E76" w:rsidP="00935D52">
      <w:pPr>
        <w:pStyle w:val="ListParagraph"/>
        <w:numPr>
          <w:ilvl w:val="1"/>
          <w:numId w:val="8"/>
        </w:numPr>
        <w:spacing w:before="240" w:after="240"/>
        <w:contextualSpacing w:val="0"/>
        <w:jc w:val="both"/>
        <w:rPr>
          <w:rFonts w:ascii="Arial" w:hAnsi="Arial" w:cs="Arial"/>
          <w:sz w:val="24"/>
          <w:szCs w:val="24"/>
        </w:rPr>
      </w:pPr>
      <w:r w:rsidRPr="006E719B">
        <w:rPr>
          <w:rFonts w:ascii="Arial" w:hAnsi="Arial" w:cs="Arial"/>
          <w:sz w:val="24"/>
          <w:szCs w:val="24"/>
          <w:lang w:val="en-US"/>
        </w:rPr>
        <w:t>Prior</w:t>
      </w:r>
      <w:r w:rsidRPr="006E719B">
        <w:rPr>
          <w:rFonts w:ascii="Arial" w:hAnsi="Arial" w:cs="Arial"/>
          <w:sz w:val="24"/>
          <w:szCs w:val="24"/>
        </w:rPr>
        <w:t xml:space="preserve"> to the first appearance in the J</w:t>
      </w:r>
      <w:r w:rsidR="00FE5F10" w:rsidRPr="006E719B">
        <w:rPr>
          <w:rFonts w:ascii="Arial" w:hAnsi="Arial" w:cs="Arial"/>
          <w:sz w:val="24"/>
          <w:szCs w:val="24"/>
        </w:rPr>
        <w:t xml:space="preserve">ustice of the Peace </w:t>
      </w:r>
      <w:r w:rsidRPr="006E719B">
        <w:rPr>
          <w:rFonts w:ascii="Arial" w:hAnsi="Arial" w:cs="Arial"/>
          <w:sz w:val="24"/>
          <w:szCs w:val="24"/>
        </w:rPr>
        <w:t xml:space="preserve">led case management court, the Crown will advise the trial coordinator of the matter and identify that it fits within the </w:t>
      </w:r>
      <w:r w:rsidR="00341406" w:rsidRPr="006E719B">
        <w:rPr>
          <w:rFonts w:ascii="Arial" w:hAnsi="Arial" w:cs="Arial"/>
          <w:sz w:val="24"/>
          <w:szCs w:val="24"/>
        </w:rPr>
        <w:t xml:space="preserve">eligibility </w:t>
      </w:r>
      <w:r w:rsidRPr="006E719B">
        <w:rPr>
          <w:rFonts w:ascii="Arial" w:hAnsi="Arial" w:cs="Arial"/>
          <w:sz w:val="24"/>
          <w:szCs w:val="24"/>
        </w:rPr>
        <w:t xml:space="preserve">criteria for the pilot project. </w:t>
      </w:r>
    </w:p>
    <w:bookmarkEnd w:id="2"/>
    <w:p w14:paraId="377390D4" w14:textId="2037EB95" w:rsidR="00860E76" w:rsidRPr="006E719B" w:rsidRDefault="00860E76" w:rsidP="00935D52">
      <w:pPr>
        <w:pStyle w:val="ListParagraph"/>
        <w:numPr>
          <w:ilvl w:val="1"/>
          <w:numId w:val="8"/>
        </w:numPr>
        <w:spacing w:before="240" w:after="240"/>
        <w:contextualSpacing w:val="0"/>
        <w:jc w:val="both"/>
        <w:rPr>
          <w:rFonts w:ascii="Arial" w:hAnsi="Arial" w:cs="Arial"/>
          <w:sz w:val="24"/>
          <w:szCs w:val="24"/>
        </w:rPr>
      </w:pPr>
      <w:r w:rsidRPr="006E719B">
        <w:rPr>
          <w:rFonts w:ascii="Arial" w:hAnsi="Arial" w:cs="Arial"/>
          <w:sz w:val="24"/>
          <w:szCs w:val="24"/>
        </w:rPr>
        <w:t xml:space="preserve">The trial coordinator will provide the Crown and Defence </w:t>
      </w:r>
      <w:r w:rsidR="00341406" w:rsidRPr="006E719B">
        <w:rPr>
          <w:rFonts w:ascii="Arial" w:hAnsi="Arial" w:cs="Arial"/>
          <w:sz w:val="24"/>
          <w:szCs w:val="24"/>
        </w:rPr>
        <w:t>or Duty C</w:t>
      </w:r>
      <w:r w:rsidRPr="006E719B">
        <w:rPr>
          <w:rFonts w:ascii="Arial" w:hAnsi="Arial" w:cs="Arial"/>
          <w:sz w:val="24"/>
          <w:szCs w:val="24"/>
        </w:rPr>
        <w:t>ounsel</w:t>
      </w:r>
      <w:r w:rsidR="00341406" w:rsidRPr="006E719B">
        <w:rPr>
          <w:rFonts w:ascii="Arial" w:hAnsi="Arial" w:cs="Arial"/>
          <w:sz w:val="24"/>
          <w:szCs w:val="24"/>
        </w:rPr>
        <w:t xml:space="preserve"> with </w:t>
      </w:r>
      <w:r w:rsidRPr="006E719B">
        <w:rPr>
          <w:rFonts w:ascii="Arial" w:hAnsi="Arial" w:cs="Arial"/>
          <w:sz w:val="24"/>
          <w:szCs w:val="24"/>
        </w:rPr>
        <w:t xml:space="preserve">the date for the second appearance before a Judge in the </w:t>
      </w:r>
      <w:r w:rsidR="00342373" w:rsidRPr="006E719B">
        <w:rPr>
          <w:rFonts w:ascii="Arial" w:hAnsi="Arial" w:cs="Arial"/>
          <w:sz w:val="24"/>
          <w:szCs w:val="24"/>
          <w:lang w:val="en-US"/>
        </w:rPr>
        <w:t>SJCM</w:t>
      </w:r>
      <w:r w:rsidR="00342373" w:rsidRPr="006E719B">
        <w:rPr>
          <w:rFonts w:ascii="Arial" w:hAnsi="Arial" w:cs="Arial"/>
          <w:sz w:val="24"/>
          <w:szCs w:val="24"/>
        </w:rPr>
        <w:t xml:space="preserve"> </w:t>
      </w:r>
      <w:r w:rsidRPr="006E719B">
        <w:rPr>
          <w:rFonts w:ascii="Arial" w:hAnsi="Arial" w:cs="Arial"/>
          <w:sz w:val="24"/>
          <w:szCs w:val="24"/>
        </w:rPr>
        <w:t xml:space="preserve">court.  </w:t>
      </w:r>
    </w:p>
    <w:p w14:paraId="1A21C309" w14:textId="55AF0DD3" w:rsidR="008A4525" w:rsidRPr="006E719B" w:rsidRDefault="008A4525" w:rsidP="00935D52">
      <w:pPr>
        <w:pStyle w:val="ListParagraph"/>
        <w:numPr>
          <w:ilvl w:val="1"/>
          <w:numId w:val="8"/>
        </w:numPr>
        <w:spacing w:before="240" w:after="240"/>
        <w:contextualSpacing w:val="0"/>
        <w:jc w:val="both"/>
        <w:rPr>
          <w:rFonts w:ascii="Arial" w:hAnsi="Arial" w:cs="Arial"/>
          <w:sz w:val="24"/>
          <w:szCs w:val="24"/>
        </w:rPr>
      </w:pPr>
      <w:r w:rsidRPr="006E719B">
        <w:rPr>
          <w:rFonts w:ascii="Arial" w:hAnsi="Arial" w:cs="Arial"/>
          <w:sz w:val="24"/>
          <w:szCs w:val="24"/>
        </w:rPr>
        <w:t>At the first appearance</w:t>
      </w:r>
      <w:r w:rsidR="006E719B">
        <w:rPr>
          <w:rFonts w:ascii="Arial" w:hAnsi="Arial" w:cs="Arial"/>
          <w:sz w:val="24"/>
          <w:szCs w:val="24"/>
        </w:rPr>
        <w:t xml:space="preserve"> in the Justice of the Peace led case management court</w:t>
      </w:r>
      <w:r w:rsidRPr="006E719B">
        <w:rPr>
          <w:rFonts w:ascii="Arial" w:hAnsi="Arial" w:cs="Arial"/>
          <w:sz w:val="24"/>
          <w:szCs w:val="24"/>
        </w:rPr>
        <w:t xml:space="preserve">, if the matter has not been flagged, the Justice of the Peace will advise the trial coordinator who will provide the date for the second appearance in the </w:t>
      </w:r>
      <w:r w:rsidR="00342373" w:rsidRPr="006E719B">
        <w:rPr>
          <w:rFonts w:ascii="Arial" w:hAnsi="Arial" w:cs="Arial"/>
          <w:sz w:val="24"/>
          <w:szCs w:val="24"/>
          <w:lang w:val="en-US"/>
        </w:rPr>
        <w:t>SJCM</w:t>
      </w:r>
      <w:r w:rsidR="0098312B" w:rsidRPr="006E719B">
        <w:rPr>
          <w:rFonts w:ascii="Arial" w:hAnsi="Arial" w:cs="Arial"/>
          <w:sz w:val="24"/>
          <w:szCs w:val="24"/>
          <w:lang w:val="en-US"/>
        </w:rPr>
        <w:t xml:space="preserve"> court</w:t>
      </w:r>
      <w:r w:rsidR="00F55D68" w:rsidRPr="006E719B">
        <w:rPr>
          <w:rFonts w:ascii="Arial" w:hAnsi="Arial" w:cs="Arial"/>
          <w:sz w:val="24"/>
          <w:szCs w:val="24"/>
          <w:lang w:val="en-US"/>
        </w:rPr>
        <w:t>.</w:t>
      </w:r>
      <w:r w:rsidR="00416AD2">
        <w:rPr>
          <w:rFonts w:ascii="Arial" w:hAnsi="Arial" w:cs="Arial"/>
          <w:sz w:val="24"/>
          <w:szCs w:val="24"/>
          <w:lang w:val="en-US"/>
        </w:rPr>
        <w:t xml:space="preserve"> If the accused is unrepresented, they can be provided with contact information for Legal Aid Ontario (1-800-668-8258) to apply for a legal aid certificate and/or seek summary legal advice prior to SJCM court, as needed.  </w:t>
      </w:r>
    </w:p>
    <w:p w14:paraId="50BBD885" w14:textId="1322FBEC" w:rsidR="00860E76" w:rsidRPr="006E719B" w:rsidRDefault="00860E76" w:rsidP="00935D52">
      <w:pPr>
        <w:pStyle w:val="ListParagraph"/>
        <w:numPr>
          <w:ilvl w:val="1"/>
          <w:numId w:val="8"/>
        </w:numPr>
        <w:spacing w:before="240" w:after="240"/>
        <w:contextualSpacing w:val="0"/>
        <w:jc w:val="both"/>
        <w:rPr>
          <w:rFonts w:ascii="Arial" w:hAnsi="Arial" w:cs="Arial"/>
          <w:sz w:val="24"/>
          <w:szCs w:val="24"/>
        </w:rPr>
      </w:pPr>
      <w:r w:rsidRPr="006E719B">
        <w:rPr>
          <w:rFonts w:ascii="Arial" w:hAnsi="Arial" w:cs="Arial"/>
          <w:sz w:val="24"/>
          <w:szCs w:val="24"/>
        </w:rPr>
        <w:t xml:space="preserve">The </w:t>
      </w:r>
      <w:r w:rsidR="00342373" w:rsidRPr="006E719B">
        <w:rPr>
          <w:rFonts w:ascii="Arial" w:hAnsi="Arial" w:cs="Arial"/>
          <w:sz w:val="24"/>
          <w:szCs w:val="24"/>
          <w:lang w:val="en-US"/>
        </w:rPr>
        <w:t>SJCM</w:t>
      </w:r>
      <w:r w:rsidR="0098312B" w:rsidRPr="006E719B">
        <w:rPr>
          <w:rFonts w:ascii="Arial" w:hAnsi="Arial" w:cs="Arial"/>
          <w:sz w:val="24"/>
          <w:szCs w:val="24"/>
          <w:lang w:val="en-US"/>
        </w:rPr>
        <w:t xml:space="preserve"> court</w:t>
      </w:r>
      <w:r w:rsidR="00342373" w:rsidRPr="006E719B">
        <w:rPr>
          <w:rFonts w:ascii="Arial" w:hAnsi="Arial" w:cs="Arial"/>
          <w:sz w:val="24"/>
          <w:szCs w:val="24"/>
        </w:rPr>
        <w:t xml:space="preserve"> </w:t>
      </w:r>
      <w:r w:rsidRPr="006E719B">
        <w:rPr>
          <w:rFonts w:ascii="Arial" w:hAnsi="Arial" w:cs="Arial"/>
          <w:sz w:val="24"/>
          <w:szCs w:val="24"/>
        </w:rPr>
        <w:t xml:space="preserve">will sit in one </w:t>
      </w:r>
      <w:r w:rsidR="008A4525" w:rsidRPr="006E719B">
        <w:rPr>
          <w:rFonts w:ascii="Arial" w:hAnsi="Arial" w:cs="Arial"/>
          <w:sz w:val="24"/>
          <w:szCs w:val="24"/>
        </w:rPr>
        <w:t xml:space="preserve">of the </w:t>
      </w:r>
      <w:r w:rsidRPr="006E719B">
        <w:rPr>
          <w:rFonts w:ascii="Arial" w:hAnsi="Arial" w:cs="Arial"/>
          <w:sz w:val="24"/>
          <w:szCs w:val="24"/>
        </w:rPr>
        <w:t xml:space="preserve">remote courtrooms (506 or 508) and all parties will appear virtually for their appearance.  </w:t>
      </w:r>
    </w:p>
    <w:p w14:paraId="11D6DD09" w14:textId="0FAAFE2D" w:rsidR="00535E02" w:rsidRPr="006E719B" w:rsidRDefault="00535E02" w:rsidP="00935D52">
      <w:pPr>
        <w:pStyle w:val="ListParagraph"/>
        <w:numPr>
          <w:ilvl w:val="1"/>
          <w:numId w:val="8"/>
        </w:numPr>
        <w:spacing w:before="240" w:after="240"/>
        <w:contextualSpacing w:val="0"/>
        <w:jc w:val="both"/>
        <w:rPr>
          <w:rFonts w:ascii="Arial" w:hAnsi="Arial" w:cs="Arial"/>
          <w:sz w:val="24"/>
          <w:szCs w:val="24"/>
        </w:rPr>
      </w:pPr>
      <w:r w:rsidRPr="006E719B">
        <w:rPr>
          <w:rFonts w:ascii="Arial" w:hAnsi="Arial" w:cs="Arial"/>
          <w:sz w:val="24"/>
          <w:szCs w:val="24"/>
        </w:rPr>
        <w:t xml:space="preserve">Where an accused is unrepresented at the time of the SJCM appearance, </w:t>
      </w:r>
      <w:r w:rsidR="00416AD2">
        <w:rPr>
          <w:rFonts w:ascii="Arial" w:hAnsi="Arial" w:cs="Arial"/>
          <w:sz w:val="24"/>
          <w:szCs w:val="24"/>
        </w:rPr>
        <w:t xml:space="preserve">the </w:t>
      </w:r>
      <w:r w:rsidR="009B4C06">
        <w:rPr>
          <w:rFonts w:ascii="Arial" w:hAnsi="Arial" w:cs="Arial"/>
          <w:sz w:val="24"/>
          <w:szCs w:val="24"/>
        </w:rPr>
        <w:t xml:space="preserve">local </w:t>
      </w:r>
      <w:r w:rsidRPr="006E719B">
        <w:rPr>
          <w:rFonts w:ascii="Arial" w:hAnsi="Arial" w:cs="Arial"/>
          <w:sz w:val="24"/>
          <w:szCs w:val="24"/>
        </w:rPr>
        <w:t xml:space="preserve">Duty Counsel </w:t>
      </w:r>
      <w:r w:rsidR="00416AD2">
        <w:rPr>
          <w:rFonts w:ascii="Arial" w:hAnsi="Arial" w:cs="Arial"/>
          <w:sz w:val="24"/>
          <w:szCs w:val="24"/>
        </w:rPr>
        <w:t>Office can be contacted for assistance</w:t>
      </w:r>
      <w:r w:rsidR="005360B3">
        <w:rPr>
          <w:rFonts w:ascii="Arial" w:hAnsi="Arial" w:cs="Arial"/>
          <w:sz w:val="24"/>
          <w:szCs w:val="24"/>
        </w:rPr>
        <w:t>.</w:t>
      </w:r>
      <w:r w:rsidR="00416AD2">
        <w:rPr>
          <w:rFonts w:ascii="Arial" w:hAnsi="Arial" w:cs="Arial"/>
          <w:sz w:val="24"/>
          <w:szCs w:val="24"/>
        </w:rPr>
        <w:t xml:space="preserve"> </w:t>
      </w:r>
    </w:p>
    <w:p w14:paraId="04B98F38" w14:textId="06BCFB81" w:rsidR="00371F17" w:rsidRPr="006E719B" w:rsidRDefault="00860E76" w:rsidP="005113E9">
      <w:pPr>
        <w:pStyle w:val="ListParagraph"/>
        <w:numPr>
          <w:ilvl w:val="1"/>
          <w:numId w:val="8"/>
        </w:numPr>
        <w:spacing w:before="240" w:after="240"/>
        <w:contextualSpacing w:val="0"/>
        <w:jc w:val="both"/>
        <w:rPr>
          <w:sz w:val="24"/>
          <w:szCs w:val="24"/>
        </w:rPr>
      </w:pPr>
      <w:r w:rsidRPr="006E719B">
        <w:rPr>
          <w:rFonts w:ascii="Arial" w:hAnsi="Arial" w:cs="Arial"/>
          <w:sz w:val="24"/>
          <w:szCs w:val="24"/>
        </w:rPr>
        <w:t>All future appearances, aside from bail, will be in front of the same judge in the remote courtroom</w:t>
      </w:r>
      <w:r w:rsidR="008A4525" w:rsidRPr="006E719B">
        <w:rPr>
          <w:rFonts w:ascii="Arial" w:hAnsi="Arial" w:cs="Arial"/>
          <w:sz w:val="24"/>
          <w:szCs w:val="24"/>
        </w:rPr>
        <w:t xml:space="preserve"> until the trial</w:t>
      </w:r>
      <w:r w:rsidR="00732F72" w:rsidRPr="006E719B">
        <w:rPr>
          <w:rFonts w:ascii="Arial" w:hAnsi="Arial" w:cs="Arial"/>
          <w:sz w:val="24"/>
          <w:szCs w:val="24"/>
        </w:rPr>
        <w:t xml:space="preserve">, </w:t>
      </w:r>
      <w:r w:rsidR="008A4525" w:rsidRPr="006E719B">
        <w:rPr>
          <w:rFonts w:ascii="Arial" w:hAnsi="Arial" w:cs="Arial"/>
          <w:sz w:val="24"/>
          <w:szCs w:val="24"/>
        </w:rPr>
        <w:t>preliminary hearing</w:t>
      </w:r>
      <w:r w:rsidR="00732F72" w:rsidRPr="006E719B">
        <w:rPr>
          <w:rFonts w:ascii="Arial" w:hAnsi="Arial" w:cs="Arial"/>
          <w:sz w:val="24"/>
          <w:szCs w:val="24"/>
        </w:rPr>
        <w:t>, or until the matter otherwise resolves</w:t>
      </w:r>
      <w:r w:rsidRPr="006E719B">
        <w:rPr>
          <w:rFonts w:ascii="Arial" w:hAnsi="Arial" w:cs="Arial"/>
          <w:sz w:val="24"/>
          <w:szCs w:val="24"/>
        </w:rPr>
        <w:t xml:space="preserve">.  </w:t>
      </w:r>
    </w:p>
    <w:p w14:paraId="6632CED5" w14:textId="12EAC9D7" w:rsidR="00D45746" w:rsidRPr="006E719B" w:rsidRDefault="00371F17" w:rsidP="00935D52">
      <w:pPr>
        <w:pStyle w:val="ListParagraph"/>
        <w:numPr>
          <w:ilvl w:val="1"/>
          <w:numId w:val="8"/>
        </w:numPr>
        <w:spacing w:before="240" w:after="240"/>
        <w:contextualSpacing w:val="0"/>
        <w:jc w:val="both"/>
        <w:rPr>
          <w:sz w:val="24"/>
          <w:szCs w:val="24"/>
        </w:rPr>
      </w:pPr>
      <w:r w:rsidRPr="006E719B">
        <w:rPr>
          <w:rFonts w:ascii="Arial" w:hAnsi="Arial" w:cs="Arial"/>
          <w:sz w:val="24"/>
          <w:szCs w:val="24"/>
        </w:rPr>
        <w:t xml:space="preserve">The SJCM judge is </w:t>
      </w:r>
      <w:r w:rsidRPr="006E719B">
        <w:rPr>
          <w:rFonts w:ascii="Arial" w:hAnsi="Arial" w:cs="Arial"/>
          <w:sz w:val="24"/>
          <w:szCs w:val="24"/>
          <w:u w:val="single"/>
        </w:rPr>
        <w:t>not</w:t>
      </w:r>
      <w:r w:rsidRPr="006E719B">
        <w:rPr>
          <w:rFonts w:ascii="Arial" w:hAnsi="Arial" w:cs="Arial"/>
          <w:sz w:val="24"/>
          <w:szCs w:val="24"/>
        </w:rPr>
        <w:t xml:space="preserve"> a Case Management Judge appointed pursuant to s. 551.1 of the </w:t>
      </w:r>
      <w:r w:rsidRPr="006E719B">
        <w:rPr>
          <w:rFonts w:ascii="Arial" w:hAnsi="Arial" w:cs="Arial"/>
          <w:i/>
          <w:iCs/>
          <w:sz w:val="24"/>
          <w:szCs w:val="24"/>
        </w:rPr>
        <w:t>Criminal Code</w:t>
      </w:r>
      <w:r w:rsidRPr="006E719B">
        <w:rPr>
          <w:rFonts w:ascii="Arial" w:hAnsi="Arial" w:cs="Arial"/>
          <w:sz w:val="24"/>
          <w:szCs w:val="24"/>
        </w:rPr>
        <w:t xml:space="preserve"> unless such appointment is made.  Consideration will be given to the appointment of a s. 551.1 Case Management Judge where it </w:t>
      </w:r>
      <w:r w:rsidR="00DC3191">
        <w:rPr>
          <w:rFonts w:ascii="Arial" w:hAnsi="Arial" w:cs="Arial"/>
          <w:sz w:val="24"/>
          <w:szCs w:val="24"/>
        </w:rPr>
        <w:t xml:space="preserve">is </w:t>
      </w:r>
      <w:r w:rsidRPr="006E719B">
        <w:rPr>
          <w:rFonts w:ascii="Arial" w:hAnsi="Arial" w:cs="Arial"/>
          <w:sz w:val="24"/>
          <w:szCs w:val="24"/>
        </w:rPr>
        <w:t>necessary for the proper administration of justice.  Parties may make an application, or a matter may be referred by the SJCM judge for an appointment under s. 551.1.</w:t>
      </w:r>
    </w:p>
    <w:sectPr w:rsidR="00D45746" w:rsidRPr="006E719B" w:rsidSect="00AB51E4">
      <w:headerReference w:type="even" r:id="rId8"/>
      <w:headerReference w:type="default" r:id="rId9"/>
      <w:head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324C" w14:textId="77777777" w:rsidR="00D104F8" w:rsidRDefault="00D104F8" w:rsidP="009A51F1">
      <w:pPr>
        <w:spacing w:after="0" w:line="240" w:lineRule="auto"/>
      </w:pPr>
      <w:r>
        <w:separator/>
      </w:r>
    </w:p>
  </w:endnote>
  <w:endnote w:type="continuationSeparator" w:id="0">
    <w:p w14:paraId="404082DA" w14:textId="77777777" w:rsidR="00D104F8" w:rsidRDefault="00D104F8" w:rsidP="009A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62038" w14:textId="77777777" w:rsidR="00D104F8" w:rsidRDefault="00D104F8" w:rsidP="009A51F1">
      <w:pPr>
        <w:spacing w:after="0" w:line="240" w:lineRule="auto"/>
      </w:pPr>
      <w:r>
        <w:separator/>
      </w:r>
    </w:p>
  </w:footnote>
  <w:footnote w:type="continuationSeparator" w:id="0">
    <w:p w14:paraId="7A6BBDD4" w14:textId="77777777" w:rsidR="00D104F8" w:rsidRDefault="00D104F8" w:rsidP="009A51F1">
      <w:pPr>
        <w:spacing w:after="0" w:line="240" w:lineRule="auto"/>
      </w:pPr>
      <w:r>
        <w:continuationSeparator/>
      </w:r>
    </w:p>
  </w:footnote>
  <w:footnote w:id="1">
    <w:p w14:paraId="262D8138" w14:textId="77777777" w:rsidR="00087A14" w:rsidRPr="001F1860" w:rsidRDefault="00087A14" w:rsidP="00087A14">
      <w:pPr>
        <w:pStyle w:val="FootnoteText"/>
        <w:rPr>
          <w:lang w:val="en-US"/>
        </w:rPr>
      </w:pPr>
      <w:r>
        <w:rPr>
          <w:rStyle w:val="FootnoteReference"/>
        </w:rPr>
        <w:footnoteRef/>
      </w:r>
      <w:r>
        <w:t xml:space="preserve"> </w:t>
      </w:r>
      <w:r>
        <w:rPr>
          <w:lang w:val="en-US"/>
        </w:rPr>
        <w:t>Eligible matters include matters where there is a charge of conspiracy to commit one of the listed offences.</w:t>
      </w:r>
    </w:p>
  </w:footnote>
  <w:footnote w:id="2">
    <w:p w14:paraId="1A357091" w14:textId="77777777" w:rsidR="00161969" w:rsidRPr="00161969" w:rsidRDefault="0098312B" w:rsidP="00161969">
      <w:pPr>
        <w:pStyle w:val="FootnoteText"/>
        <w:rPr>
          <w:rFonts w:cs="Times New Roman"/>
        </w:rPr>
      </w:pPr>
      <w:r>
        <w:rPr>
          <w:rStyle w:val="FootnoteReference"/>
        </w:rPr>
        <w:footnoteRef/>
      </w:r>
      <w:r>
        <w:t xml:space="preserve"> </w:t>
      </w:r>
      <w:r w:rsidR="00161969" w:rsidRPr="00161969">
        <w:rPr>
          <w:rFonts w:cs="Times New Roman"/>
        </w:rPr>
        <w:t>Project cases may include:</w:t>
      </w:r>
    </w:p>
    <w:p w14:paraId="0F2C1DB5" w14:textId="77777777" w:rsidR="00161969" w:rsidRPr="00161969" w:rsidRDefault="00161969" w:rsidP="00161969">
      <w:pPr>
        <w:numPr>
          <w:ilvl w:val="0"/>
          <w:numId w:val="6"/>
        </w:numPr>
        <w:spacing w:after="0" w:line="240" w:lineRule="auto"/>
        <w:ind w:left="540"/>
        <w:rPr>
          <w:rFonts w:cs="Times New Roman"/>
          <w:sz w:val="20"/>
          <w:szCs w:val="20"/>
          <w:lang w:val="en-US"/>
        </w:rPr>
      </w:pPr>
      <w:r w:rsidRPr="00161969">
        <w:rPr>
          <w:rFonts w:cs="Times New Roman"/>
          <w:sz w:val="20"/>
          <w:szCs w:val="20"/>
          <w:lang w:val="en-US"/>
        </w:rPr>
        <w:t>Named investigations;</w:t>
      </w:r>
    </w:p>
    <w:p w14:paraId="2A7C509E" w14:textId="77777777" w:rsidR="00161969" w:rsidRPr="00161969" w:rsidRDefault="00161969" w:rsidP="00161969">
      <w:pPr>
        <w:numPr>
          <w:ilvl w:val="0"/>
          <w:numId w:val="6"/>
        </w:numPr>
        <w:spacing w:after="0" w:line="240" w:lineRule="auto"/>
        <w:ind w:left="540"/>
        <w:rPr>
          <w:rFonts w:cs="Times New Roman"/>
          <w:sz w:val="20"/>
          <w:szCs w:val="20"/>
          <w:lang w:val="en-US"/>
        </w:rPr>
      </w:pPr>
      <w:r w:rsidRPr="00161969">
        <w:rPr>
          <w:rFonts w:cs="Times New Roman"/>
          <w:sz w:val="20"/>
          <w:szCs w:val="20"/>
          <w:lang w:val="en-US"/>
        </w:rPr>
        <w:t>Investigations expressly identified by police as being a project;</w:t>
      </w:r>
    </w:p>
    <w:p w14:paraId="18ADAF94" w14:textId="77777777" w:rsidR="00161969" w:rsidRDefault="00161969" w:rsidP="00161969">
      <w:pPr>
        <w:numPr>
          <w:ilvl w:val="0"/>
          <w:numId w:val="6"/>
        </w:numPr>
        <w:spacing w:after="0" w:line="240" w:lineRule="auto"/>
        <w:ind w:left="540"/>
        <w:rPr>
          <w:rFonts w:cs="Times New Roman"/>
          <w:sz w:val="20"/>
          <w:szCs w:val="20"/>
          <w:lang w:val="en-US"/>
        </w:rPr>
      </w:pPr>
      <w:r w:rsidRPr="00161969">
        <w:rPr>
          <w:rFonts w:cs="Times New Roman"/>
          <w:sz w:val="20"/>
          <w:szCs w:val="20"/>
          <w:lang w:val="en-US"/>
        </w:rPr>
        <w:t>Matters prosecuted by the MAG Complex Prosecutions Bureau or PPSC Integrated Road Team (IRT); or</w:t>
      </w:r>
    </w:p>
    <w:p w14:paraId="25FE3A16" w14:textId="3194131B" w:rsidR="0098312B" w:rsidRPr="00551EDF" w:rsidRDefault="00161969" w:rsidP="00551EDF">
      <w:pPr>
        <w:numPr>
          <w:ilvl w:val="0"/>
          <w:numId w:val="6"/>
        </w:numPr>
        <w:spacing w:after="0" w:line="240" w:lineRule="auto"/>
        <w:ind w:left="540"/>
        <w:rPr>
          <w:rFonts w:cs="Times New Roman"/>
          <w:sz w:val="20"/>
          <w:szCs w:val="20"/>
          <w:lang w:val="en-US"/>
        </w:rPr>
      </w:pPr>
      <w:r w:rsidRPr="00551EDF">
        <w:rPr>
          <w:rFonts w:cs="Times New Roman"/>
          <w:sz w:val="20"/>
          <w:szCs w:val="20"/>
          <w:lang w:val="en-US"/>
        </w:rPr>
        <w:t xml:space="preserve">Matters that </w:t>
      </w:r>
      <w:proofErr w:type="gramStart"/>
      <w:r w:rsidRPr="00551EDF">
        <w:rPr>
          <w:rFonts w:cs="Times New Roman"/>
          <w:sz w:val="20"/>
          <w:szCs w:val="20"/>
          <w:lang w:val="en-US"/>
        </w:rPr>
        <w:t>involves</w:t>
      </w:r>
      <w:proofErr w:type="gramEnd"/>
      <w:r w:rsidRPr="00551EDF">
        <w:rPr>
          <w:rFonts w:cs="Times New Roman"/>
          <w:sz w:val="20"/>
          <w:szCs w:val="20"/>
          <w:lang w:val="en-US"/>
        </w:rPr>
        <w:t xml:space="preserve"> two of more of the following criteria: four or more accused, a Part VI authorization, three or more judicial authorizations, multiple law enforcement agencies, and/or use of investigative techniques such as undercover operations, civilian agents, or controlled deliveries.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E9EC" w14:textId="15824C4D" w:rsidR="00121906" w:rsidRDefault="00121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152D" w14:textId="63D7A981" w:rsidR="004364BC" w:rsidRDefault="00245622" w:rsidP="00190856">
    <w:pPr>
      <w:tabs>
        <w:tab w:val="center" w:pos="4680"/>
        <w:tab w:val="right" w:pos="9360"/>
      </w:tabs>
      <w:spacing w:after="0" w:line="240" w:lineRule="auto"/>
      <w:jc w:val="right"/>
    </w:pPr>
    <w:r w:rsidRPr="00245622">
      <w:rPr>
        <w:rFonts w:ascii="Arial" w:eastAsia="Arial" w:hAnsi="Arial" w:cs="Times New Roman"/>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CAEA" w14:textId="3B53B638" w:rsidR="00121906" w:rsidRDefault="00121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06B"/>
    <w:multiLevelType w:val="hybridMultilevel"/>
    <w:tmpl w:val="04966F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421A3B"/>
    <w:multiLevelType w:val="hybridMultilevel"/>
    <w:tmpl w:val="E99CB1FC"/>
    <w:lvl w:ilvl="0" w:tplc="0736FC40">
      <w:start w:val="2022"/>
      <w:numFmt w:val="bullet"/>
      <w:lvlText w:val="-"/>
      <w:lvlJc w:val="left"/>
      <w:pPr>
        <w:ind w:left="720" w:hanging="360"/>
      </w:pPr>
      <w:rPr>
        <w:rFonts w:ascii="Aptos" w:eastAsiaTheme="minorHAnsi"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3914D5"/>
    <w:multiLevelType w:val="multilevel"/>
    <w:tmpl w:val="6142747E"/>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A72112"/>
    <w:multiLevelType w:val="hybridMultilevel"/>
    <w:tmpl w:val="EBACAC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E5D41BA"/>
    <w:multiLevelType w:val="multilevel"/>
    <w:tmpl w:val="87867F50"/>
    <w:lvl w:ilvl="0">
      <w:start w:val="1"/>
      <w:numFmt w:val="decimal"/>
      <w:lvlText w:val="%1."/>
      <w:lvlJc w:val="left"/>
      <w:pPr>
        <w:ind w:left="720" w:hanging="360"/>
      </w:pPr>
      <w:rPr>
        <w:rFonts w:hint="default"/>
      </w:rPr>
    </w:lvl>
    <w:lvl w:ilvl="1">
      <w:start w:val="1"/>
      <w:numFmt w:val="decimal"/>
      <w:isLgl/>
      <w:lvlText w:val="%1.%2"/>
      <w:lvlJc w:val="left"/>
      <w:pPr>
        <w:ind w:left="1120" w:hanging="4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4970945"/>
    <w:multiLevelType w:val="multilevel"/>
    <w:tmpl w:val="ED7420FE"/>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240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720" w:hanging="1440"/>
      </w:pPr>
      <w:rPr>
        <w:rFonts w:hint="default"/>
      </w:rPr>
    </w:lvl>
    <w:lvl w:ilvl="5">
      <w:start w:val="1"/>
      <w:numFmt w:val="decimal"/>
      <w:isLgl/>
      <w:lvlText w:val="%1.%2.%3.%4.%5.%6"/>
      <w:lvlJc w:val="left"/>
      <w:pPr>
        <w:ind w:left="456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6240" w:hanging="2520"/>
      </w:pPr>
      <w:rPr>
        <w:rFonts w:hint="default"/>
      </w:rPr>
    </w:lvl>
    <w:lvl w:ilvl="8">
      <w:start w:val="1"/>
      <w:numFmt w:val="decimal"/>
      <w:isLgl/>
      <w:lvlText w:val="%1.%2.%3.%4.%5.%6.%7.%8.%9"/>
      <w:lvlJc w:val="left"/>
      <w:pPr>
        <w:ind w:left="6720" w:hanging="2520"/>
      </w:pPr>
      <w:rPr>
        <w:rFonts w:hint="default"/>
      </w:rPr>
    </w:lvl>
  </w:abstractNum>
  <w:abstractNum w:abstractNumId="6" w15:restartNumberingAfterBreak="0">
    <w:nsid w:val="5CE05209"/>
    <w:multiLevelType w:val="multilevel"/>
    <w:tmpl w:val="68D4F28E"/>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5F3C3A3D"/>
    <w:multiLevelType w:val="hybridMultilevel"/>
    <w:tmpl w:val="10D075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2168676">
    <w:abstractNumId w:val="0"/>
  </w:num>
  <w:num w:numId="2" w16cid:durableId="1403721579">
    <w:abstractNumId w:val="5"/>
  </w:num>
  <w:num w:numId="3" w16cid:durableId="796293665">
    <w:abstractNumId w:val="3"/>
  </w:num>
  <w:num w:numId="4" w16cid:durableId="2015911438">
    <w:abstractNumId w:val="4"/>
  </w:num>
  <w:num w:numId="5" w16cid:durableId="152524524">
    <w:abstractNumId w:val="7"/>
  </w:num>
  <w:num w:numId="6" w16cid:durableId="1490907113">
    <w:abstractNumId w:val="1"/>
  </w:num>
  <w:num w:numId="7" w16cid:durableId="1546719317">
    <w:abstractNumId w:val="6"/>
  </w:num>
  <w:num w:numId="8" w16cid:durableId="1646012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E76"/>
    <w:rsid w:val="00087A14"/>
    <w:rsid w:val="000A755D"/>
    <w:rsid w:val="000B7C46"/>
    <w:rsid w:val="000D6538"/>
    <w:rsid w:val="0011281E"/>
    <w:rsid w:val="00121906"/>
    <w:rsid w:val="00141AA5"/>
    <w:rsid w:val="00161969"/>
    <w:rsid w:val="00190856"/>
    <w:rsid w:val="001A4BF7"/>
    <w:rsid w:val="001E0612"/>
    <w:rsid w:val="00245622"/>
    <w:rsid w:val="00282673"/>
    <w:rsid w:val="002A51EF"/>
    <w:rsid w:val="002B12EC"/>
    <w:rsid w:val="002D654D"/>
    <w:rsid w:val="00341406"/>
    <w:rsid w:val="00342373"/>
    <w:rsid w:val="00371F17"/>
    <w:rsid w:val="003E77BA"/>
    <w:rsid w:val="00414C7C"/>
    <w:rsid w:val="00416AD2"/>
    <w:rsid w:val="004200D1"/>
    <w:rsid w:val="00432AB2"/>
    <w:rsid w:val="004338BF"/>
    <w:rsid w:val="004364BC"/>
    <w:rsid w:val="004750FC"/>
    <w:rsid w:val="004869F6"/>
    <w:rsid w:val="00494A0B"/>
    <w:rsid w:val="004C4444"/>
    <w:rsid w:val="004E7741"/>
    <w:rsid w:val="005113E9"/>
    <w:rsid w:val="00515614"/>
    <w:rsid w:val="00535E02"/>
    <w:rsid w:val="005360B3"/>
    <w:rsid w:val="005474AD"/>
    <w:rsid w:val="0055120A"/>
    <w:rsid w:val="00551EDF"/>
    <w:rsid w:val="005605BD"/>
    <w:rsid w:val="00600C50"/>
    <w:rsid w:val="006465B0"/>
    <w:rsid w:val="006475F5"/>
    <w:rsid w:val="006736CE"/>
    <w:rsid w:val="006803C3"/>
    <w:rsid w:val="006C0AFF"/>
    <w:rsid w:val="006E719B"/>
    <w:rsid w:val="00732F72"/>
    <w:rsid w:val="007B0712"/>
    <w:rsid w:val="00801074"/>
    <w:rsid w:val="00833EA0"/>
    <w:rsid w:val="0083517D"/>
    <w:rsid w:val="00836A51"/>
    <w:rsid w:val="00860E76"/>
    <w:rsid w:val="008A4525"/>
    <w:rsid w:val="008D22ED"/>
    <w:rsid w:val="008E74B9"/>
    <w:rsid w:val="00935D52"/>
    <w:rsid w:val="00947ECC"/>
    <w:rsid w:val="00974FB6"/>
    <w:rsid w:val="0098312B"/>
    <w:rsid w:val="009857A7"/>
    <w:rsid w:val="009864EE"/>
    <w:rsid w:val="009A51F1"/>
    <w:rsid w:val="009B2BDC"/>
    <w:rsid w:val="009B4C06"/>
    <w:rsid w:val="00A26587"/>
    <w:rsid w:val="00A75BDF"/>
    <w:rsid w:val="00A8530E"/>
    <w:rsid w:val="00AB51E4"/>
    <w:rsid w:val="00B052D9"/>
    <w:rsid w:val="00B95C91"/>
    <w:rsid w:val="00C3195A"/>
    <w:rsid w:val="00C319EA"/>
    <w:rsid w:val="00C961D3"/>
    <w:rsid w:val="00C97346"/>
    <w:rsid w:val="00CB6EB3"/>
    <w:rsid w:val="00CE3005"/>
    <w:rsid w:val="00D104F8"/>
    <w:rsid w:val="00D4054D"/>
    <w:rsid w:val="00D45746"/>
    <w:rsid w:val="00D943D0"/>
    <w:rsid w:val="00DA18D5"/>
    <w:rsid w:val="00DB7C45"/>
    <w:rsid w:val="00DC3191"/>
    <w:rsid w:val="00E14A53"/>
    <w:rsid w:val="00E94EDE"/>
    <w:rsid w:val="00F1429F"/>
    <w:rsid w:val="00F55D68"/>
    <w:rsid w:val="00FA5A01"/>
    <w:rsid w:val="00FE5F10"/>
    <w:rsid w:val="00FF23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8CB40"/>
  <w15:chartTrackingRefBased/>
  <w15:docId w15:val="{C8C0385B-50CD-40D3-8D90-D0DDE5D7E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E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E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E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E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E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E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E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E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E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E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E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E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E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E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E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E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E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E76"/>
    <w:rPr>
      <w:rFonts w:eastAsiaTheme="majorEastAsia" w:cstheme="majorBidi"/>
      <w:color w:val="272727" w:themeColor="text1" w:themeTint="D8"/>
    </w:rPr>
  </w:style>
  <w:style w:type="paragraph" w:styleId="Title">
    <w:name w:val="Title"/>
    <w:basedOn w:val="Normal"/>
    <w:next w:val="Normal"/>
    <w:link w:val="TitleChar"/>
    <w:uiPriority w:val="10"/>
    <w:qFormat/>
    <w:rsid w:val="00860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E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E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E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E76"/>
    <w:pPr>
      <w:spacing w:before="160"/>
      <w:jc w:val="center"/>
    </w:pPr>
    <w:rPr>
      <w:i/>
      <w:iCs/>
      <w:color w:val="404040" w:themeColor="text1" w:themeTint="BF"/>
    </w:rPr>
  </w:style>
  <w:style w:type="character" w:customStyle="1" w:styleId="QuoteChar">
    <w:name w:val="Quote Char"/>
    <w:basedOn w:val="DefaultParagraphFont"/>
    <w:link w:val="Quote"/>
    <w:uiPriority w:val="29"/>
    <w:rsid w:val="00860E76"/>
    <w:rPr>
      <w:i/>
      <w:iCs/>
      <w:color w:val="404040" w:themeColor="text1" w:themeTint="BF"/>
    </w:rPr>
  </w:style>
  <w:style w:type="paragraph" w:styleId="ListParagraph">
    <w:name w:val="List Paragraph"/>
    <w:basedOn w:val="Normal"/>
    <w:uiPriority w:val="34"/>
    <w:qFormat/>
    <w:rsid w:val="00860E76"/>
    <w:pPr>
      <w:ind w:left="720"/>
      <w:contextualSpacing/>
    </w:pPr>
  </w:style>
  <w:style w:type="character" w:styleId="IntenseEmphasis">
    <w:name w:val="Intense Emphasis"/>
    <w:basedOn w:val="DefaultParagraphFont"/>
    <w:uiPriority w:val="21"/>
    <w:qFormat/>
    <w:rsid w:val="00860E76"/>
    <w:rPr>
      <w:i/>
      <w:iCs/>
      <w:color w:val="0F4761" w:themeColor="accent1" w:themeShade="BF"/>
    </w:rPr>
  </w:style>
  <w:style w:type="paragraph" w:styleId="IntenseQuote">
    <w:name w:val="Intense Quote"/>
    <w:basedOn w:val="Normal"/>
    <w:next w:val="Normal"/>
    <w:link w:val="IntenseQuoteChar"/>
    <w:uiPriority w:val="30"/>
    <w:qFormat/>
    <w:rsid w:val="00860E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E76"/>
    <w:rPr>
      <w:i/>
      <w:iCs/>
      <w:color w:val="0F4761" w:themeColor="accent1" w:themeShade="BF"/>
    </w:rPr>
  </w:style>
  <w:style w:type="character" w:styleId="IntenseReference">
    <w:name w:val="Intense Reference"/>
    <w:basedOn w:val="DefaultParagraphFont"/>
    <w:uiPriority w:val="32"/>
    <w:qFormat/>
    <w:rsid w:val="00860E76"/>
    <w:rPr>
      <w:b/>
      <w:bCs/>
      <w:smallCaps/>
      <w:color w:val="0F4761" w:themeColor="accent1" w:themeShade="BF"/>
      <w:spacing w:val="5"/>
    </w:rPr>
  </w:style>
  <w:style w:type="paragraph" w:styleId="FootnoteText">
    <w:name w:val="footnote text"/>
    <w:basedOn w:val="Normal"/>
    <w:link w:val="FootnoteTextChar"/>
    <w:uiPriority w:val="99"/>
    <w:semiHidden/>
    <w:unhideWhenUsed/>
    <w:rsid w:val="009A51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1F1"/>
    <w:rPr>
      <w:sz w:val="20"/>
      <w:szCs w:val="20"/>
    </w:rPr>
  </w:style>
  <w:style w:type="character" w:styleId="FootnoteReference">
    <w:name w:val="footnote reference"/>
    <w:basedOn w:val="DefaultParagraphFont"/>
    <w:uiPriority w:val="99"/>
    <w:semiHidden/>
    <w:unhideWhenUsed/>
    <w:rsid w:val="009A51F1"/>
    <w:rPr>
      <w:vertAlign w:val="superscript"/>
    </w:rPr>
  </w:style>
  <w:style w:type="paragraph" w:styleId="Header">
    <w:name w:val="header"/>
    <w:basedOn w:val="Normal"/>
    <w:link w:val="HeaderChar"/>
    <w:uiPriority w:val="99"/>
    <w:unhideWhenUsed/>
    <w:rsid w:val="00D45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746"/>
  </w:style>
  <w:style w:type="paragraph" w:styleId="Footer">
    <w:name w:val="footer"/>
    <w:basedOn w:val="Normal"/>
    <w:link w:val="FooterChar"/>
    <w:uiPriority w:val="99"/>
    <w:unhideWhenUsed/>
    <w:rsid w:val="00D45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746"/>
  </w:style>
  <w:style w:type="paragraph" w:styleId="Revision">
    <w:name w:val="Revision"/>
    <w:hidden/>
    <w:uiPriority w:val="99"/>
    <w:semiHidden/>
    <w:rsid w:val="00732F72"/>
    <w:pPr>
      <w:spacing w:after="0" w:line="240" w:lineRule="auto"/>
    </w:pPr>
  </w:style>
  <w:style w:type="character" w:styleId="CommentReference">
    <w:name w:val="annotation reference"/>
    <w:basedOn w:val="DefaultParagraphFont"/>
    <w:uiPriority w:val="99"/>
    <w:semiHidden/>
    <w:unhideWhenUsed/>
    <w:rsid w:val="000B7C46"/>
    <w:rPr>
      <w:sz w:val="16"/>
      <w:szCs w:val="16"/>
    </w:rPr>
  </w:style>
  <w:style w:type="paragraph" w:styleId="CommentText">
    <w:name w:val="annotation text"/>
    <w:basedOn w:val="Normal"/>
    <w:link w:val="CommentTextChar"/>
    <w:uiPriority w:val="99"/>
    <w:unhideWhenUsed/>
    <w:rsid w:val="000B7C46"/>
    <w:pPr>
      <w:spacing w:line="240" w:lineRule="auto"/>
    </w:pPr>
    <w:rPr>
      <w:sz w:val="20"/>
      <w:szCs w:val="20"/>
    </w:rPr>
  </w:style>
  <w:style w:type="character" w:customStyle="1" w:styleId="CommentTextChar">
    <w:name w:val="Comment Text Char"/>
    <w:basedOn w:val="DefaultParagraphFont"/>
    <w:link w:val="CommentText"/>
    <w:uiPriority w:val="99"/>
    <w:rsid w:val="000B7C46"/>
    <w:rPr>
      <w:sz w:val="20"/>
      <w:szCs w:val="20"/>
    </w:rPr>
  </w:style>
  <w:style w:type="paragraph" w:styleId="CommentSubject">
    <w:name w:val="annotation subject"/>
    <w:basedOn w:val="CommentText"/>
    <w:next w:val="CommentText"/>
    <w:link w:val="CommentSubjectChar"/>
    <w:uiPriority w:val="99"/>
    <w:semiHidden/>
    <w:unhideWhenUsed/>
    <w:rsid w:val="000B7C46"/>
    <w:rPr>
      <w:b/>
      <w:bCs/>
    </w:rPr>
  </w:style>
  <w:style w:type="character" w:customStyle="1" w:styleId="CommentSubjectChar">
    <w:name w:val="Comment Subject Char"/>
    <w:basedOn w:val="CommentTextChar"/>
    <w:link w:val="CommentSubject"/>
    <w:uiPriority w:val="99"/>
    <w:semiHidden/>
    <w:rsid w:val="000B7C46"/>
    <w:rPr>
      <w:b/>
      <w:bCs/>
      <w:sz w:val="20"/>
      <w:szCs w:val="20"/>
    </w:rPr>
  </w:style>
  <w:style w:type="character" w:styleId="SubtleReference">
    <w:name w:val="Subtle Reference"/>
    <w:uiPriority w:val="31"/>
    <w:rsid w:val="00245622"/>
    <w:rPr>
      <w:smallCaps/>
    </w:rPr>
  </w:style>
  <w:style w:type="character" w:styleId="Hyperlink">
    <w:name w:val="Hyperlink"/>
    <w:basedOn w:val="DefaultParagraphFont"/>
    <w:uiPriority w:val="99"/>
    <w:unhideWhenUsed/>
    <w:rsid w:val="00432AB2"/>
    <w:rPr>
      <w:color w:val="467886" w:themeColor="hyperlink"/>
      <w:u w:val="single"/>
    </w:rPr>
  </w:style>
  <w:style w:type="character" w:styleId="UnresolvedMention">
    <w:name w:val="Unresolved Mention"/>
    <w:basedOn w:val="DefaultParagraphFont"/>
    <w:uiPriority w:val="99"/>
    <w:semiHidden/>
    <w:unhideWhenUsed/>
    <w:rsid w:val="00432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4FB0-3A93-4E53-B87A-08A5EB764CCB}">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2941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Amanda Justice (OCJ)</dc:creator>
  <cp:keywords/>
  <dc:description/>
  <cp:lastModifiedBy>Okonkwo, Chukwuemeka (JUD)</cp:lastModifiedBy>
  <cp:revision>2</cp:revision>
  <cp:lastPrinted>2026-06-25T14:31:00Z</cp:lastPrinted>
  <dcterms:created xsi:type="dcterms:W3CDTF">2026-10-07T17:17:00Z</dcterms:created>
  <dcterms:modified xsi:type="dcterms:W3CDTF">2026-10-07T17:17:00Z</dcterms:modified>
</cp:coreProperties>
</file>