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39" w:rsidRPr="00DD5B4E" w:rsidRDefault="00A26C39" w:rsidP="00A26C39">
      <w:pPr>
        <w:pStyle w:val="CourtofAppealforOntario"/>
        <w:rPr>
          <w:lang w:val="fr-CA"/>
        </w:rPr>
      </w:pPr>
      <w:bookmarkStart w:id="0" w:name="_GoBack"/>
      <w:bookmarkEnd w:id="0"/>
      <w:r w:rsidRPr="00DD5B4E">
        <w:rPr>
          <w:b/>
          <w:lang w:val="fr-CA"/>
        </w:rPr>
        <w:t>CONSEIL DE LA MAGISTRATURE DE L'ONTARIO</w:t>
      </w:r>
    </w:p>
    <w:p w:rsidR="00A26C39" w:rsidRPr="00DD5B4E" w:rsidRDefault="00A26C39" w:rsidP="00A26C39">
      <w:pPr>
        <w:pStyle w:val="Inthematterof"/>
        <w:rPr>
          <w:b/>
          <w:lang w:val="fr-CA"/>
        </w:rPr>
      </w:pPr>
      <w:r w:rsidRPr="00DD5B4E">
        <w:rPr>
          <w:b/>
          <w:lang w:val="fr-CA"/>
        </w:rPr>
        <w:t xml:space="preserve">DANS L’AFFAIRE D’UNE AUDIENCE EN VERTU DE L’ARTICLE 51.6 de la </w:t>
      </w:r>
    </w:p>
    <w:p w:rsidR="00A26C39" w:rsidRPr="00DD5B4E" w:rsidRDefault="00A26C39" w:rsidP="00A26C39">
      <w:pPr>
        <w:pStyle w:val="Inthematterof"/>
        <w:rPr>
          <w:lang w:val="fr-CA"/>
        </w:rPr>
      </w:pPr>
      <w:r w:rsidRPr="00DD5B4E">
        <w:rPr>
          <w:b/>
          <w:i/>
          <w:lang w:val="fr-CA"/>
        </w:rPr>
        <w:t xml:space="preserve">LOI SUR LES TRIBUNAUX JUDICIAIRES, </w:t>
      </w:r>
      <w:r w:rsidRPr="00DD5B4E">
        <w:rPr>
          <w:b/>
          <w:lang w:val="fr-CA"/>
        </w:rPr>
        <w:t>L.R.O. 1990, chap. C. 43, dans sa version modifiée</w:t>
      </w:r>
      <w:r w:rsidRPr="00DD5B4E">
        <w:rPr>
          <w:lang w:val="fr-CA"/>
        </w:rPr>
        <w:t xml:space="preserve"> </w:t>
      </w:r>
    </w:p>
    <w:p w:rsidR="00A26C39" w:rsidRPr="00DD5B4E" w:rsidRDefault="00A26C39" w:rsidP="00A26C39">
      <w:pPr>
        <w:pStyle w:val="Inthematterof"/>
        <w:rPr>
          <w:lang w:val="fr-CA"/>
        </w:rPr>
      </w:pPr>
    </w:p>
    <w:p w:rsidR="00A26C39" w:rsidRPr="00DD5B4E" w:rsidRDefault="00A26C39" w:rsidP="00A26C39">
      <w:pPr>
        <w:pStyle w:val="Inthematterof"/>
        <w:rPr>
          <w:b/>
          <w:lang w:val="fr-CA"/>
        </w:rPr>
      </w:pPr>
      <w:r w:rsidRPr="00DD5B4E">
        <w:rPr>
          <w:b/>
          <w:lang w:val="fr-CA"/>
        </w:rPr>
        <w:t xml:space="preserve">En ce qui concerne une plainte sur la conduite de </w:t>
      </w:r>
    </w:p>
    <w:p w:rsidR="00A50126" w:rsidRPr="00DD5B4E" w:rsidRDefault="00A26C39" w:rsidP="00A26C39">
      <w:pPr>
        <w:pStyle w:val="Inthematterof"/>
        <w:rPr>
          <w:b/>
          <w:lang w:val="fr-CA"/>
        </w:rPr>
      </w:pPr>
      <w:proofErr w:type="gramStart"/>
      <w:r w:rsidRPr="00DD5B4E">
        <w:rPr>
          <w:b/>
          <w:lang w:val="fr-CA"/>
        </w:rPr>
        <w:t>l’honorable</w:t>
      </w:r>
      <w:proofErr w:type="gramEnd"/>
      <w:r w:rsidRPr="00DD5B4E">
        <w:rPr>
          <w:b/>
          <w:lang w:val="fr-CA"/>
        </w:rPr>
        <w:t xml:space="preserve"> juge Donald McLeod</w:t>
      </w:r>
    </w:p>
    <w:p w:rsidR="00A50126" w:rsidRPr="00DD5B4E" w:rsidRDefault="00A50126" w:rsidP="00A50126">
      <w:pPr>
        <w:pStyle w:val="Inthematterof"/>
        <w:spacing w:line="480" w:lineRule="auto"/>
        <w:rPr>
          <w:lang w:val="fr-CA"/>
        </w:rPr>
      </w:pPr>
    </w:p>
    <w:p w:rsidR="00DD5B4E" w:rsidRPr="000D73E5" w:rsidRDefault="00DD5B4E" w:rsidP="00DD5B4E">
      <w:pPr>
        <w:pStyle w:val="Nameofcounsel"/>
        <w:spacing w:before="0" w:after="0"/>
        <w:rPr>
          <w:b/>
          <w:lang w:val="fr-CA"/>
        </w:rPr>
      </w:pPr>
      <w:r w:rsidRPr="000D73E5">
        <w:rPr>
          <w:b/>
          <w:color w:val="000000"/>
          <w:lang w:val="fr-CA"/>
        </w:rPr>
        <w:t>Devant :</w:t>
      </w:r>
    </w:p>
    <w:p w:rsidR="00DD5B4E" w:rsidRPr="000D73E5" w:rsidRDefault="00DD5B4E" w:rsidP="00DD5B4E">
      <w:pPr>
        <w:pStyle w:val="Nameofcounsel"/>
        <w:spacing w:before="0" w:after="0"/>
        <w:rPr>
          <w:b/>
          <w:lang w:val="fr-CA"/>
        </w:rPr>
      </w:pP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La juge</w:t>
      </w:r>
      <w:r w:rsidR="0042256B">
        <w:rPr>
          <w:lang w:val="fr-CA"/>
        </w:rPr>
        <w:t xml:space="preserve"> </w:t>
      </w:r>
      <w:r w:rsidRPr="000D73E5">
        <w:rPr>
          <w:lang w:val="fr-CA"/>
        </w:rPr>
        <w:t>Janet Simmons, présidente</w:t>
      </w: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Cour d’appel de l’Ontario</w:t>
      </w: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Le juge Michael Epstein</w:t>
      </w: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Cour de justice de l’Ontario</w:t>
      </w:r>
    </w:p>
    <w:p w:rsidR="00DD5B4E" w:rsidRPr="000D73E5" w:rsidRDefault="00DD5B4E" w:rsidP="00DD5B4E">
      <w:pPr>
        <w:pStyle w:val="Nameofcounsel"/>
        <w:spacing w:before="0" w:after="0"/>
        <w:ind w:left="720"/>
        <w:rPr>
          <w:lang w:val="fr-CA"/>
        </w:rPr>
      </w:pP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M. Malcolm Mercer</w:t>
      </w: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szCs w:val="26"/>
          <w:lang w:val="fr-CA"/>
        </w:rPr>
        <w:t>Membre représentant les avocats</w:t>
      </w:r>
    </w:p>
    <w:p w:rsidR="00DD5B4E" w:rsidRPr="000D73E5" w:rsidRDefault="00DD5B4E" w:rsidP="00DD5B4E">
      <w:pPr>
        <w:pStyle w:val="Nameofcounsel"/>
        <w:spacing w:before="0" w:after="0"/>
        <w:ind w:left="720"/>
        <w:rPr>
          <w:lang w:val="fr-CA"/>
        </w:rPr>
      </w:pPr>
    </w:p>
    <w:p w:rsidR="00DD5B4E" w:rsidRPr="000D73E5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lang w:val="fr-CA"/>
        </w:rPr>
        <w:t>M. Victor Royce</w:t>
      </w:r>
    </w:p>
    <w:p w:rsidR="00A50126" w:rsidRPr="00DD5B4E" w:rsidRDefault="00DD5B4E" w:rsidP="00DD5B4E">
      <w:pPr>
        <w:pStyle w:val="Nameofcounsel"/>
        <w:spacing w:before="0" w:after="0"/>
        <w:rPr>
          <w:lang w:val="fr-CA"/>
        </w:rPr>
      </w:pPr>
      <w:r w:rsidRPr="000D73E5">
        <w:rPr>
          <w:szCs w:val="26"/>
          <w:lang w:val="fr-CA"/>
        </w:rPr>
        <w:t>Membre représentant le public</w:t>
      </w:r>
    </w:p>
    <w:p w:rsidR="00A50126" w:rsidRPr="00DD5B4E" w:rsidRDefault="00A50126" w:rsidP="00A50126">
      <w:pPr>
        <w:pStyle w:val="Nameofcounsel"/>
        <w:spacing w:before="0" w:after="0"/>
        <w:ind w:firstLine="720"/>
        <w:rPr>
          <w:b/>
          <w:lang w:val="fr-CA"/>
        </w:rPr>
      </w:pPr>
      <w:r w:rsidRPr="00DD5B4E">
        <w:rPr>
          <w:b/>
          <w:lang w:val="fr-CA"/>
        </w:rPr>
        <w:tab/>
      </w:r>
    </w:p>
    <w:p w:rsidR="00A50126" w:rsidRPr="00DD5B4E" w:rsidRDefault="00DD5B4E" w:rsidP="00A50126">
      <w:pPr>
        <w:pStyle w:val="Nameofcounsel"/>
        <w:rPr>
          <w:b/>
          <w:lang w:val="fr-CA"/>
        </w:rPr>
      </w:pPr>
      <w:r w:rsidRPr="000D73E5">
        <w:rPr>
          <w:b/>
          <w:szCs w:val="26"/>
          <w:lang w:val="fr-CA"/>
        </w:rPr>
        <w:t>Comité d'audience du Conseil de la magistrature de l'Ontario</w:t>
      </w:r>
    </w:p>
    <w:p w:rsidR="00A50126" w:rsidRPr="00DD5B4E" w:rsidRDefault="00A50126" w:rsidP="00A50126">
      <w:pPr>
        <w:pStyle w:val="Nameofcounsel"/>
        <w:rPr>
          <w:b/>
          <w:lang w:val="fr-CA"/>
        </w:rPr>
      </w:pPr>
    </w:p>
    <w:p w:rsidR="00A50126" w:rsidRPr="00DD5B4E" w:rsidRDefault="00A50126" w:rsidP="00A50126">
      <w:pPr>
        <w:pStyle w:val="Nameofcounsel"/>
        <w:jc w:val="center"/>
        <w:rPr>
          <w:b/>
          <w:sz w:val="28"/>
          <w:szCs w:val="28"/>
          <w:lang w:val="fr-CA"/>
        </w:rPr>
      </w:pPr>
      <w:r w:rsidRPr="00DD5B4E">
        <w:rPr>
          <w:b/>
          <w:sz w:val="28"/>
          <w:szCs w:val="28"/>
          <w:lang w:val="fr-CA"/>
        </w:rPr>
        <w:t>ORD</w:t>
      </w:r>
      <w:r w:rsidR="00DD5B4E">
        <w:rPr>
          <w:b/>
          <w:sz w:val="28"/>
          <w:szCs w:val="28"/>
          <w:lang w:val="fr-CA"/>
        </w:rPr>
        <w:t xml:space="preserve">ONNANCE DE TENUE D’UNE DEUXIÈME AUDIENCE POUR LA COMMUNICATION DES DOCUMENTS VISÉS PAR </w:t>
      </w:r>
      <w:r w:rsidR="0042256B">
        <w:rPr>
          <w:b/>
          <w:sz w:val="28"/>
          <w:szCs w:val="28"/>
          <w:lang w:val="fr-CA"/>
        </w:rPr>
        <w:t xml:space="preserve">UNE </w:t>
      </w:r>
      <w:r w:rsidR="00DD5B4E">
        <w:rPr>
          <w:b/>
          <w:sz w:val="28"/>
          <w:szCs w:val="28"/>
          <w:lang w:val="fr-CA"/>
        </w:rPr>
        <w:t xml:space="preserve">ASSIGNATION </w:t>
      </w:r>
    </w:p>
    <w:p w:rsidR="00A50126" w:rsidRPr="00DD5B4E" w:rsidRDefault="00A50126" w:rsidP="00A50126">
      <w:pPr>
        <w:pStyle w:val="Nameofcounsel"/>
        <w:rPr>
          <w:b/>
          <w:lang w:val="fr-CA"/>
        </w:rPr>
      </w:pPr>
    </w:p>
    <w:p w:rsidR="00DD5B4E" w:rsidRPr="000D73E5" w:rsidRDefault="00DD5B4E" w:rsidP="00DD5B4E">
      <w:pPr>
        <w:pStyle w:val="Nameofcounsel"/>
        <w:rPr>
          <w:b/>
          <w:szCs w:val="26"/>
          <w:lang w:val="fr-CA"/>
        </w:rPr>
      </w:pPr>
      <w:r w:rsidRPr="000D73E5">
        <w:rPr>
          <w:b/>
          <w:szCs w:val="26"/>
          <w:lang w:val="fr-CA"/>
        </w:rPr>
        <w:t xml:space="preserve">Avocats </w:t>
      </w:r>
      <w:r w:rsidRPr="000D73E5">
        <w:rPr>
          <w:b/>
          <w:color w:val="000000"/>
          <w:lang w:val="fr-CA"/>
        </w:rPr>
        <w:t>:</w:t>
      </w:r>
    </w:p>
    <w:p w:rsidR="00DD5B4E" w:rsidRPr="000D73E5" w:rsidRDefault="00DD5B4E" w:rsidP="00DD5B4E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szCs w:val="26"/>
          <w:lang w:val="fr-CA"/>
        </w:rPr>
        <w:t>Mes Guy J. Pratte, Nadia Effendi et Christine Muir</w:t>
      </w:r>
    </w:p>
    <w:p w:rsidR="00A50126" w:rsidRPr="00DD5B4E" w:rsidRDefault="00DD5B4E" w:rsidP="00DD5B4E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szCs w:val="26"/>
          <w:lang w:val="fr-CA"/>
        </w:rPr>
        <w:t>Avocats chargés de la présentation</w:t>
      </w:r>
      <w:r w:rsidR="00A50126" w:rsidRPr="00DD5B4E">
        <w:rPr>
          <w:szCs w:val="26"/>
          <w:lang w:val="fr-CA"/>
        </w:rPr>
        <w:t xml:space="preserve"> </w:t>
      </w:r>
    </w:p>
    <w:p w:rsidR="00A50126" w:rsidRPr="00DD5B4E" w:rsidRDefault="00A50126" w:rsidP="00A50126">
      <w:pPr>
        <w:pStyle w:val="Nameofcounsel"/>
        <w:spacing w:before="0" w:after="0"/>
        <w:rPr>
          <w:szCs w:val="26"/>
          <w:lang w:val="fr-CA"/>
        </w:rPr>
      </w:pPr>
    </w:p>
    <w:p w:rsidR="00A50126" w:rsidRPr="00DD5B4E" w:rsidRDefault="00DD5B4E" w:rsidP="00A50126">
      <w:pPr>
        <w:pStyle w:val="Nameofcounsel"/>
        <w:spacing w:before="0" w:after="0"/>
        <w:rPr>
          <w:szCs w:val="26"/>
          <w:lang w:val="fr-CA"/>
        </w:rPr>
      </w:pPr>
      <w:r>
        <w:rPr>
          <w:szCs w:val="26"/>
          <w:lang w:val="fr-CA"/>
        </w:rPr>
        <w:t>Mes</w:t>
      </w:r>
      <w:r w:rsidR="00A50126" w:rsidRPr="00DD5B4E">
        <w:rPr>
          <w:szCs w:val="26"/>
          <w:lang w:val="fr-CA"/>
        </w:rPr>
        <w:t xml:space="preserve"> Frank </w:t>
      </w:r>
      <w:proofErr w:type="spellStart"/>
      <w:r w:rsidR="00A50126" w:rsidRPr="00DD5B4E">
        <w:rPr>
          <w:szCs w:val="26"/>
          <w:lang w:val="fr-CA"/>
        </w:rPr>
        <w:t>Addario</w:t>
      </w:r>
      <w:proofErr w:type="spellEnd"/>
      <w:r w:rsidR="00A50126" w:rsidRPr="00DD5B4E">
        <w:rPr>
          <w:szCs w:val="26"/>
          <w:lang w:val="fr-CA"/>
        </w:rPr>
        <w:t xml:space="preserve">, </w:t>
      </w:r>
      <w:proofErr w:type="spellStart"/>
      <w:r w:rsidR="00A50126" w:rsidRPr="00DD5B4E">
        <w:rPr>
          <w:szCs w:val="26"/>
          <w:lang w:val="fr-CA"/>
        </w:rPr>
        <w:t>Wes</w:t>
      </w:r>
      <w:proofErr w:type="spellEnd"/>
      <w:r w:rsidR="00A50126" w:rsidRPr="00DD5B4E">
        <w:rPr>
          <w:szCs w:val="26"/>
          <w:lang w:val="fr-CA"/>
        </w:rPr>
        <w:t xml:space="preserve"> </w:t>
      </w:r>
      <w:proofErr w:type="spellStart"/>
      <w:r w:rsidR="00A50126" w:rsidRPr="00DD5B4E">
        <w:rPr>
          <w:szCs w:val="26"/>
          <w:lang w:val="fr-CA"/>
        </w:rPr>
        <w:t>Dutcher</w:t>
      </w:r>
      <w:proofErr w:type="spellEnd"/>
      <w:r w:rsidR="00A50126" w:rsidRPr="00DD5B4E">
        <w:rPr>
          <w:szCs w:val="26"/>
          <w:lang w:val="fr-CA"/>
        </w:rPr>
        <w:t>-Walls, Nader Hassan</w:t>
      </w:r>
      <w:r w:rsidR="00775E8A" w:rsidRPr="00DD5B4E">
        <w:rPr>
          <w:szCs w:val="26"/>
          <w:lang w:val="fr-CA"/>
        </w:rPr>
        <w:t xml:space="preserve"> </w:t>
      </w:r>
      <w:r>
        <w:rPr>
          <w:szCs w:val="26"/>
          <w:lang w:val="fr-CA"/>
        </w:rPr>
        <w:t>et</w:t>
      </w:r>
      <w:r w:rsidR="00775E8A" w:rsidRPr="00DD5B4E">
        <w:rPr>
          <w:szCs w:val="26"/>
          <w:lang w:val="fr-CA"/>
        </w:rPr>
        <w:t xml:space="preserve"> Emily Lam</w:t>
      </w:r>
    </w:p>
    <w:p w:rsidR="00A50126" w:rsidRPr="00DD5B4E" w:rsidRDefault="00DD5B4E" w:rsidP="00A50126">
      <w:pPr>
        <w:pStyle w:val="Nameofcounsel"/>
        <w:spacing w:before="0" w:after="0"/>
        <w:rPr>
          <w:szCs w:val="26"/>
          <w:lang w:val="fr-CA"/>
        </w:rPr>
      </w:pPr>
      <w:r w:rsidRPr="000D73E5">
        <w:rPr>
          <w:color w:val="000000"/>
          <w:lang w:val="fr-CA"/>
        </w:rPr>
        <w:t xml:space="preserve">Avocats du juge </w:t>
      </w:r>
      <w:r w:rsidRPr="000D73E5">
        <w:rPr>
          <w:szCs w:val="26"/>
          <w:lang w:val="fr-CA"/>
        </w:rPr>
        <w:t>McLeod</w:t>
      </w:r>
    </w:p>
    <w:p w:rsidR="00A50126" w:rsidRPr="00DD5B4E" w:rsidRDefault="00A50126" w:rsidP="00A50126">
      <w:pPr>
        <w:spacing w:after="200" w:line="276" w:lineRule="auto"/>
        <w:rPr>
          <w:b/>
          <w:color w:val="000000"/>
          <w:lang w:val="fr-CA"/>
        </w:rPr>
      </w:pPr>
      <w:r w:rsidRPr="00DD5B4E">
        <w:rPr>
          <w:b/>
          <w:color w:val="000000"/>
          <w:lang w:val="fr-CA"/>
        </w:rPr>
        <w:br w:type="page"/>
      </w:r>
    </w:p>
    <w:p w:rsidR="00A50126" w:rsidRPr="00DD5B4E" w:rsidRDefault="00DD5B4E" w:rsidP="00A50126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lang w:val="fr-CA"/>
        </w:rPr>
      </w:pPr>
      <w:r w:rsidRPr="000D73E5">
        <w:rPr>
          <w:rFonts w:ascii="Arial" w:hAnsi="Arial" w:cs="Arial"/>
          <w:b/>
          <w:color w:val="000000"/>
          <w:lang w:val="fr-CA"/>
        </w:rPr>
        <w:lastRenderedPageBreak/>
        <w:t>APRÈS AVOIR PRIS NOTE</w:t>
      </w:r>
      <w:r w:rsidRPr="000D73E5">
        <w:rPr>
          <w:rFonts w:ascii="Arial" w:hAnsi="Arial" w:cs="Arial"/>
          <w:color w:val="000000"/>
          <w:lang w:val="fr-CA"/>
        </w:rPr>
        <w:t xml:space="preserve"> </w:t>
      </w:r>
      <w:r>
        <w:rPr>
          <w:rFonts w:ascii="Arial" w:hAnsi="Arial" w:cs="Arial"/>
          <w:color w:val="000000"/>
          <w:lang w:val="fr-CA"/>
        </w:rPr>
        <w:t xml:space="preserve">de la précédente ordonnance du comité d’audience, datée du 2 juin </w:t>
      </w:r>
      <w:r w:rsidR="00A50126" w:rsidRPr="00DD5B4E">
        <w:rPr>
          <w:rFonts w:ascii="Arial" w:hAnsi="Arial" w:cs="Arial"/>
          <w:color w:val="000000"/>
          <w:lang w:val="fr-CA"/>
        </w:rPr>
        <w:t xml:space="preserve">2020, </w:t>
      </w:r>
      <w:r>
        <w:rPr>
          <w:rFonts w:ascii="Arial" w:hAnsi="Arial" w:cs="Arial"/>
          <w:color w:val="000000"/>
          <w:lang w:val="fr-CA"/>
        </w:rPr>
        <w:t xml:space="preserve">qui ordonnait </w:t>
      </w:r>
      <w:r w:rsidR="0001056D">
        <w:rPr>
          <w:rFonts w:ascii="Arial" w:hAnsi="Arial" w:cs="Arial"/>
          <w:color w:val="000000"/>
          <w:lang w:val="fr-CA"/>
        </w:rPr>
        <w:t>la tenue d’</w:t>
      </w:r>
      <w:r>
        <w:rPr>
          <w:rFonts w:ascii="Arial" w:hAnsi="Arial" w:cs="Arial"/>
          <w:color w:val="000000"/>
          <w:lang w:val="fr-CA"/>
        </w:rPr>
        <w:t xml:space="preserve">une audience </w:t>
      </w:r>
      <w:r w:rsidR="0001056D">
        <w:rPr>
          <w:rFonts w:ascii="Arial" w:hAnsi="Arial" w:cs="Arial"/>
          <w:color w:val="000000"/>
          <w:lang w:val="fr-CA"/>
        </w:rPr>
        <w:t>le</w:t>
      </w:r>
      <w:r>
        <w:rPr>
          <w:rFonts w:ascii="Arial" w:hAnsi="Arial" w:cs="Arial"/>
          <w:color w:val="000000"/>
          <w:lang w:val="fr-CA"/>
        </w:rPr>
        <w:t xml:space="preserve"> 12 juin </w:t>
      </w:r>
      <w:r w:rsidR="00A50126" w:rsidRPr="00DD5B4E">
        <w:rPr>
          <w:rFonts w:ascii="Arial" w:hAnsi="Arial" w:cs="Arial"/>
          <w:color w:val="000000"/>
          <w:lang w:val="fr-CA"/>
        </w:rPr>
        <w:t xml:space="preserve">2020, </w:t>
      </w:r>
      <w:r w:rsidRPr="000D73E5">
        <w:rPr>
          <w:rFonts w:ascii="Arial" w:hAnsi="Arial" w:cs="Arial"/>
          <w:lang w:val="fr-CA"/>
        </w:rPr>
        <w:t xml:space="preserve">dans le seul but d’assurer la </w:t>
      </w:r>
      <w:r w:rsidR="0001056D">
        <w:rPr>
          <w:rFonts w:ascii="Arial" w:hAnsi="Arial" w:cs="Arial"/>
          <w:lang w:val="fr-CA"/>
        </w:rPr>
        <w:t xml:space="preserve">remise </w:t>
      </w:r>
      <w:r w:rsidRPr="000D73E5">
        <w:rPr>
          <w:rFonts w:ascii="Arial" w:hAnsi="Arial" w:cs="Arial"/>
          <w:lang w:val="fr-CA"/>
        </w:rPr>
        <w:t>des documents visés par une assignation</w:t>
      </w:r>
      <w:r>
        <w:rPr>
          <w:rFonts w:ascii="Arial" w:hAnsi="Arial" w:cs="Arial"/>
          <w:lang w:val="fr-CA"/>
        </w:rPr>
        <w:t>;</w:t>
      </w:r>
      <w:r w:rsidR="00A50126" w:rsidRPr="00DD5B4E">
        <w:rPr>
          <w:rFonts w:ascii="Arial" w:hAnsi="Arial" w:cs="Arial"/>
          <w:lang w:val="fr-CA"/>
        </w:rPr>
        <w:t xml:space="preserve"> </w:t>
      </w:r>
    </w:p>
    <w:p w:rsidR="00A50126" w:rsidRPr="00DD5B4E" w:rsidRDefault="00A50126" w:rsidP="00A50126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val="fr-CA"/>
        </w:rPr>
      </w:pPr>
      <w:r w:rsidRPr="00DD5B4E">
        <w:rPr>
          <w:rFonts w:ascii="Arial" w:hAnsi="Arial" w:cs="Arial"/>
          <w:lang w:val="fr-CA"/>
        </w:rPr>
        <w:tab/>
      </w:r>
      <w:r w:rsidR="00DD5B4E" w:rsidRPr="000D73E5">
        <w:rPr>
          <w:rFonts w:ascii="Arial" w:hAnsi="Arial" w:cs="Arial"/>
          <w:b/>
          <w:color w:val="000000"/>
          <w:lang w:val="fr-CA"/>
        </w:rPr>
        <w:t>APRÈS AVOIR PRIS NOTE</w:t>
      </w:r>
      <w:r w:rsidR="00DD5B4E" w:rsidRPr="000D73E5">
        <w:rPr>
          <w:rFonts w:ascii="Arial" w:hAnsi="Arial" w:cs="Arial"/>
          <w:color w:val="000000"/>
          <w:lang w:val="fr-CA"/>
        </w:rPr>
        <w:t xml:space="preserve"> </w:t>
      </w:r>
      <w:r w:rsidR="00DD5B4E">
        <w:rPr>
          <w:rFonts w:ascii="Arial" w:hAnsi="Arial" w:cs="Arial"/>
          <w:lang w:val="fr-CA"/>
        </w:rPr>
        <w:t xml:space="preserve">de la demande de l’avocat chargé de la présentation de fixer une deuxième date d’audience au 30 juin </w:t>
      </w:r>
      <w:r w:rsidRPr="00DD5B4E">
        <w:rPr>
          <w:rFonts w:ascii="Arial" w:hAnsi="Arial" w:cs="Arial"/>
          <w:lang w:val="fr-CA"/>
        </w:rPr>
        <w:t xml:space="preserve">2020, </w:t>
      </w:r>
      <w:r w:rsidR="00DD5B4E" w:rsidRPr="000D73E5">
        <w:rPr>
          <w:rFonts w:ascii="Arial" w:hAnsi="Arial" w:cs="Arial"/>
          <w:lang w:val="fr-CA"/>
        </w:rPr>
        <w:t xml:space="preserve">dans le seul but d’assurer la </w:t>
      </w:r>
      <w:r w:rsidR="0001056D">
        <w:rPr>
          <w:rFonts w:ascii="Arial" w:hAnsi="Arial" w:cs="Arial"/>
          <w:lang w:val="fr-CA"/>
        </w:rPr>
        <w:t>remise</w:t>
      </w:r>
      <w:r w:rsidR="00DD5B4E" w:rsidRPr="000D73E5">
        <w:rPr>
          <w:rFonts w:ascii="Arial" w:hAnsi="Arial" w:cs="Arial"/>
          <w:lang w:val="fr-CA"/>
        </w:rPr>
        <w:t xml:space="preserve"> des documents visés par une assignation</w:t>
      </w:r>
      <w:r w:rsidRPr="00DD5B4E">
        <w:rPr>
          <w:rFonts w:ascii="Arial" w:hAnsi="Arial" w:cs="Arial"/>
          <w:lang w:val="fr-CA"/>
        </w:rPr>
        <w:t xml:space="preserve">; </w:t>
      </w:r>
    </w:p>
    <w:p w:rsidR="00A50126" w:rsidRPr="00DD5B4E" w:rsidRDefault="00A50126" w:rsidP="00A50126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b/>
          <w:color w:val="000000"/>
          <w:lang w:val="fr-CA"/>
        </w:rPr>
      </w:pPr>
      <w:r w:rsidRPr="00DD5B4E">
        <w:rPr>
          <w:rFonts w:ascii="Arial" w:hAnsi="Arial" w:cs="Arial"/>
          <w:color w:val="000000"/>
          <w:lang w:val="fr-CA"/>
        </w:rPr>
        <w:tab/>
      </w:r>
      <w:r w:rsidR="00DD5B4E" w:rsidRPr="00DD5B4E">
        <w:rPr>
          <w:rFonts w:ascii="Arial" w:hAnsi="Arial" w:cs="Arial"/>
          <w:b/>
          <w:color w:val="000000"/>
          <w:lang w:val="fr-CA"/>
        </w:rPr>
        <w:t xml:space="preserve">ET </w:t>
      </w:r>
      <w:r w:rsidR="00DD5B4E" w:rsidRPr="000D73E5">
        <w:rPr>
          <w:rFonts w:ascii="Arial" w:hAnsi="Arial" w:cs="Arial"/>
          <w:b/>
          <w:color w:val="000000"/>
          <w:lang w:val="fr-CA"/>
        </w:rPr>
        <w:t>APRÈS AVOIR PRIS NOTE</w:t>
      </w:r>
      <w:r w:rsidR="00DD5B4E" w:rsidRPr="000D73E5">
        <w:rPr>
          <w:rFonts w:ascii="Arial" w:hAnsi="Arial" w:cs="Arial"/>
          <w:color w:val="000000"/>
          <w:lang w:val="fr-CA"/>
        </w:rPr>
        <w:t xml:space="preserve"> du consentement des parties </w:t>
      </w:r>
      <w:r w:rsidR="00DD5B4E">
        <w:rPr>
          <w:rFonts w:ascii="Arial" w:hAnsi="Arial" w:cs="Arial"/>
          <w:color w:val="000000"/>
          <w:lang w:val="fr-CA"/>
        </w:rPr>
        <w:t xml:space="preserve">à la demande </w:t>
      </w:r>
      <w:r w:rsidR="00DD5B4E">
        <w:rPr>
          <w:rFonts w:ascii="Arial" w:hAnsi="Arial" w:cs="Arial"/>
          <w:lang w:val="fr-CA"/>
        </w:rPr>
        <w:t>de fixer une deuxième date d’audience</w:t>
      </w:r>
      <w:r w:rsidRPr="00DD5B4E">
        <w:rPr>
          <w:rFonts w:ascii="Arial" w:hAnsi="Arial" w:cs="Arial"/>
          <w:color w:val="000000"/>
          <w:lang w:val="fr-CA"/>
        </w:rPr>
        <w:t xml:space="preserve">, </w:t>
      </w:r>
    </w:p>
    <w:p w:rsidR="00A50126" w:rsidRPr="00DD5B4E" w:rsidRDefault="00DD5B4E" w:rsidP="00A50126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spacing w:before="100" w:beforeAutospacing="1" w:after="100" w:afterAutospacing="1" w:line="480" w:lineRule="auto"/>
        <w:jc w:val="both"/>
        <w:rPr>
          <w:rFonts w:ascii="Arial" w:hAnsi="Arial" w:cs="Arial"/>
          <w:u w:val="single"/>
          <w:lang w:val="fr-CA"/>
        </w:rPr>
      </w:pPr>
      <w:r w:rsidRPr="000D73E5">
        <w:rPr>
          <w:rFonts w:ascii="Arial" w:hAnsi="Arial" w:cs="Arial"/>
          <w:b/>
          <w:lang w:val="fr-CA"/>
        </w:rPr>
        <w:t>NOUS ORDONNONS PAR LES PRÉSENTES</w:t>
      </w:r>
      <w:r w:rsidRPr="000D73E5">
        <w:rPr>
          <w:rFonts w:ascii="Arial" w:hAnsi="Arial" w:cs="Arial"/>
          <w:lang w:val="fr-CA"/>
        </w:rPr>
        <w:t xml:space="preserve"> ce qui suit</w:t>
      </w:r>
      <w:r>
        <w:rPr>
          <w:rFonts w:ascii="Arial" w:hAnsi="Arial" w:cs="Arial"/>
          <w:lang w:val="fr-CA"/>
        </w:rPr>
        <w:t xml:space="preserve"> </w:t>
      </w:r>
      <w:r w:rsidR="00A50126" w:rsidRPr="00DD5B4E">
        <w:rPr>
          <w:rFonts w:ascii="Arial" w:hAnsi="Arial" w:cs="Arial"/>
          <w:lang w:val="fr-CA"/>
        </w:rPr>
        <w:t>:</w:t>
      </w:r>
    </w:p>
    <w:p w:rsidR="00A50126" w:rsidRPr="00DD5B4E" w:rsidRDefault="00DD5B4E" w:rsidP="00A50126">
      <w:pPr>
        <w:pStyle w:val="ListParagraph"/>
        <w:numPr>
          <w:ilvl w:val="0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ind w:left="0" w:firstLine="0"/>
        <w:contextualSpacing w:val="0"/>
        <w:jc w:val="both"/>
        <w:rPr>
          <w:rFonts w:ascii="Arial" w:hAnsi="Arial" w:cs="Arial"/>
          <w:lang w:val="fr-CA"/>
        </w:rPr>
      </w:pPr>
      <w:r w:rsidRPr="000D73E5">
        <w:rPr>
          <w:rFonts w:ascii="Arial" w:hAnsi="Arial" w:cs="Arial"/>
          <w:lang w:val="fr-CA"/>
        </w:rPr>
        <w:t>Une audience aura lieu</w:t>
      </w:r>
      <w:r w:rsidRPr="00DD5B4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le 30 juin</w:t>
      </w:r>
      <w:r w:rsidR="00A50126" w:rsidRPr="00DD5B4E">
        <w:rPr>
          <w:rFonts w:ascii="Arial" w:hAnsi="Arial" w:cs="Arial"/>
          <w:lang w:val="fr-CA"/>
        </w:rPr>
        <w:t xml:space="preserve"> 2020</w:t>
      </w:r>
      <w:r>
        <w:rPr>
          <w:rFonts w:ascii="Arial" w:hAnsi="Arial" w:cs="Arial"/>
          <w:lang w:val="fr-CA"/>
        </w:rPr>
        <w:t xml:space="preserve">, à 9 h 30, </w:t>
      </w:r>
      <w:r w:rsidRPr="000D73E5">
        <w:rPr>
          <w:rFonts w:ascii="Arial" w:hAnsi="Arial" w:cs="Arial"/>
          <w:lang w:val="fr-CA"/>
        </w:rPr>
        <w:t xml:space="preserve">par conférence téléphonique, dans le seul but d’assurer la </w:t>
      </w:r>
      <w:r w:rsidR="0001056D">
        <w:rPr>
          <w:rFonts w:ascii="Arial" w:hAnsi="Arial" w:cs="Arial"/>
          <w:lang w:val="fr-CA"/>
        </w:rPr>
        <w:t>remise</w:t>
      </w:r>
      <w:r w:rsidRPr="000D73E5">
        <w:rPr>
          <w:rFonts w:ascii="Arial" w:hAnsi="Arial" w:cs="Arial"/>
          <w:lang w:val="fr-CA"/>
        </w:rPr>
        <w:t xml:space="preserve"> des documents visés par une assignation</w:t>
      </w:r>
      <w:r w:rsidR="0042256B">
        <w:rPr>
          <w:rFonts w:ascii="Arial" w:hAnsi="Arial" w:cs="Arial"/>
          <w:lang w:val="fr-CA"/>
        </w:rPr>
        <w:t xml:space="preserve"> et ces documents seront remis</w:t>
      </w:r>
      <w:r w:rsidR="0042256B" w:rsidRPr="000D73E5">
        <w:rPr>
          <w:rFonts w:ascii="Arial" w:hAnsi="Arial" w:cs="Arial"/>
          <w:lang w:val="fr-CA"/>
        </w:rPr>
        <w:t xml:space="preserve"> de la manière suivante :</w:t>
      </w:r>
    </w:p>
    <w:p w:rsidR="00A50126" w:rsidRPr="00DD5B4E" w:rsidRDefault="00DD5B4E" w:rsidP="00A50126">
      <w:pPr>
        <w:pStyle w:val="ListParagraph"/>
        <w:numPr>
          <w:ilvl w:val="1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contextualSpacing w:val="0"/>
        <w:jc w:val="both"/>
        <w:rPr>
          <w:rFonts w:ascii="Arial" w:hAnsi="Arial" w:cs="Arial"/>
          <w:lang w:val="fr-CA"/>
        </w:rPr>
      </w:pPr>
      <w:r w:rsidRPr="000D73E5">
        <w:rPr>
          <w:rFonts w:ascii="Arial" w:hAnsi="Arial" w:cs="Arial"/>
          <w:lang w:val="fr-CA"/>
        </w:rPr>
        <w:t xml:space="preserve">La </w:t>
      </w:r>
      <w:r>
        <w:rPr>
          <w:rFonts w:ascii="Arial" w:hAnsi="Arial" w:cs="Arial"/>
          <w:lang w:val="fr-CA"/>
        </w:rPr>
        <w:t>remise</w:t>
      </w:r>
      <w:r w:rsidRPr="000D73E5">
        <w:rPr>
          <w:rFonts w:ascii="Arial" w:hAnsi="Arial" w:cs="Arial"/>
          <w:lang w:val="fr-CA"/>
        </w:rPr>
        <w:t xml:space="preserve"> de ces documents se fera par courriel à l’attention de Nadia Effendi de Borden </w:t>
      </w:r>
      <w:proofErr w:type="spellStart"/>
      <w:r w:rsidRPr="000D73E5">
        <w:rPr>
          <w:rFonts w:ascii="Arial" w:hAnsi="Arial" w:cs="Arial"/>
          <w:lang w:val="fr-CA"/>
        </w:rPr>
        <w:t>Ladner</w:t>
      </w:r>
      <w:proofErr w:type="spellEnd"/>
      <w:r w:rsidRPr="000D73E5">
        <w:rPr>
          <w:rFonts w:ascii="Arial" w:hAnsi="Arial" w:cs="Arial"/>
          <w:lang w:val="fr-CA"/>
        </w:rPr>
        <w:t xml:space="preserve"> Gervais LLP (« BLG »), avocate chargée de la présentation, à </w:t>
      </w:r>
      <w:hyperlink r:id="rId8" w:history="1">
        <w:r w:rsidRPr="000D73E5">
          <w:rPr>
            <w:rStyle w:val="Hyperlink"/>
            <w:rFonts w:ascii="Arial" w:hAnsi="Arial" w:cs="Arial"/>
            <w:lang w:val="fr-CA"/>
          </w:rPr>
          <w:t>neffendi@blg.com</w:t>
        </w:r>
      </w:hyperlink>
      <w:r w:rsidRPr="000D73E5">
        <w:rPr>
          <w:rStyle w:val="Hyperlink"/>
          <w:rFonts w:ascii="Arial" w:hAnsi="Arial" w:cs="Arial"/>
          <w:lang w:val="fr-CA"/>
        </w:rPr>
        <w:t xml:space="preserve">, </w:t>
      </w:r>
      <w:r w:rsidRPr="000D73E5">
        <w:rPr>
          <w:rFonts w:ascii="Arial" w:hAnsi="Arial" w:cs="Arial"/>
          <w:lang w:val="fr-CA"/>
        </w:rPr>
        <w:t xml:space="preserve">ou par transfert sécurisé de fichiers, selon les exigences, sous la coordination de Me Effendi, au plus tard le </w:t>
      </w:r>
      <w:r w:rsidR="00A50126" w:rsidRPr="00DD5B4E">
        <w:rPr>
          <w:rFonts w:ascii="Arial" w:hAnsi="Arial" w:cs="Arial"/>
          <w:lang w:val="fr-CA"/>
        </w:rPr>
        <w:t>30</w:t>
      </w:r>
      <w:r>
        <w:rPr>
          <w:rFonts w:ascii="Arial" w:hAnsi="Arial" w:cs="Arial"/>
          <w:lang w:val="fr-CA"/>
        </w:rPr>
        <w:t> juin</w:t>
      </w:r>
      <w:r w:rsidR="00A50126" w:rsidRPr="00DD5B4E">
        <w:rPr>
          <w:rFonts w:ascii="Arial" w:hAnsi="Arial" w:cs="Arial"/>
          <w:lang w:val="fr-CA"/>
        </w:rPr>
        <w:t xml:space="preserve"> 2020, </w:t>
      </w:r>
      <w:r w:rsidRPr="000D73E5">
        <w:rPr>
          <w:rFonts w:ascii="Arial" w:hAnsi="Arial" w:cs="Arial"/>
          <w:lang w:val="fr-CA"/>
        </w:rPr>
        <w:t>à 9 h 30;</w:t>
      </w:r>
    </w:p>
    <w:p w:rsidR="00A50126" w:rsidRPr="00DD5B4E" w:rsidRDefault="00DD5B4E" w:rsidP="00A50126">
      <w:pPr>
        <w:pStyle w:val="ListParagraph"/>
        <w:numPr>
          <w:ilvl w:val="1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contextualSpacing w:val="0"/>
        <w:jc w:val="both"/>
        <w:rPr>
          <w:rFonts w:ascii="Arial" w:hAnsi="Arial" w:cs="Arial"/>
          <w:lang w:val="fr-CA"/>
        </w:rPr>
      </w:pPr>
      <w:r w:rsidRPr="000D73E5">
        <w:rPr>
          <w:rFonts w:ascii="Arial" w:hAnsi="Arial" w:cs="Arial"/>
          <w:lang w:val="fr-CA"/>
        </w:rPr>
        <w:t xml:space="preserve">Dans la mesure où un témoin peut remettre des documents à Me Effendi avant la date de la conférence téléphonique, sa présence ne sera pas nécessaire à la conférence, à condition que ce témoin confirme sous serment ou affirmation solennelle qu’il s’est conformé aux exigences </w:t>
      </w:r>
      <w:r w:rsidRPr="000D73E5">
        <w:rPr>
          <w:rFonts w:ascii="Arial" w:hAnsi="Arial" w:cs="Arial"/>
          <w:lang w:val="fr-CA"/>
        </w:rPr>
        <w:lastRenderedPageBreak/>
        <w:t>précisées dans l’assignation</w:t>
      </w:r>
      <w:r>
        <w:rPr>
          <w:rFonts w:ascii="Arial" w:hAnsi="Arial" w:cs="Arial"/>
          <w:lang w:val="fr-CA"/>
        </w:rPr>
        <w:t xml:space="preserve"> en question</w:t>
      </w:r>
      <w:r w:rsidRPr="000D73E5">
        <w:rPr>
          <w:rFonts w:ascii="Arial" w:hAnsi="Arial" w:cs="Arial"/>
          <w:lang w:val="fr-CA"/>
        </w:rPr>
        <w:t xml:space="preserve">, selon la formule d’Affidavit </w:t>
      </w:r>
      <w:r>
        <w:rPr>
          <w:rFonts w:ascii="Arial" w:hAnsi="Arial" w:cs="Arial"/>
          <w:lang w:val="fr-CA"/>
        </w:rPr>
        <w:t>jointe</w:t>
      </w:r>
      <w:r w:rsidRPr="000D73E5">
        <w:rPr>
          <w:rFonts w:ascii="Arial" w:hAnsi="Arial" w:cs="Arial"/>
          <w:lang w:val="fr-CA"/>
        </w:rPr>
        <w:t xml:space="preserve"> à l’Annexe </w:t>
      </w:r>
      <w:r>
        <w:rPr>
          <w:rFonts w:ascii="Arial" w:hAnsi="Arial" w:cs="Arial"/>
          <w:lang w:val="fr-CA"/>
        </w:rPr>
        <w:t>« </w:t>
      </w:r>
      <w:r w:rsidRPr="000D73E5">
        <w:rPr>
          <w:rFonts w:ascii="Arial" w:hAnsi="Arial" w:cs="Arial"/>
          <w:lang w:val="fr-CA"/>
        </w:rPr>
        <w:t>A</w:t>
      </w:r>
      <w:r>
        <w:rPr>
          <w:rFonts w:ascii="Arial" w:hAnsi="Arial" w:cs="Arial"/>
          <w:lang w:val="fr-CA"/>
        </w:rPr>
        <w:t> »</w:t>
      </w:r>
      <w:r w:rsidRPr="000D73E5">
        <w:rPr>
          <w:rFonts w:ascii="Arial" w:hAnsi="Arial" w:cs="Arial"/>
          <w:lang w:val="fr-CA"/>
        </w:rPr>
        <w:t xml:space="preserve"> de la présente ordonnance</w:t>
      </w:r>
      <w:r w:rsidR="00A50126" w:rsidRPr="00DD5B4E">
        <w:rPr>
          <w:rFonts w:ascii="Arial" w:hAnsi="Arial" w:cs="Arial"/>
          <w:lang w:val="fr-CA"/>
        </w:rPr>
        <w:t>.</w:t>
      </w:r>
    </w:p>
    <w:p w:rsidR="00A50126" w:rsidRPr="00DD5B4E" w:rsidRDefault="0001056D" w:rsidP="00A50126">
      <w:pPr>
        <w:pStyle w:val="ListParagraph"/>
        <w:numPr>
          <w:ilvl w:val="0"/>
          <w:numId w:val="2"/>
        </w:numPr>
        <w:tabs>
          <w:tab w:val="left" w:pos="567"/>
          <w:tab w:val="left" w:pos="5760"/>
          <w:tab w:val="left" w:pos="7770"/>
        </w:tabs>
        <w:spacing w:before="120" w:after="120" w:line="480" w:lineRule="auto"/>
        <w:ind w:left="0" w:firstLine="0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Tout interrogatoire concernant </w:t>
      </w:r>
      <w:r w:rsidRPr="000D73E5">
        <w:rPr>
          <w:rFonts w:ascii="Arial" w:hAnsi="Arial" w:cs="Arial"/>
          <w:lang w:val="fr-CA"/>
        </w:rPr>
        <w:t xml:space="preserve">la conformité du témoin aux conditions de l’assignation, à l’égard des documents, sera reporté à une date ultérieure ou à l’audience sur </w:t>
      </w:r>
      <w:r>
        <w:rPr>
          <w:rFonts w:ascii="Arial" w:hAnsi="Arial" w:cs="Arial"/>
          <w:lang w:val="fr-CA"/>
        </w:rPr>
        <w:t>l’instance sur la</w:t>
      </w:r>
      <w:r w:rsidRPr="000D73E5">
        <w:rPr>
          <w:rFonts w:ascii="Arial" w:hAnsi="Arial" w:cs="Arial"/>
          <w:lang w:val="fr-CA"/>
        </w:rPr>
        <w:t xml:space="preserve"> plainte connexe </w:t>
      </w:r>
      <w:r>
        <w:rPr>
          <w:rFonts w:ascii="Arial" w:hAnsi="Arial" w:cs="Arial"/>
          <w:lang w:val="fr-CA"/>
        </w:rPr>
        <w:t xml:space="preserve">qui est </w:t>
      </w:r>
      <w:r w:rsidRPr="000D73E5">
        <w:rPr>
          <w:rFonts w:ascii="Arial" w:hAnsi="Arial" w:cs="Arial"/>
          <w:lang w:val="fr-CA"/>
        </w:rPr>
        <w:t>prévue pour l’instant pour le 27</w:t>
      </w:r>
      <w:r>
        <w:rPr>
          <w:rFonts w:ascii="Arial" w:hAnsi="Arial" w:cs="Arial"/>
          <w:lang w:val="fr-CA"/>
        </w:rPr>
        <w:t> </w:t>
      </w:r>
      <w:r w:rsidRPr="000D73E5">
        <w:rPr>
          <w:rFonts w:ascii="Arial" w:hAnsi="Arial" w:cs="Arial"/>
          <w:lang w:val="fr-CA"/>
        </w:rPr>
        <w:t xml:space="preserve">juillet 2020. Plus précisément, aucun témoignage relatif aux allégations faisant l’objet </w:t>
      </w:r>
      <w:r>
        <w:rPr>
          <w:rFonts w:ascii="Arial" w:hAnsi="Arial" w:cs="Arial"/>
          <w:lang w:val="fr-CA"/>
        </w:rPr>
        <w:t>de l’instance sur la</w:t>
      </w:r>
      <w:r w:rsidRPr="000D73E5">
        <w:rPr>
          <w:rFonts w:ascii="Arial" w:hAnsi="Arial" w:cs="Arial"/>
          <w:lang w:val="fr-CA"/>
        </w:rPr>
        <w:t xml:space="preserve"> plainte ne sera entendu lors de l’audience pro forma mentionnée ci-dessus.</w:t>
      </w:r>
    </w:p>
    <w:p w:rsidR="00A50126" w:rsidRPr="00DD5B4E" w:rsidRDefault="00A50126" w:rsidP="00A50126">
      <w:pPr>
        <w:tabs>
          <w:tab w:val="left" w:pos="4749"/>
        </w:tabs>
        <w:rPr>
          <w:rFonts w:ascii="Arial" w:hAnsi="Arial" w:cs="Arial"/>
          <w:lang w:val="fr-CA"/>
        </w:rPr>
      </w:pPr>
    </w:p>
    <w:p w:rsidR="00A50126" w:rsidRPr="00DD5B4E" w:rsidRDefault="00DD5B4E" w:rsidP="00A50126">
      <w:pPr>
        <w:tabs>
          <w:tab w:val="left" w:pos="4749"/>
        </w:tabs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lang w:val="fr-CA"/>
        </w:rPr>
        <w:t xml:space="preserve">Date : le 12 juin </w:t>
      </w:r>
      <w:r w:rsidR="00A50126" w:rsidRPr="00DD5B4E">
        <w:rPr>
          <w:rFonts w:ascii="Arial" w:hAnsi="Arial" w:cs="Arial"/>
          <w:szCs w:val="24"/>
          <w:lang w:val="fr-CA"/>
        </w:rPr>
        <w:t>2020.</w:t>
      </w:r>
    </w:p>
    <w:p w:rsidR="00A50126" w:rsidRPr="00DD5B4E" w:rsidRDefault="00A50126" w:rsidP="00A50126">
      <w:pPr>
        <w:pStyle w:val="CQuote"/>
        <w:ind w:left="0"/>
        <w:rPr>
          <w:sz w:val="24"/>
          <w:lang w:val="fr-CA"/>
        </w:rPr>
      </w:pPr>
    </w:p>
    <w:p w:rsidR="00DD5B4E" w:rsidRPr="000D73E5" w:rsidRDefault="00DD5B4E" w:rsidP="00DD5B4E">
      <w:pPr>
        <w:pStyle w:val="CQuote"/>
        <w:ind w:left="0"/>
        <w:rPr>
          <w:sz w:val="24"/>
          <w:lang w:val="fr-CA"/>
        </w:rPr>
      </w:pPr>
      <w:r w:rsidRPr="000D73E5">
        <w:rPr>
          <w:sz w:val="24"/>
          <w:lang w:val="fr-CA"/>
        </w:rPr>
        <w:t>“Ju</w:t>
      </w:r>
      <w:r>
        <w:rPr>
          <w:sz w:val="24"/>
          <w:lang w:val="fr-CA"/>
        </w:rPr>
        <w:t>ge</w:t>
      </w:r>
      <w:r w:rsidRPr="000D73E5">
        <w:rPr>
          <w:sz w:val="24"/>
          <w:lang w:val="fr-CA"/>
        </w:rPr>
        <w:t xml:space="preserve"> Janet Simmons”, </w:t>
      </w:r>
      <w:r>
        <w:rPr>
          <w:sz w:val="24"/>
          <w:lang w:val="fr-CA"/>
        </w:rPr>
        <w:t>présidente</w:t>
      </w:r>
    </w:p>
    <w:p w:rsidR="00DD5B4E" w:rsidRPr="000D73E5" w:rsidRDefault="00DD5B4E" w:rsidP="00DD5B4E">
      <w:pPr>
        <w:pStyle w:val="CQuote"/>
        <w:ind w:left="0"/>
        <w:rPr>
          <w:sz w:val="24"/>
          <w:lang w:val="fr-CA"/>
        </w:rPr>
      </w:pPr>
      <w:r w:rsidRPr="000D73E5">
        <w:rPr>
          <w:sz w:val="24"/>
          <w:lang w:val="fr-CA"/>
        </w:rPr>
        <w:t>“Ju</w:t>
      </w:r>
      <w:r>
        <w:rPr>
          <w:sz w:val="24"/>
          <w:lang w:val="fr-CA"/>
        </w:rPr>
        <w:t>ge</w:t>
      </w:r>
      <w:r w:rsidRPr="000D73E5">
        <w:rPr>
          <w:sz w:val="24"/>
          <w:lang w:val="fr-CA"/>
        </w:rPr>
        <w:t xml:space="preserve"> Michael J. Epstein”</w:t>
      </w:r>
    </w:p>
    <w:p w:rsidR="00DD5B4E" w:rsidRPr="000D73E5" w:rsidRDefault="00DD5B4E" w:rsidP="00DD5B4E">
      <w:pPr>
        <w:pStyle w:val="CQuote"/>
        <w:ind w:left="0"/>
        <w:rPr>
          <w:sz w:val="24"/>
          <w:lang w:val="fr-CA"/>
        </w:rPr>
      </w:pPr>
      <w:r>
        <w:rPr>
          <w:sz w:val="24"/>
          <w:lang w:val="fr-CA"/>
        </w:rPr>
        <w:t>“M</w:t>
      </w:r>
      <w:r w:rsidRPr="000D73E5">
        <w:rPr>
          <w:sz w:val="24"/>
          <w:lang w:val="fr-CA"/>
        </w:rPr>
        <w:t>. Malcolm M. Mercer”</w:t>
      </w:r>
    </w:p>
    <w:p w:rsidR="00DD5B4E" w:rsidRPr="000D73E5" w:rsidRDefault="00DD5B4E" w:rsidP="00DD5B4E">
      <w:pPr>
        <w:pStyle w:val="CQuote"/>
        <w:ind w:left="0"/>
        <w:rPr>
          <w:sz w:val="24"/>
          <w:lang w:val="fr-CA"/>
        </w:rPr>
      </w:pPr>
      <w:r w:rsidRPr="000D73E5">
        <w:rPr>
          <w:sz w:val="24"/>
          <w:lang w:val="fr-CA"/>
        </w:rPr>
        <w:t>“M. Victor Royce”</w:t>
      </w:r>
    </w:p>
    <w:p w:rsidR="00A50126" w:rsidRPr="00DD5B4E" w:rsidRDefault="00A50126" w:rsidP="00A50126">
      <w:pPr>
        <w:tabs>
          <w:tab w:val="left" w:pos="4749"/>
        </w:tabs>
        <w:rPr>
          <w:rFonts w:ascii="Arial" w:hAnsi="Arial" w:cs="Arial"/>
          <w:szCs w:val="24"/>
          <w:lang w:val="fr-CA"/>
        </w:rPr>
      </w:pPr>
    </w:p>
    <w:p w:rsidR="00A50126" w:rsidRPr="00DD5B4E" w:rsidRDefault="00A50126" w:rsidP="00A50126">
      <w:pPr>
        <w:pStyle w:val="ListParagraph"/>
        <w:ind w:left="0"/>
        <w:rPr>
          <w:rFonts w:ascii="Arial" w:hAnsi="Arial" w:cs="Arial"/>
          <w:szCs w:val="24"/>
          <w:lang w:val="fr-CA"/>
        </w:rPr>
      </w:pPr>
    </w:p>
    <w:p w:rsidR="00A50126" w:rsidRPr="00DD5B4E" w:rsidRDefault="00A50126" w:rsidP="00A50126">
      <w:pPr>
        <w:autoSpaceDE w:val="0"/>
        <w:autoSpaceDN w:val="0"/>
        <w:adjustRightInd w:val="0"/>
        <w:spacing w:before="100" w:after="100"/>
        <w:jc w:val="right"/>
        <w:rPr>
          <w:rFonts w:ascii="Arial" w:hAnsi="Arial" w:cs="Arial"/>
          <w:szCs w:val="24"/>
          <w:lang w:val="fr-CA"/>
        </w:rPr>
      </w:pPr>
    </w:p>
    <w:p w:rsidR="00A50126" w:rsidRPr="00DD5B4E" w:rsidRDefault="00A50126" w:rsidP="00A50126">
      <w:pPr>
        <w:autoSpaceDE w:val="0"/>
        <w:autoSpaceDN w:val="0"/>
        <w:adjustRightInd w:val="0"/>
        <w:spacing w:before="100" w:after="100"/>
        <w:jc w:val="right"/>
        <w:rPr>
          <w:rFonts w:ascii="Arial" w:hAnsi="Arial" w:cs="Arial"/>
          <w:szCs w:val="24"/>
          <w:lang w:val="fr-CA"/>
        </w:rPr>
      </w:pPr>
    </w:p>
    <w:p w:rsidR="00A50126" w:rsidRPr="00DD5B4E" w:rsidRDefault="00A50126" w:rsidP="00A50126">
      <w:pPr>
        <w:autoSpaceDE w:val="0"/>
        <w:autoSpaceDN w:val="0"/>
        <w:adjustRightInd w:val="0"/>
        <w:spacing w:before="100" w:after="100"/>
        <w:jc w:val="right"/>
        <w:rPr>
          <w:rFonts w:ascii="Arial" w:hAnsi="Arial" w:cs="Arial"/>
          <w:szCs w:val="24"/>
          <w:lang w:val="fr-CA"/>
        </w:rPr>
      </w:pPr>
    </w:p>
    <w:p w:rsidR="00A50126" w:rsidRPr="00DD5B4E" w:rsidRDefault="00A50126" w:rsidP="00A50126">
      <w:pPr>
        <w:autoSpaceDE w:val="0"/>
        <w:autoSpaceDN w:val="0"/>
        <w:adjustRightInd w:val="0"/>
        <w:spacing w:before="100" w:after="100"/>
        <w:jc w:val="right"/>
        <w:rPr>
          <w:rFonts w:ascii="Arial" w:hAnsi="Arial" w:cs="Arial"/>
          <w:szCs w:val="24"/>
          <w:lang w:val="fr-CA"/>
        </w:rPr>
      </w:pPr>
    </w:p>
    <w:p w:rsidR="00A50126" w:rsidRPr="00DD5B4E" w:rsidRDefault="00A50126" w:rsidP="00A50126">
      <w:pPr>
        <w:tabs>
          <w:tab w:val="left" w:pos="4749"/>
        </w:tabs>
        <w:ind w:left="4749"/>
        <w:jc w:val="right"/>
        <w:rPr>
          <w:rFonts w:ascii="Arial" w:hAnsi="Arial" w:cs="Arial"/>
          <w:szCs w:val="24"/>
          <w:lang w:val="fr-CA"/>
        </w:rPr>
      </w:pPr>
      <w:r w:rsidRPr="00DD5B4E">
        <w:rPr>
          <w:rFonts w:ascii="Arial" w:hAnsi="Arial" w:cs="Arial"/>
          <w:szCs w:val="24"/>
          <w:u w:val="single"/>
          <w:lang w:val="fr-CA"/>
        </w:rPr>
        <w:t xml:space="preserve"> </w:t>
      </w:r>
    </w:p>
    <w:p w:rsidR="00A50126" w:rsidRPr="00DD5B4E" w:rsidRDefault="00A50126" w:rsidP="00A50126">
      <w:pPr>
        <w:rPr>
          <w:rFonts w:ascii="Arial" w:hAnsi="Arial" w:cs="Arial"/>
          <w:szCs w:val="24"/>
          <w:lang w:val="fr-CA"/>
        </w:rPr>
      </w:pPr>
    </w:p>
    <w:p w:rsidR="00997DD8" w:rsidRPr="00DD5B4E" w:rsidRDefault="00A40010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p w:rsidR="00A50126" w:rsidRPr="00DD5B4E" w:rsidRDefault="00DD5B4E" w:rsidP="00A50126">
      <w:pPr>
        <w:jc w:val="center"/>
        <w:rPr>
          <w:b/>
          <w:lang w:val="fr-CA"/>
        </w:rPr>
      </w:pPr>
      <w:r w:rsidRPr="000D73E5">
        <w:rPr>
          <w:b/>
          <w:szCs w:val="24"/>
          <w:lang w:val="fr-CA"/>
        </w:rPr>
        <w:t>CONSEIL DE LA MAGISTRATURE DE L'ONTARIO</w:t>
      </w:r>
    </w:p>
    <w:p w:rsidR="00A50126" w:rsidRPr="00DD5B4E" w:rsidRDefault="00A50126" w:rsidP="00A50126">
      <w:pPr>
        <w:jc w:val="center"/>
        <w:rPr>
          <w:b/>
          <w:lang w:val="fr-CA"/>
        </w:rPr>
      </w:pPr>
    </w:p>
    <w:p w:rsidR="00A50126" w:rsidRPr="00DD5B4E" w:rsidRDefault="00DD5B4E" w:rsidP="00A50126">
      <w:pPr>
        <w:jc w:val="center"/>
        <w:rPr>
          <w:b/>
          <w:lang w:val="fr-CA"/>
        </w:rPr>
      </w:pPr>
      <w:r w:rsidRPr="000D73E5">
        <w:rPr>
          <w:b/>
          <w:szCs w:val="24"/>
          <w:lang w:val="fr-CA"/>
        </w:rPr>
        <w:t xml:space="preserve">DANS L’AFFAIRE D’UNE </w:t>
      </w:r>
      <w:r>
        <w:rPr>
          <w:b/>
          <w:szCs w:val="24"/>
          <w:lang w:val="fr-CA"/>
        </w:rPr>
        <w:t xml:space="preserve">PLAINTE CONCERNANT </w:t>
      </w:r>
    </w:p>
    <w:p w:rsidR="00A50126" w:rsidRPr="00DD5B4E" w:rsidRDefault="00DD5B4E" w:rsidP="00A50126">
      <w:pPr>
        <w:jc w:val="center"/>
        <w:rPr>
          <w:b/>
          <w:lang w:val="fr-CA"/>
        </w:rPr>
      </w:pPr>
      <w:r>
        <w:rPr>
          <w:b/>
          <w:lang w:val="fr-CA"/>
        </w:rPr>
        <w:t>L’HONORABLE JUGE</w:t>
      </w:r>
      <w:r w:rsidR="00A50126" w:rsidRPr="00DD5B4E">
        <w:rPr>
          <w:b/>
          <w:lang w:val="fr-CA"/>
        </w:rPr>
        <w:t xml:space="preserve"> DONALD MCLEOD</w:t>
      </w:r>
      <w:r>
        <w:rPr>
          <w:b/>
          <w:lang w:val="fr-CA"/>
        </w:rPr>
        <w:t>,</w:t>
      </w:r>
    </w:p>
    <w:p w:rsidR="00A50126" w:rsidRPr="00DD5B4E" w:rsidRDefault="00DD5B4E" w:rsidP="00A50126">
      <w:pPr>
        <w:jc w:val="center"/>
        <w:rPr>
          <w:b/>
          <w:lang w:val="fr-CA"/>
        </w:rPr>
      </w:pPr>
      <w:r>
        <w:rPr>
          <w:b/>
          <w:lang w:val="fr-CA"/>
        </w:rPr>
        <w:t xml:space="preserve">JUGE À LA COUR DE JUSTICE DE L’ONTARIO DANS LA </w:t>
      </w:r>
    </w:p>
    <w:p w:rsidR="00A50126" w:rsidRPr="00DD5B4E" w:rsidRDefault="00DD5B4E" w:rsidP="00A501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lang w:val="fr-CA"/>
        </w:rPr>
      </w:pPr>
      <w:r>
        <w:rPr>
          <w:b/>
          <w:lang w:val="fr-CA"/>
        </w:rPr>
        <w:t>RÉGION DU CENTRE-OUEST</w:t>
      </w:r>
    </w:p>
    <w:p w:rsidR="00A50126" w:rsidRPr="00DD5B4E" w:rsidRDefault="00A50126" w:rsidP="00A501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fr-CA"/>
        </w:rPr>
      </w:pPr>
    </w:p>
    <w:p w:rsidR="00A50126" w:rsidRPr="00DD5B4E" w:rsidRDefault="00A50126" w:rsidP="00A50126">
      <w:pPr>
        <w:rPr>
          <w:lang w:val="fr-CA"/>
        </w:rPr>
      </w:pPr>
    </w:p>
    <w:p w:rsidR="00A50126" w:rsidRPr="00DD5B4E" w:rsidRDefault="00DD5B4E" w:rsidP="00A50126">
      <w:pPr>
        <w:jc w:val="center"/>
        <w:rPr>
          <w:b/>
          <w:bCs/>
          <w:lang w:val="fr-CA"/>
        </w:rPr>
      </w:pPr>
      <w:r w:rsidRPr="00DD5B4E">
        <w:rPr>
          <w:b/>
          <w:bCs/>
          <w:lang w:val="fr-CA"/>
        </w:rPr>
        <w:t>AFFIDAVIT DE [</w:t>
      </w:r>
      <w:r w:rsidRPr="00DD5B4E">
        <w:rPr>
          <w:b/>
          <w:bCs/>
          <w:highlight w:val="yellow"/>
          <w:lang w:val="fr-CA"/>
        </w:rPr>
        <w:t>INDIQUER LE NOM DU DÉPOSANT]</w:t>
      </w:r>
    </w:p>
    <w:p w:rsidR="00A50126" w:rsidRPr="00DD5B4E" w:rsidRDefault="00A50126" w:rsidP="00A50126">
      <w:pPr>
        <w:rPr>
          <w:lang w:val="fr-CA"/>
        </w:rPr>
      </w:pPr>
    </w:p>
    <w:p w:rsidR="00DD5B4E" w:rsidRPr="00DD5B4E" w:rsidRDefault="00DD5B4E" w:rsidP="00DD5B4E">
      <w:pPr>
        <w:pStyle w:val="Footer"/>
        <w:spacing w:line="360" w:lineRule="auto"/>
        <w:ind w:firstLine="720"/>
        <w:jc w:val="both"/>
        <w:rPr>
          <w:lang w:val="fr-CA"/>
        </w:rPr>
      </w:pPr>
      <w:r w:rsidRPr="00DD5B4E">
        <w:rPr>
          <w:b/>
          <w:bCs/>
          <w:lang w:val="fr-CA"/>
        </w:rPr>
        <w:t>JE SOUSSIGNÉ(E)</w:t>
      </w:r>
      <w:r w:rsidRPr="00DD5B4E">
        <w:rPr>
          <w:lang w:val="fr-CA"/>
        </w:rPr>
        <w:t xml:space="preserve">, </w:t>
      </w:r>
      <w:r w:rsidRPr="00DD5B4E">
        <w:rPr>
          <w:b/>
          <w:bCs/>
          <w:lang w:val="fr-CA"/>
        </w:rPr>
        <w:t>[NOM]</w:t>
      </w:r>
      <w:r w:rsidRPr="00DD5B4E">
        <w:rPr>
          <w:lang w:val="fr-CA"/>
        </w:rPr>
        <w:t xml:space="preserve">, de la ville de ___________, dans la province de l’Ontario, </w:t>
      </w:r>
      <w:r w:rsidRPr="00DD5B4E">
        <w:rPr>
          <w:b/>
          <w:bCs/>
          <w:lang w:val="fr-CA"/>
        </w:rPr>
        <w:t xml:space="preserve">DÉCLARE SOUS SERMENT OU AFFIRME SOLENNELLEMENT QUE </w:t>
      </w:r>
      <w:r w:rsidRPr="00DD5B4E">
        <w:rPr>
          <w:lang w:val="fr-CA"/>
        </w:rPr>
        <w:t>:</w:t>
      </w:r>
    </w:p>
    <w:p w:rsidR="00A50126" w:rsidRPr="00DD5B4E" w:rsidRDefault="00A50126" w:rsidP="00A50126">
      <w:pPr>
        <w:pStyle w:val="Footer"/>
        <w:spacing w:line="360" w:lineRule="auto"/>
        <w:ind w:firstLine="720"/>
        <w:jc w:val="both"/>
        <w:rPr>
          <w:lang w:val="fr-CA"/>
        </w:rPr>
      </w:pPr>
    </w:p>
    <w:p w:rsidR="00A50126" w:rsidRPr="00DD5B4E" w:rsidRDefault="00DD5B4E" w:rsidP="00A50126">
      <w:pPr>
        <w:pStyle w:val="Footer"/>
        <w:numPr>
          <w:ilvl w:val="0"/>
          <w:numId w:val="4"/>
        </w:numPr>
        <w:tabs>
          <w:tab w:val="clear" w:pos="360"/>
          <w:tab w:val="clear" w:pos="4680"/>
          <w:tab w:val="clear" w:pos="9360"/>
          <w:tab w:val="num" w:pos="684"/>
        </w:tabs>
        <w:spacing w:before="120" w:after="240" w:line="360" w:lineRule="auto"/>
        <w:jc w:val="both"/>
        <w:rPr>
          <w:lang w:val="fr-CA"/>
        </w:rPr>
      </w:pPr>
      <w:r w:rsidRPr="00DD5B4E">
        <w:rPr>
          <w:lang w:val="fr-CA"/>
        </w:rPr>
        <w:t xml:space="preserve">J’ai reçu une assignation délivrée par le Conseil de la magistrature de l’Ontario et datée du </w:t>
      </w:r>
      <w:r w:rsidRPr="00DD5B4E">
        <w:rPr>
          <w:highlight w:val="yellow"/>
          <w:lang w:val="fr-CA"/>
        </w:rPr>
        <w:t>X</w:t>
      </w:r>
      <w:r w:rsidRPr="00DD5B4E">
        <w:rPr>
          <w:lang w:val="fr-CA"/>
        </w:rPr>
        <w:t xml:space="preserve"> juin 2020.</w:t>
      </w:r>
    </w:p>
    <w:p w:rsidR="00A50126" w:rsidRPr="00DD5B4E" w:rsidRDefault="00DD5B4E" w:rsidP="00A50126">
      <w:pPr>
        <w:pStyle w:val="Footer"/>
        <w:numPr>
          <w:ilvl w:val="0"/>
          <w:numId w:val="4"/>
        </w:numPr>
        <w:tabs>
          <w:tab w:val="clear" w:pos="360"/>
          <w:tab w:val="clear" w:pos="4680"/>
          <w:tab w:val="clear" w:pos="9360"/>
          <w:tab w:val="num" w:pos="684"/>
        </w:tabs>
        <w:spacing w:before="120" w:after="240" w:line="360" w:lineRule="auto"/>
        <w:jc w:val="both"/>
        <w:rPr>
          <w:lang w:val="fr-CA"/>
        </w:rPr>
      </w:pPr>
      <w:r w:rsidRPr="00DD5B4E">
        <w:rPr>
          <w:lang w:val="fr-CA"/>
        </w:rPr>
        <w:t xml:space="preserve">Conformément à cette assignation, je confirme avoir remis à Nadia Effendi de Borden </w:t>
      </w:r>
      <w:proofErr w:type="spellStart"/>
      <w:r w:rsidRPr="00DD5B4E">
        <w:rPr>
          <w:lang w:val="fr-CA"/>
        </w:rPr>
        <w:t>Ladner</w:t>
      </w:r>
      <w:proofErr w:type="spellEnd"/>
      <w:r w:rsidRPr="00DD5B4E">
        <w:rPr>
          <w:lang w:val="fr-CA"/>
        </w:rPr>
        <w:t xml:space="preserve"> Gervais LLP, avocate chargée de la présentation dans cette affaire, tous les documents indiqués dans cette assignation que j’ai en ma possession, sous mon contrôle ou sous ma garde.</w:t>
      </w:r>
    </w:p>
    <w:p w:rsidR="00A50126" w:rsidRPr="00DD5B4E" w:rsidRDefault="00A50126" w:rsidP="00A50126">
      <w:pPr>
        <w:pStyle w:val="ParagraphNumbering"/>
        <w:numPr>
          <w:ilvl w:val="0"/>
          <w:numId w:val="0"/>
        </w:numPr>
        <w:tabs>
          <w:tab w:val="clear" w:pos="720"/>
        </w:tabs>
        <w:spacing w:after="0"/>
        <w:rPr>
          <w:lang w:val="fr-CA"/>
        </w:rPr>
      </w:pPr>
    </w:p>
    <w:p w:rsidR="00A50126" w:rsidRPr="00DD5B4E" w:rsidRDefault="00A50126" w:rsidP="00A50126">
      <w:pPr>
        <w:pStyle w:val="ParagraphNumbering"/>
        <w:numPr>
          <w:ilvl w:val="0"/>
          <w:numId w:val="0"/>
        </w:numPr>
        <w:tabs>
          <w:tab w:val="clear" w:pos="720"/>
        </w:tabs>
        <w:spacing w:after="0"/>
        <w:rPr>
          <w:lang w:val="fr-CA"/>
        </w:rPr>
      </w:pPr>
    </w:p>
    <w:p w:rsidR="00A50126" w:rsidRPr="00DD5B4E" w:rsidRDefault="00A50126" w:rsidP="00A50126">
      <w:pPr>
        <w:pStyle w:val="ParagraphNumbering"/>
        <w:numPr>
          <w:ilvl w:val="0"/>
          <w:numId w:val="0"/>
        </w:numPr>
        <w:tabs>
          <w:tab w:val="clear" w:pos="720"/>
        </w:tabs>
        <w:spacing w:after="0"/>
        <w:rPr>
          <w:lang w:val="fr-CA"/>
        </w:rPr>
      </w:pPr>
    </w:p>
    <w:tbl>
      <w:tblPr>
        <w:tblW w:w="5067" w:type="pct"/>
        <w:tblInd w:w="-108" w:type="dxa"/>
        <w:tblLook w:val="0000" w:firstRow="0" w:lastRow="0" w:firstColumn="0" w:lastColumn="0" w:noHBand="0" w:noVBand="0"/>
      </w:tblPr>
      <w:tblGrid>
        <w:gridCol w:w="4644"/>
        <w:gridCol w:w="296"/>
        <w:gridCol w:w="4545"/>
      </w:tblGrid>
      <w:tr w:rsidR="00A50126" w:rsidRPr="00DD5B4E" w:rsidTr="00F5579F">
        <w:tc>
          <w:tcPr>
            <w:tcW w:w="2448" w:type="pct"/>
          </w:tcPr>
          <w:p w:rsidR="00A50126" w:rsidRPr="00DD5B4E" w:rsidRDefault="00DD5B4E" w:rsidP="00F5579F">
            <w:pPr>
              <w:rPr>
                <w:lang w:val="fr-CA"/>
              </w:rPr>
            </w:pPr>
            <w:r w:rsidRPr="00DD5B4E">
              <w:rPr>
                <w:b/>
                <w:bCs/>
                <w:lang w:val="fr-CA"/>
              </w:rPr>
              <w:t xml:space="preserve">DÉCLARÉ SOUS SERMENT DEVANT MOI </w:t>
            </w:r>
            <w:r w:rsidRPr="00DD5B4E">
              <w:rPr>
                <w:lang w:val="fr-CA"/>
              </w:rPr>
              <w:t xml:space="preserve">par vidéoconférence le </w:t>
            </w:r>
            <w:r w:rsidRPr="00573CE3">
              <w:rPr>
                <w:highlight w:val="yellow"/>
                <w:lang w:val="fr-CA"/>
              </w:rPr>
              <w:t>**</w:t>
            </w:r>
            <w:r w:rsidRPr="00DD5B4E">
              <w:rPr>
                <w:lang w:val="fr-CA"/>
              </w:rPr>
              <w:t xml:space="preserve"> ______ 2020. Le déposant se trouvait dans la ville de _________ dans la province de l’Ontario, alors que le commissaire aux affidavits, ________, se trouve dans la ville de ________, dans la province de l’Ontario.</w:t>
            </w:r>
          </w:p>
        </w:tc>
        <w:tc>
          <w:tcPr>
            <w:tcW w:w="156" w:type="pct"/>
          </w:tcPr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</w:tc>
        <w:tc>
          <w:tcPr>
            <w:tcW w:w="2396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</w:tr>
      <w:tr w:rsidR="00A50126" w:rsidRPr="00DD5B4E" w:rsidTr="00F5579F">
        <w:tc>
          <w:tcPr>
            <w:tcW w:w="2448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  <w:tc>
          <w:tcPr>
            <w:tcW w:w="156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  <w:tc>
          <w:tcPr>
            <w:tcW w:w="2396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</w:tr>
      <w:tr w:rsidR="00A50126" w:rsidRPr="00DD5B4E" w:rsidTr="00F5579F">
        <w:tc>
          <w:tcPr>
            <w:tcW w:w="2448" w:type="pct"/>
            <w:tcBorders>
              <w:bottom w:val="single" w:sz="4" w:space="0" w:color="auto"/>
            </w:tcBorders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  <w:tc>
          <w:tcPr>
            <w:tcW w:w="156" w:type="pct"/>
          </w:tcPr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</w:tc>
        <w:tc>
          <w:tcPr>
            <w:tcW w:w="2396" w:type="pct"/>
            <w:tcBorders>
              <w:bottom w:val="single" w:sz="4" w:space="0" w:color="auto"/>
            </w:tcBorders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</w:tr>
      <w:tr w:rsidR="00A50126" w:rsidRPr="00DD5B4E" w:rsidTr="00F5579F">
        <w:tc>
          <w:tcPr>
            <w:tcW w:w="2448" w:type="pct"/>
            <w:tcBorders>
              <w:top w:val="single" w:sz="4" w:space="0" w:color="auto"/>
            </w:tcBorders>
          </w:tcPr>
          <w:p w:rsidR="00A50126" w:rsidRPr="00DD5B4E" w:rsidRDefault="00DD5B4E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Commissaire aux affidavits, etc.</w:t>
            </w:r>
          </w:p>
        </w:tc>
        <w:tc>
          <w:tcPr>
            <w:tcW w:w="156" w:type="pct"/>
          </w:tcPr>
          <w:p w:rsidR="00A50126" w:rsidRPr="00DD5B4E" w:rsidRDefault="00A50126" w:rsidP="00F5579F">
            <w:pPr>
              <w:rPr>
                <w:lang w:val="fr-CA"/>
              </w:rPr>
            </w:pPr>
            <w:r w:rsidRPr="00DD5B4E">
              <w:rPr>
                <w:lang w:val="fr-CA"/>
              </w:rPr>
              <w:t>)</w:t>
            </w:r>
          </w:p>
        </w:tc>
        <w:tc>
          <w:tcPr>
            <w:tcW w:w="2396" w:type="pct"/>
            <w:tcBorders>
              <w:top w:val="single" w:sz="4" w:space="0" w:color="auto"/>
            </w:tcBorders>
          </w:tcPr>
          <w:p w:rsidR="00A50126" w:rsidRPr="00DD5B4E" w:rsidRDefault="00DD5B4E" w:rsidP="00F5579F">
            <w:pPr>
              <w:ind w:left="1408" w:hanging="1408"/>
              <w:jc w:val="center"/>
              <w:rPr>
                <w:b/>
                <w:lang w:val="fr-CA"/>
              </w:rPr>
            </w:pPr>
            <w:r w:rsidRPr="00DD5B4E">
              <w:rPr>
                <w:b/>
                <w:lang w:val="fr-CA"/>
              </w:rPr>
              <w:t>[</w:t>
            </w:r>
            <w:r w:rsidRPr="00DD5B4E">
              <w:rPr>
                <w:b/>
                <w:highlight w:val="yellow"/>
                <w:lang w:val="fr-CA"/>
              </w:rPr>
              <w:t>NOM DU DÉPOSANT</w:t>
            </w:r>
            <w:r w:rsidRPr="00DD5B4E">
              <w:rPr>
                <w:b/>
                <w:lang w:val="fr-CA"/>
              </w:rPr>
              <w:t>]</w:t>
            </w:r>
          </w:p>
        </w:tc>
      </w:tr>
      <w:tr w:rsidR="00A50126" w:rsidRPr="00DD5B4E" w:rsidTr="00F5579F">
        <w:tc>
          <w:tcPr>
            <w:tcW w:w="2448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  <w:p w:rsidR="00A50126" w:rsidRPr="00DD5B4E" w:rsidRDefault="00A50126" w:rsidP="00F5579F">
            <w:pPr>
              <w:rPr>
                <w:lang w:val="fr-CA"/>
              </w:rPr>
            </w:pPr>
          </w:p>
        </w:tc>
        <w:tc>
          <w:tcPr>
            <w:tcW w:w="156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  <w:tc>
          <w:tcPr>
            <w:tcW w:w="2396" w:type="pct"/>
          </w:tcPr>
          <w:p w:rsidR="00A50126" w:rsidRPr="00DD5B4E" w:rsidRDefault="00A50126" w:rsidP="00F5579F">
            <w:pPr>
              <w:rPr>
                <w:lang w:val="fr-CA"/>
              </w:rPr>
            </w:pPr>
          </w:p>
        </w:tc>
      </w:tr>
    </w:tbl>
    <w:p w:rsidR="00A50126" w:rsidRPr="00DD5B4E" w:rsidRDefault="00A50126" w:rsidP="00A50126">
      <w:pPr>
        <w:tabs>
          <w:tab w:val="left" w:pos="6658"/>
        </w:tabs>
        <w:rPr>
          <w:lang w:val="fr-CA"/>
        </w:rPr>
      </w:pPr>
    </w:p>
    <w:p w:rsidR="00A50126" w:rsidRPr="00DD5B4E" w:rsidRDefault="00A50126" w:rsidP="00F61F85">
      <w:pPr>
        <w:rPr>
          <w:lang w:val="fr-CA"/>
        </w:rPr>
      </w:pPr>
    </w:p>
    <w:sectPr w:rsidR="00A50126" w:rsidRPr="00DD5B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26" w:rsidRDefault="00A50126" w:rsidP="00F72078">
      <w:r>
        <w:separator/>
      </w:r>
    </w:p>
  </w:endnote>
  <w:endnote w:type="continuationSeparator" w:id="0">
    <w:p w:rsidR="00A50126" w:rsidRDefault="00A50126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19" w:rsidRDefault="00691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19" w:rsidRDefault="00691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19" w:rsidRDefault="00691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26" w:rsidRDefault="00A50126" w:rsidP="00F72078">
      <w:r>
        <w:separator/>
      </w:r>
    </w:p>
  </w:footnote>
  <w:footnote w:type="continuationSeparator" w:id="0">
    <w:p w:rsidR="00A50126" w:rsidRDefault="00A50126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19" w:rsidRDefault="00691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19" w:rsidRDefault="006913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319" w:rsidRDefault="00691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64B4"/>
    <w:multiLevelType w:val="hybridMultilevel"/>
    <w:tmpl w:val="62140FEC"/>
    <w:lvl w:ilvl="0" w:tplc="DB721D2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7A0D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07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C7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EA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C47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0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85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586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5E6B1C"/>
    <w:multiLevelType w:val="multilevel"/>
    <w:tmpl w:val="448E6B38"/>
    <w:lvl w:ilvl="0">
      <w:start w:val="1"/>
      <w:numFmt w:val="decimal"/>
      <w:pStyle w:val="ParagraphNumbering"/>
      <w:lvlText w:val="%1."/>
      <w:lvlJc w:val="left"/>
      <w:pPr>
        <w:tabs>
          <w:tab w:val="num" w:pos="360"/>
        </w:tabs>
        <w:ind w:left="0" w:firstLine="0"/>
      </w:pPr>
      <w:rPr>
        <w:rFonts w:ascii="CG Omega" w:hAnsi="CG Omega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72027B45"/>
    <w:multiLevelType w:val="hybridMultilevel"/>
    <w:tmpl w:val="2B828B54"/>
    <w:lvl w:ilvl="0" w:tplc="B0F40C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E8ABC2E">
      <w:start w:val="1"/>
      <w:numFmt w:val="lowerLetter"/>
      <w:lvlText w:val="%2."/>
      <w:lvlJc w:val="left"/>
      <w:pPr>
        <w:ind w:left="1440" w:hanging="360"/>
      </w:pPr>
    </w:lvl>
    <w:lvl w:ilvl="2" w:tplc="A28E9AFA" w:tentative="1">
      <w:start w:val="1"/>
      <w:numFmt w:val="lowerRoman"/>
      <w:lvlText w:val="%3."/>
      <w:lvlJc w:val="right"/>
      <w:pPr>
        <w:ind w:left="2160" w:hanging="180"/>
      </w:pPr>
    </w:lvl>
    <w:lvl w:ilvl="3" w:tplc="01BA90C8" w:tentative="1">
      <w:start w:val="1"/>
      <w:numFmt w:val="decimal"/>
      <w:lvlText w:val="%4."/>
      <w:lvlJc w:val="left"/>
      <w:pPr>
        <w:ind w:left="2880" w:hanging="360"/>
      </w:pPr>
    </w:lvl>
    <w:lvl w:ilvl="4" w:tplc="C3A046B8" w:tentative="1">
      <w:start w:val="1"/>
      <w:numFmt w:val="lowerLetter"/>
      <w:lvlText w:val="%5."/>
      <w:lvlJc w:val="left"/>
      <w:pPr>
        <w:ind w:left="3600" w:hanging="360"/>
      </w:pPr>
    </w:lvl>
    <w:lvl w:ilvl="5" w:tplc="8040A77A" w:tentative="1">
      <w:start w:val="1"/>
      <w:numFmt w:val="lowerRoman"/>
      <w:lvlText w:val="%6."/>
      <w:lvlJc w:val="right"/>
      <w:pPr>
        <w:ind w:left="4320" w:hanging="180"/>
      </w:pPr>
    </w:lvl>
    <w:lvl w:ilvl="6" w:tplc="7B9C83AE" w:tentative="1">
      <w:start w:val="1"/>
      <w:numFmt w:val="decimal"/>
      <w:lvlText w:val="%7."/>
      <w:lvlJc w:val="left"/>
      <w:pPr>
        <w:ind w:left="5040" w:hanging="360"/>
      </w:pPr>
    </w:lvl>
    <w:lvl w:ilvl="7" w:tplc="2CFC4088" w:tentative="1">
      <w:start w:val="1"/>
      <w:numFmt w:val="lowerLetter"/>
      <w:lvlText w:val="%8."/>
      <w:lvlJc w:val="left"/>
      <w:pPr>
        <w:ind w:left="5760" w:hanging="360"/>
      </w:pPr>
    </w:lvl>
    <w:lvl w:ilvl="8" w:tplc="250233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26"/>
    <w:rsid w:val="0001056D"/>
    <w:rsid w:val="000A0119"/>
    <w:rsid w:val="001C37B4"/>
    <w:rsid w:val="001F129E"/>
    <w:rsid w:val="00225BE4"/>
    <w:rsid w:val="002B325E"/>
    <w:rsid w:val="002E6FF6"/>
    <w:rsid w:val="00317F1F"/>
    <w:rsid w:val="0036413B"/>
    <w:rsid w:val="003B1EF1"/>
    <w:rsid w:val="00404C1A"/>
    <w:rsid w:val="0042256B"/>
    <w:rsid w:val="00463FD9"/>
    <w:rsid w:val="00487378"/>
    <w:rsid w:val="004A2238"/>
    <w:rsid w:val="004A392D"/>
    <w:rsid w:val="004B347D"/>
    <w:rsid w:val="004B69F7"/>
    <w:rsid w:val="004F1B03"/>
    <w:rsid w:val="004F20C3"/>
    <w:rsid w:val="00552BFE"/>
    <w:rsid w:val="00573CE3"/>
    <w:rsid w:val="0057735C"/>
    <w:rsid w:val="00624B02"/>
    <w:rsid w:val="00636E13"/>
    <w:rsid w:val="00647068"/>
    <w:rsid w:val="00691319"/>
    <w:rsid w:val="00695E04"/>
    <w:rsid w:val="006C7751"/>
    <w:rsid w:val="006D72AA"/>
    <w:rsid w:val="00767151"/>
    <w:rsid w:val="007707B1"/>
    <w:rsid w:val="00775E8A"/>
    <w:rsid w:val="00794C32"/>
    <w:rsid w:val="007D6DDD"/>
    <w:rsid w:val="008A520F"/>
    <w:rsid w:val="009B1D63"/>
    <w:rsid w:val="009B65DE"/>
    <w:rsid w:val="009E6F5C"/>
    <w:rsid w:val="00A26C39"/>
    <w:rsid w:val="00A40010"/>
    <w:rsid w:val="00A4736E"/>
    <w:rsid w:val="00A50126"/>
    <w:rsid w:val="00A963FC"/>
    <w:rsid w:val="00AB2532"/>
    <w:rsid w:val="00AD71CE"/>
    <w:rsid w:val="00B176D8"/>
    <w:rsid w:val="00B93223"/>
    <w:rsid w:val="00C029AC"/>
    <w:rsid w:val="00C442F5"/>
    <w:rsid w:val="00C93AB7"/>
    <w:rsid w:val="00CB07E2"/>
    <w:rsid w:val="00CC034D"/>
    <w:rsid w:val="00D83F89"/>
    <w:rsid w:val="00DD5B4E"/>
    <w:rsid w:val="00F14604"/>
    <w:rsid w:val="00F17B57"/>
    <w:rsid w:val="00F57B6D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126"/>
    <w:pPr>
      <w:jc w:val="left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126"/>
    <w:rPr>
      <w:color w:val="5F5F5F" w:themeColor="hyperlink"/>
      <w:u w:val="single"/>
    </w:rPr>
  </w:style>
  <w:style w:type="paragraph" w:customStyle="1" w:styleId="CourtofAppealforOntario">
    <w:name w:val="Court of Appeal for Ontario"/>
    <w:basedOn w:val="Normal"/>
    <w:semiHidden/>
    <w:qFormat/>
    <w:rsid w:val="00A50126"/>
    <w:pPr>
      <w:spacing w:after="360"/>
      <w:jc w:val="center"/>
    </w:pPr>
    <w:rPr>
      <w:rFonts w:ascii="Arial" w:hAnsi="Arial" w:cs="Arial"/>
      <w:sz w:val="30"/>
      <w:szCs w:val="24"/>
      <w:lang w:val="en-CA"/>
    </w:rPr>
  </w:style>
  <w:style w:type="paragraph" w:customStyle="1" w:styleId="Nameofcounsel">
    <w:name w:val="Name of counsel"/>
    <w:basedOn w:val="Normal"/>
    <w:semiHidden/>
    <w:qFormat/>
    <w:rsid w:val="00A50126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Inthematterof">
    <w:name w:val="In the matter of"/>
    <w:basedOn w:val="Normal"/>
    <w:semiHidden/>
    <w:qFormat/>
    <w:rsid w:val="00A50126"/>
    <w:pPr>
      <w:jc w:val="center"/>
    </w:pPr>
    <w:rPr>
      <w:rFonts w:ascii="Arial" w:hAnsi="Arial" w:cs="Arial"/>
      <w:sz w:val="26"/>
      <w:szCs w:val="24"/>
      <w:lang w:val="en-CA"/>
    </w:rPr>
  </w:style>
  <w:style w:type="paragraph" w:customStyle="1" w:styleId="AParaNumbering">
    <w:name w:val="A. Para Numbering"/>
    <w:basedOn w:val="Normal"/>
    <w:link w:val="AParaNumberingChar"/>
    <w:autoRedefine/>
    <w:qFormat/>
    <w:rsid w:val="00A50126"/>
    <w:pPr>
      <w:spacing w:before="1560" w:after="120" w:line="480" w:lineRule="auto"/>
      <w:jc w:val="both"/>
    </w:pPr>
    <w:rPr>
      <w:rFonts w:ascii="Arial" w:hAnsi="Arial"/>
      <w:sz w:val="26"/>
      <w:lang w:val="en-CA"/>
    </w:rPr>
  </w:style>
  <w:style w:type="paragraph" w:customStyle="1" w:styleId="CQuote">
    <w:name w:val="C. Quote"/>
    <w:basedOn w:val="Normal"/>
    <w:next w:val="AParaNumbering"/>
    <w:qFormat/>
    <w:rsid w:val="00A50126"/>
    <w:pPr>
      <w:tabs>
        <w:tab w:val="left" w:pos="2160"/>
      </w:tabs>
      <w:spacing w:before="120" w:after="240"/>
      <w:ind w:left="1440" w:right="1440"/>
      <w:jc w:val="both"/>
    </w:pPr>
    <w:rPr>
      <w:rFonts w:ascii="Arial" w:hAnsi="Arial" w:cs="Arial"/>
      <w:sz w:val="26"/>
      <w:szCs w:val="24"/>
      <w:lang w:val="en-CA"/>
    </w:rPr>
  </w:style>
  <w:style w:type="character" w:customStyle="1" w:styleId="AParaNumberingChar">
    <w:name w:val="A. Para Numbering Char"/>
    <w:basedOn w:val="DefaultParagraphFont"/>
    <w:link w:val="AParaNumbering"/>
    <w:rsid w:val="00A50126"/>
    <w:rPr>
      <w:rFonts w:eastAsia="Times New Roman" w:cs="Times New Roman"/>
      <w:sz w:val="26"/>
      <w:szCs w:val="20"/>
    </w:rPr>
  </w:style>
  <w:style w:type="paragraph" w:customStyle="1" w:styleId="ParagraphNumbering">
    <w:name w:val="Paragraph Numbering"/>
    <w:basedOn w:val="Normal"/>
    <w:rsid w:val="00A50126"/>
    <w:pPr>
      <w:numPr>
        <w:numId w:val="3"/>
      </w:numPr>
      <w:tabs>
        <w:tab w:val="left" w:pos="720"/>
      </w:tabs>
      <w:spacing w:after="240" w:line="360" w:lineRule="auto"/>
      <w:jc w:val="both"/>
    </w:pPr>
    <w:rPr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ffendi@bl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79E1-B3B3-440F-97FA-FFB9F3E0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2020-06-24T18:29:00Z</dcterms:created>
  <dcterms:modified xsi:type="dcterms:W3CDTF">2020-06-24T18:29:00Z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Marilyn.King@ontario.ca</vt:lpwstr>
  </property>
  <property fmtid="{D5CDD505-2E9C-101B-9397-08002B2CF9AE}" pid="5" name="MSIP_Label_034a106e-6316-442c-ad35-738afd673d2b_SetDate">
    <vt:lpwstr>2020-06-12T15:38:12.5753549Z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72ee643a-f066-4d16-9112-e456a71431d8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