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2ED0" w14:textId="30758E28" w:rsidR="007778A9" w:rsidRPr="005C7CAC" w:rsidRDefault="00354417" w:rsidP="007778A9">
      <w:pPr>
        <w:pStyle w:val="CourtofAppealforOntario"/>
        <w:rPr>
          <w:lang w:val="fr-CA"/>
        </w:rPr>
      </w:pPr>
      <w:bookmarkStart w:id="0" w:name="_GoBack"/>
      <w:bookmarkEnd w:id="0"/>
      <w:r w:rsidRPr="005C7CAC">
        <w:rPr>
          <w:b/>
          <w:lang w:val="fr-CA"/>
        </w:rPr>
        <w:t>CONSEIL DE LA MAGISTRATURE DE L'ONTARIO</w:t>
      </w:r>
    </w:p>
    <w:p w14:paraId="72AED2FA" w14:textId="77777777" w:rsidR="007C02B3" w:rsidRPr="005C7CAC" w:rsidRDefault="007C02B3" w:rsidP="007C02B3">
      <w:pPr>
        <w:pStyle w:val="Inthematterof"/>
        <w:rPr>
          <w:b/>
          <w:lang w:val="fr-CA"/>
        </w:rPr>
      </w:pPr>
      <w:r w:rsidRPr="005C7CAC">
        <w:rPr>
          <w:b/>
          <w:lang w:val="fr-CA"/>
        </w:rPr>
        <w:t xml:space="preserve">DANS L’AFFAIRE D’UNE AUDIENCE EN VERTU DE L’ARTICLE 51.6 de la </w:t>
      </w:r>
    </w:p>
    <w:p w14:paraId="37E0A56A" w14:textId="77777777" w:rsidR="007C02B3" w:rsidRPr="005C7CAC" w:rsidRDefault="007C02B3" w:rsidP="007C02B3">
      <w:pPr>
        <w:pStyle w:val="Inthematterof"/>
        <w:rPr>
          <w:lang w:val="fr-CA"/>
        </w:rPr>
      </w:pPr>
      <w:r w:rsidRPr="005C7CAC">
        <w:rPr>
          <w:b/>
          <w:i/>
          <w:lang w:val="fr-CA"/>
        </w:rPr>
        <w:t xml:space="preserve">LOI SUR LES TRIBUNAUX JUDICIAIRES, </w:t>
      </w:r>
      <w:r w:rsidRPr="005C7CAC">
        <w:rPr>
          <w:b/>
          <w:lang w:val="fr-CA"/>
        </w:rPr>
        <w:t>L.R.O. 1990, chap. C. 43, dans sa version modifiée</w:t>
      </w:r>
    </w:p>
    <w:p w14:paraId="4036949F" w14:textId="77777777" w:rsidR="007C02B3" w:rsidRPr="005C7CAC" w:rsidRDefault="007C02B3" w:rsidP="007C02B3">
      <w:pPr>
        <w:pStyle w:val="Inthematterof"/>
        <w:rPr>
          <w:lang w:val="fr-CA"/>
        </w:rPr>
      </w:pPr>
    </w:p>
    <w:p w14:paraId="08F06BAF" w14:textId="77777777" w:rsidR="007C02B3" w:rsidRPr="005C7CAC" w:rsidRDefault="007C02B3" w:rsidP="007C02B3">
      <w:pPr>
        <w:pStyle w:val="Inthematterof"/>
        <w:rPr>
          <w:b/>
          <w:lang w:val="fr-CA"/>
        </w:rPr>
      </w:pPr>
      <w:r w:rsidRPr="005C7CAC">
        <w:rPr>
          <w:b/>
          <w:lang w:val="fr-CA"/>
        </w:rPr>
        <w:t xml:space="preserve">En ce qui concerne une plainte sur la conduite de </w:t>
      </w:r>
    </w:p>
    <w:p w14:paraId="314E4E81" w14:textId="0A5FDCD6" w:rsidR="007778A9" w:rsidRPr="005C7CAC" w:rsidRDefault="007C02B3" w:rsidP="007C02B3">
      <w:pPr>
        <w:pStyle w:val="Inthematterof"/>
        <w:rPr>
          <w:b/>
          <w:lang w:val="fr-CA"/>
        </w:rPr>
      </w:pPr>
      <w:proofErr w:type="gramStart"/>
      <w:r w:rsidRPr="005C7CAC">
        <w:rPr>
          <w:b/>
          <w:lang w:val="fr-CA"/>
        </w:rPr>
        <w:t>l’honorable</w:t>
      </w:r>
      <w:proofErr w:type="gramEnd"/>
      <w:r w:rsidRPr="005C7CAC">
        <w:rPr>
          <w:b/>
          <w:lang w:val="fr-CA"/>
        </w:rPr>
        <w:t xml:space="preserve"> juge Donald McLeod</w:t>
      </w:r>
    </w:p>
    <w:p w14:paraId="2426720C" w14:textId="77777777" w:rsidR="007778A9" w:rsidRPr="005C7CAC" w:rsidRDefault="007778A9" w:rsidP="007778A9">
      <w:pPr>
        <w:pStyle w:val="Inthematterof"/>
        <w:spacing w:line="480" w:lineRule="auto"/>
        <w:rPr>
          <w:lang w:val="fr-CA"/>
        </w:rPr>
      </w:pPr>
    </w:p>
    <w:p w14:paraId="71F1FF43" w14:textId="2A511C92" w:rsidR="007778A9" w:rsidRPr="005C7CAC" w:rsidRDefault="007C02B3" w:rsidP="007778A9">
      <w:pPr>
        <w:pStyle w:val="Nameofcounsel"/>
        <w:spacing w:before="0" w:after="0"/>
        <w:rPr>
          <w:b/>
          <w:lang w:val="fr-CA"/>
        </w:rPr>
      </w:pPr>
      <w:r w:rsidRPr="005C7CAC">
        <w:rPr>
          <w:b/>
          <w:lang w:val="fr-CA"/>
        </w:rPr>
        <w:t xml:space="preserve">Devant : </w:t>
      </w:r>
      <w:r w:rsidR="007778A9" w:rsidRPr="005C7CAC">
        <w:rPr>
          <w:b/>
          <w:lang w:val="fr-CA"/>
        </w:rPr>
        <w:t xml:space="preserve"> </w:t>
      </w:r>
    </w:p>
    <w:p w14:paraId="6BDAA36D" w14:textId="77777777" w:rsidR="007778A9" w:rsidRPr="005C7CAC" w:rsidRDefault="007778A9" w:rsidP="007778A9">
      <w:pPr>
        <w:pStyle w:val="Nameofcounsel"/>
        <w:spacing w:before="0" w:after="0"/>
        <w:rPr>
          <w:b/>
          <w:lang w:val="fr-CA"/>
        </w:rPr>
      </w:pPr>
    </w:p>
    <w:p w14:paraId="7F4EA75C" w14:textId="77777777" w:rsidR="007C02B3" w:rsidRPr="005C7CAC" w:rsidRDefault="007C02B3" w:rsidP="007C02B3">
      <w:pPr>
        <w:pStyle w:val="Nameofcounsel"/>
        <w:spacing w:before="0" w:after="0"/>
        <w:rPr>
          <w:b/>
          <w:lang w:val="fr-CA"/>
        </w:rPr>
      </w:pPr>
      <w:r w:rsidRPr="005C7CAC">
        <w:rPr>
          <w:lang w:val="fr-CA"/>
        </w:rPr>
        <w:t>La juge Janet Simmons, présidente</w:t>
      </w:r>
    </w:p>
    <w:p w14:paraId="013996DA" w14:textId="0777692A" w:rsidR="007778A9" w:rsidRPr="005C7CAC" w:rsidRDefault="007C02B3" w:rsidP="007C02B3">
      <w:pPr>
        <w:pStyle w:val="Nameofcounsel"/>
        <w:spacing w:before="0" w:after="0"/>
        <w:rPr>
          <w:lang w:val="fr-CA"/>
        </w:rPr>
      </w:pPr>
      <w:r w:rsidRPr="005C7CAC">
        <w:rPr>
          <w:lang w:val="fr-CA"/>
        </w:rPr>
        <w:t>Cour d’appel de l’Ontario</w:t>
      </w:r>
    </w:p>
    <w:p w14:paraId="195CCBD1" w14:textId="77777777" w:rsidR="007778A9" w:rsidRPr="005C7CAC" w:rsidRDefault="007778A9" w:rsidP="007778A9">
      <w:pPr>
        <w:pStyle w:val="Nameofcounsel"/>
        <w:spacing w:before="0" w:after="0"/>
        <w:rPr>
          <w:lang w:val="fr-CA"/>
        </w:rPr>
      </w:pPr>
    </w:p>
    <w:p w14:paraId="4108A09C" w14:textId="77777777" w:rsidR="007C02B3" w:rsidRPr="005C7CAC" w:rsidRDefault="007C02B3" w:rsidP="007C02B3">
      <w:pPr>
        <w:pStyle w:val="Nameofcounsel"/>
        <w:spacing w:before="0" w:after="0"/>
        <w:ind w:hanging="11"/>
        <w:rPr>
          <w:lang w:val="fr-CA"/>
        </w:rPr>
      </w:pPr>
      <w:r w:rsidRPr="005C7CAC">
        <w:rPr>
          <w:lang w:val="fr-CA"/>
        </w:rPr>
        <w:t>Le juge Michael J. Epstein</w:t>
      </w:r>
    </w:p>
    <w:p w14:paraId="6319C605" w14:textId="030652DF" w:rsidR="007778A9" w:rsidRPr="005C7CAC" w:rsidRDefault="007C02B3" w:rsidP="007C02B3">
      <w:pPr>
        <w:pStyle w:val="Nameofcounsel"/>
        <w:spacing w:before="0" w:after="0"/>
        <w:rPr>
          <w:lang w:val="fr-CA"/>
        </w:rPr>
      </w:pPr>
      <w:r w:rsidRPr="005C7CAC">
        <w:rPr>
          <w:lang w:val="fr-CA"/>
        </w:rPr>
        <w:t>Cour de justice de l’Ontario</w:t>
      </w:r>
    </w:p>
    <w:p w14:paraId="6ECEA97C" w14:textId="77777777" w:rsidR="007778A9" w:rsidRPr="005C7CAC" w:rsidRDefault="007778A9" w:rsidP="007778A9">
      <w:pPr>
        <w:pStyle w:val="Nameofcounsel"/>
        <w:spacing w:before="0" w:after="0"/>
        <w:ind w:left="720"/>
        <w:rPr>
          <w:lang w:val="fr-CA"/>
        </w:rPr>
      </w:pPr>
    </w:p>
    <w:p w14:paraId="0948DF5B" w14:textId="02D6F4A5" w:rsidR="007778A9" w:rsidRPr="005C7CAC" w:rsidRDefault="007778A9" w:rsidP="007778A9">
      <w:pPr>
        <w:pStyle w:val="Nameofcounsel"/>
        <w:spacing w:before="0" w:after="0"/>
        <w:rPr>
          <w:lang w:val="fr-CA"/>
        </w:rPr>
      </w:pPr>
      <w:r w:rsidRPr="005C7CAC">
        <w:rPr>
          <w:lang w:val="fr-CA"/>
        </w:rPr>
        <w:t xml:space="preserve">M. Malcolm </w:t>
      </w:r>
      <w:r w:rsidR="002C01A9" w:rsidRPr="005C7CAC">
        <w:rPr>
          <w:lang w:val="fr-CA"/>
        </w:rPr>
        <w:t xml:space="preserve">M. </w:t>
      </w:r>
      <w:r w:rsidRPr="005C7CAC">
        <w:rPr>
          <w:lang w:val="fr-CA"/>
        </w:rPr>
        <w:t>Mercer</w:t>
      </w:r>
    </w:p>
    <w:p w14:paraId="4BAD4959" w14:textId="42600414" w:rsidR="007778A9" w:rsidRPr="005C7CAC" w:rsidRDefault="007C02B3" w:rsidP="007778A9">
      <w:pPr>
        <w:pStyle w:val="Nameofcounsel"/>
        <w:spacing w:before="0" w:after="0"/>
        <w:rPr>
          <w:lang w:val="fr-CA"/>
        </w:rPr>
      </w:pPr>
      <w:r w:rsidRPr="005C7CAC">
        <w:rPr>
          <w:szCs w:val="26"/>
          <w:lang w:val="fr-CA"/>
        </w:rPr>
        <w:t>Membre représentant les avocats</w:t>
      </w:r>
    </w:p>
    <w:p w14:paraId="51E3CA60" w14:textId="77777777" w:rsidR="007778A9" w:rsidRPr="005C7CAC" w:rsidRDefault="007778A9" w:rsidP="007778A9">
      <w:pPr>
        <w:pStyle w:val="Nameofcounsel"/>
        <w:spacing w:before="0" w:after="0"/>
        <w:ind w:left="720"/>
        <w:rPr>
          <w:lang w:val="fr-CA"/>
        </w:rPr>
      </w:pPr>
    </w:p>
    <w:p w14:paraId="2AD7A60F" w14:textId="4320478F" w:rsidR="007778A9" w:rsidRPr="005C7CAC" w:rsidRDefault="007778A9" w:rsidP="007778A9">
      <w:pPr>
        <w:pStyle w:val="Nameofcounsel"/>
        <w:spacing w:before="0" w:after="0"/>
        <w:rPr>
          <w:lang w:val="fr-CA"/>
        </w:rPr>
      </w:pPr>
      <w:r w:rsidRPr="005C7CAC">
        <w:rPr>
          <w:lang w:val="fr-CA"/>
        </w:rPr>
        <w:t>M. Victor Royce</w:t>
      </w:r>
    </w:p>
    <w:p w14:paraId="2E0A577B" w14:textId="7B68D4D1" w:rsidR="007778A9" w:rsidRPr="005C7CAC" w:rsidRDefault="007C02B3" w:rsidP="007778A9">
      <w:pPr>
        <w:pStyle w:val="Nameofcounsel"/>
        <w:spacing w:before="0" w:after="0"/>
        <w:rPr>
          <w:lang w:val="fr-CA"/>
        </w:rPr>
      </w:pPr>
      <w:r w:rsidRPr="005C7CAC">
        <w:rPr>
          <w:szCs w:val="26"/>
          <w:lang w:val="fr-CA"/>
        </w:rPr>
        <w:t>Membre représentant le public</w:t>
      </w:r>
    </w:p>
    <w:p w14:paraId="5DCACED7" w14:textId="77777777" w:rsidR="007778A9" w:rsidRPr="005C7CAC" w:rsidRDefault="007778A9" w:rsidP="007778A9">
      <w:pPr>
        <w:pStyle w:val="Nameofcounsel"/>
        <w:spacing w:before="0" w:after="0"/>
        <w:ind w:firstLine="720"/>
        <w:rPr>
          <w:b/>
          <w:lang w:val="fr-CA"/>
        </w:rPr>
      </w:pPr>
      <w:r w:rsidRPr="005C7CAC">
        <w:rPr>
          <w:b/>
          <w:lang w:val="fr-CA"/>
        </w:rPr>
        <w:tab/>
      </w:r>
    </w:p>
    <w:p w14:paraId="486E010C" w14:textId="1971C4BF" w:rsidR="007778A9" w:rsidRPr="005C7CAC" w:rsidRDefault="007C02B3" w:rsidP="007778A9">
      <w:pPr>
        <w:pStyle w:val="Nameofcounsel"/>
        <w:rPr>
          <w:b/>
          <w:lang w:val="fr-CA"/>
        </w:rPr>
      </w:pPr>
      <w:r w:rsidRPr="005C7CAC">
        <w:rPr>
          <w:b/>
          <w:szCs w:val="26"/>
          <w:lang w:val="fr-CA"/>
        </w:rPr>
        <w:t>Comité d'audience du Conseil de la magistrature de l'Ontario</w:t>
      </w:r>
    </w:p>
    <w:p w14:paraId="3F2AF543" w14:textId="77777777" w:rsidR="007778A9" w:rsidRPr="005C7CAC" w:rsidRDefault="007778A9" w:rsidP="007778A9">
      <w:pPr>
        <w:pStyle w:val="Nameofcounsel"/>
        <w:rPr>
          <w:lang w:val="fr-CA"/>
        </w:rPr>
      </w:pPr>
    </w:p>
    <w:p w14:paraId="6E0FE540" w14:textId="19245865" w:rsidR="007778A9" w:rsidRPr="005C7CAC" w:rsidRDefault="007C02B3" w:rsidP="007778A9">
      <w:pPr>
        <w:pStyle w:val="Nameofcounsel"/>
        <w:jc w:val="center"/>
        <w:rPr>
          <w:b/>
          <w:sz w:val="32"/>
          <w:szCs w:val="32"/>
          <w:lang w:val="fr-CA"/>
        </w:rPr>
      </w:pPr>
      <w:r w:rsidRPr="005C7CAC">
        <w:rPr>
          <w:b/>
          <w:sz w:val="32"/>
          <w:szCs w:val="32"/>
          <w:lang w:val="fr-CA"/>
        </w:rPr>
        <w:t>MOTIFS DE DÉCISION</w:t>
      </w:r>
    </w:p>
    <w:p w14:paraId="72DAC740" w14:textId="77777777" w:rsidR="007778A9" w:rsidRPr="005C7CAC" w:rsidRDefault="007778A9" w:rsidP="007778A9">
      <w:pPr>
        <w:pStyle w:val="Nameofcounsel"/>
        <w:rPr>
          <w:b/>
          <w:lang w:val="fr-CA"/>
        </w:rPr>
      </w:pPr>
    </w:p>
    <w:p w14:paraId="4E1ADDF5" w14:textId="00136DDF" w:rsidR="007778A9" w:rsidRPr="005C7CAC" w:rsidRDefault="007C02B3" w:rsidP="007778A9">
      <w:pPr>
        <w:pStyle w:val="Nameofcounsel"/>
        <w:rPr>
          <w:b/>
          <w:szCs w:val="26"/>
          <w:lang w:val="fr-CA"/>
        </w:rPr>
      </w:pPr>
      <w:r w:rsidRPr="005C7CAC">
        <w:rPr>
          <w:b/>
          <w:szCs w:val="26"/>
          <w:lang w:val="fr-CA"/>
        </w:rPr>
        <w:t xml:space="preserve">Avocats </w:t>
      </w:r>
      <w:r w:rsidRPr="005C7CAC">
        <w:rPr>
          <w:b/>
          <w:color w:val="000000"/>
          <w:lang w:val="fr-CA"/>
        </w:rPr>
        <w:t>:</w:t>
      </w:r>
    </w:p>
    <w:p w14:paraId="77C1D5A5" w14:textId="7373D1D4" w:rsidR="007778A9" w:rsidRPr="005C7CAC" w:rsidRDefault="00353D25" w:rsidP="007778A9">
      <w:pPr>
        <w:pStyle w:val="Nameofcounsel"/>
        <w:spacing w:before="0" w:after="0"/>
        <w:rPr>
          <w:szCs w:val="26"/>
          <w:lang w:val="fr-CA"/>
        </w:rPr>
      </w:pPr>
      <w:r w:rsidRPr="005C7CAC">
        <w:rPr>
          <w:szCs w:val="26"/>
          <w:lang w:val="fr-CA"/>
        </w:rPr>
        <w:t xml:space="preserve">Borden </w:t>
      </w:r>
      <w:proofErr w:type="spellStart"/>
      <w:r w:rsidRPr="005C7CAC">
        <w:rPr>
          <w:szCs w:val="26"/>
          <w:lang w:val="fr-CA"/>
        </w:rPr>
        <w:t>Ladner</w:t>
      </w:r>
      <w:proofErr w:type="spellEnd"/>
      <w:r w:rsidRPr="005C7CAC">
        <w:rPr>
          <w:szCs w:val="26"/>
          <w:lang w:val="fr-CA"/>
        </w:rPr>
        <w:t xml:space="preserve"> Gervais LLP</w:t>
      </w:r>
      <w:r w:rsidR="007C02B3" w:rsidRPr="005C7CAC">
        <w:rPr>
          <w:szCs w:val="26"/>
          <w:lang w:val="fr-CA"/>
        </w:rPr>
        <w:t xml:space="preserve"> </w:t>
      </w:r>
      <w:r w:rsidRPr="005C7CAC">
        <w:rPr>
          <w:szCs w:val="26"/>
          <w:lang w:val="fr-CA"/>
        </w:rPr>
        <w:t xml:space="preserve">: </w:t>
      </w:r>
      <w:r w:rsidR="007778A9" w:rsidRPr="005C7CAC">
        <w:rPr>
          <w:szCs w:val="26"/>
          <w:lang w:val="fr-CA"/>
        </w:rPr>
        <w:t>Guy J. Pratte,</w:t>
      </w:r>
      <w:r w:rsidR="001E1843" w:rsidRPr="005C7CAC">
        <w:rPr>
          <w:szCs w:val="26"/>
          <w:lang w:val="fr-CA"/>
        </w:rPr>
        <w:t xml:space="preserve"> </w:t>
      </w:r>
      <w:r w:rsidR="007778A9" w:rsidRPr="005C7CAC">
        <w:rPr>
          <w:szCs w:val="26"/>
          <w:lang w:val="fr-CA"/>
        </w:rPr>
        <w:t>Nadia Effendi, Christine Muir</w:t>
      </w:r>
      <w:r w:rsidR="001E1843" w:rsidRPr="005C7CAC">
        <w:rPr>
          <w:szCs w:val="26"/>
          <w:lang w:val="fr-CA"/>
        </w:rPr>
        <w:t xml:space="preserve">, Veronica </w:t>
      </w:r>
      <w:proofErr w:type="spellStart"/>
      <w:r w:rsidR="001E1843" w:rsidRPr="005C7CAC">
        <w:rPr>
          <w:szCs w:val="26"/>
          <w:lang w:val="fr-CA"/>
        </w:rPr>
        <w:t>Sjolin</w:t>
      </w:r>
      <w:proofErr w:type="spellEnd"/>
      <w:r w:rsidR="003C6E36" w:rsidRPr="005C7CAC">
        <w:rPr>
          <w:szCs w:val="26"/>
          <w:lang w:val="fr-CA"/>
        </w:rPr>
        <w:t>, Gr</w:t>
      </w:r>
      <w:r w:rsidR="002D7751" w:rsidRPr="005C7CAC">
        <w:rPr>
          <w:szCs w:val="26"/>
          <w:lang w:val="fr-CA"/>
        </w:rPr>
        <w:t>aeme Hamilton</w:t>
      </w:r>
    </w:p>
    <w:p w14:paraId="622E0C62" w14:textId="67C8AE33" w:rsidR="007778A9" w:rsidRPr="005C7CAC" w:rsidRDefault="007C02B3" w:rsidP="007778A9">
      <w:pPr>
        <w:pStyle w:val="Nameofcounsel"/>
        <w:spacing w:before="0" w:after="0"/>
        <w:rPr>
          <w:szCs w:val="26"/>
          <w:lang w:val="fr-CA"/>
        </w:rPr>
      </w:pPr>
      <w:r w:rsidRPr="005C7CAC">
        <w:rPr>
          <w:szCs w:val="26"/>
          <w:lang w:val="fr-CA"/>
        </w:rPr>
        <w:t>Avocats chargés de la présentation</w:t>
      </w:r>
      <w:r w:rsidR="007778A9" w:rsidRPr="005C7CAC">
        <w:rPr>
          <w:szCs w:val="26"/>
          <w:lang w:val="fr-CA"/>
        </w:rPr>
        <w:t xml:space="preserve"> </w:t>
      </w:r>
    </w:p>
    <w:p w14:paraId="1B9DE5BE" w14:textId="77777777" w:rsidR="007778A9" w:rsidRPr="005C7CAC" w:rsidRDefault="007778A9" w:rsidP="007778A9">
      <w:pPr>
        <w:pStyle w:val="Nameofcounsel"/>
        <w:spacing w:before="0" w:after="0"/>
        <w:rPr>
          <w:szCs w:val="26"/>
          <w:lang w:val="fr-CA"/>
        </w:rPr>
      </w:pPr>
    </w:p>
    <w:p w14:paraId="755882FE" w14:textId="4AC8D586" w:rsidR="003B0515" w:rsidRPr="005C7CAC" w:rsidRDefault="003315CD" w:rsidP="007778A9">
      <w:pPr>
        <w:pStyle w:val="Nameofcounsel"/>
        <w:spacing w:before="0" w:after="0"/>
        <w:rPr>
          <w:szCs w:val="26"/>
          <w:lang w:val="fr-CA"/>
        </w:rPr>
      </w:pPr>
      <w:r w:rsidRPr="005C7CAC">
        <w:rPr>
          <w:szCs w:val="26"/>
          <w:lang w:val="fr-CA"/>
        </w:rPr>
        <w:t>Addario Law Group</w:t>
      </w:r>
      <w:r w:rsidR="003D6017" w:rsidRPr="005C7CAC">
        <w:rPr>
          <w:szCs w:val="26"/>
          <w:lang w:val="fr-CA"/>
        </w:rPr>
        <w:t xml:space="preserve"> LLP</w:t>
      </w:r>
      <w:r w:rsidR="007C02B3" w:rsidRPr="005C7CAC">
        <w:rPr>
          <w:szCs w:val="26"/>
          <w:lang w:val="fr-CA"/>
        </w:rPr>
        <w:t xml:space="preserve"> </w:t>
      </w:r>
      <w:r w:rsidR="003D6017" w:rsidRPr="005C7CAC">
        <w:rPr>
          <w:szCs w:val="26"/>
          <w:lang w:val="fr-CA"/>
        </w:rPr>
        <w:t xml:space="preserve">: </w:t>
      </w:r>
      <w:r w:rsidR="007778A9" w:rsidRPr="005C7CAC">
        <w:rPr>
          <w:szCs w:val="26"/>
          <w:lang w:val="fr-CA"/>
        </w:rPr>
        <w:t>Frank Addario</w:t>
      </w:r>
      <w:r w:rsidR="0005683F" w:rsidRPr="005C7CAC">
        <w:rPr>
          <w:szCs w:val="26"/>
          <w:lang w:val="fr-CA"/>
        </w:rPr>
        <w:t>; Torys LLP</w:t>
      </w:r>
      <w:r w:rsidR="00F16911">
        <w:rPr>
          <w:szCs w:val="26"/>
          <w:lang w:val="fr-CA"/>
        </w:rPr>
        <w:t xml:space="preserve"> </w:t>
      </w:r>
      <w:r w:rsidR="0005683F" w:rsidRPr="005C7CAC">
        <w:rPr>
          <w:szCs w:val="26"/>
          <w:lang w:val="fr-CA"/>
        </w:rPr>
        <w:t xml:space="preserve">: </w:t>
      </w:r>
      <w:r w:rsidR="002C01A9" w:rsidRPr="005C7CAC">
        <w:rPr>
          <w:szCs w:val="26"/>
          <w:lang w:val="fr-CA"/>
        </w:rPr>
        <w:t xml:space="preserve">Sheila </w:t>
      </w:r>
      <w:r w:rsidR="00272EFC" w:rsidRPr="005C7CAC">
        <w:rPr>
          <w:szCs w:val="26"/>
          <w:lang w:val="fr-CA"/>
        </w:rPr>
        <w:t xml:space="preserve">R. </w:t>
      </w:r>
      <w:r w:rsidR="002C01A9" w:rsidRPr="005C7CAC">
        <w:rPr>
          <w:szCs w:val="26"/>
          <w:lang w:val="fr-CA"/>
        </w:rPr>
        <w:t>Block,</w:t>
      </w:r>
      <w:r w:rsidR="007778A9" w:rsidRPr="005C7CAC">
        <w:rPr>
          <w:szCs w:val="26"/>
          <w:lang w:val="fr-CA"/>
        </w:rPr>
        <w:t xml:space="preserve"> </w:t>
      </w:r>
      <w:proofErr w:type="spellStart"/>
      <w:r w:rsidR="0005683F" w:rsidRPr="005C7CAC">
        <w:rPr>
          <w:szCs w:val="26"/>
          <w:lang w:val="fr-CA"/>
        </w:rPr>
        <w:t>Irfan</w:t>
      </w:r>
      <w:proofErr w:type="spellEnd"/>
      <w:r w:rsidR="0005683F" w:rsidRPr="005C7CAC">
        <w:rPr>
          <w:szCs w:val="26"/>
          <w:lang w:val="fr-CA"/>
        </w:rPr>
        <w:t xml:space="preserve"> Kara, </w:t>
      </w:r>
      <w:r w:rsidR="00755A4D" w:rsidRPr="005C7CAC">
        <w:rPr>
          <w:szCs w:val="26"/>
          <w:lang w:val="fr-CA"/>
        </w:rPr>
        <w:t xml:space="preserve">Craig </w:t>
      </w:r>
      <w:proofErr w:type="spellStart"/>
      <w:r w:rsidR="00755A4D" w:rsidRPr="005C7CAC">
        <w:rPr>
          <w:szCs w:val="26"/>
          <w:lang w:val="fr-CA"/>
        </w:rPr>
        <w:t>Gilchrist</w:t>
      </w:r>
      <w:proofErr w:type="spellEnd"/>
      <w:r w:rsidR="007C1184" w:rsidRPr="005C7CAC">
        <w:rPr>
          <w:szCs w:val="26"/>
          <w:lang w:val="fr-CA"/>
        </w:rPr>
        <w:t>;</w:t>
      </w:r>
      <w:r w:rsidR="00621270" w:rsidRPr="005C7CAC">
        <w:rPr>
          <w:szCs w:val="26"/>
          <w:lang w:val="fr-CA"/>
        </w:rPr>
        <w:t xml:space="preserve"> </w:t>
      </w:r>
      <w:r w:rsidR="0005683F" w:rsidRPr="005C7CAC">
        <w:rPr>
          <w:szCs w:val="26"/>
          <w:lang w:val="fr-CA"/>
        </w:rPr>
        <w:t>Faisal Mirza</w:t>
      </w:r>
      <w:r w:rsidR="00621270" w:rsidRPr="005C7CAC">
        <w:rPr>
          <w:szCs w:val="26"/>
          <w:lang w:val="fr-CA"/>
        </w:rPr>
        <w:t>; Gates Criminal Law</w:t>
      </w:r>
      <w:r w:rsidR="007C02B3" w:rsidRPr="005C7CAC">
        <w:rPr>
          <w:szCs w:val="26"/>
          <w:lang w:val="fr-CA"/>
        </w:rPr>
        <w:t xml:space="preserve"> </w:t>
      </w:r>
      <w:r w:rsidR="00621270" w:rsidRPr="005C7CAC">
        <w:rPr>
          <w:szCs w:val="26"/>
          <w:lang w:val="fr-CA"/>
        </w:rPr>
        <w:t>:</w:t>
      </w:r>
      <w:r w:rsidR="00D96653" w:rsidRPr="005C7CAC">
        <w:rPr>
          <w:szCs w:val="26"/>
          <w:lang w:val="fr-CA"/>
        </w:rPr>
        <w:t xml:space="preserve"> Kelly Gates</w:t>
      </w:r>
    </w:p>
    <w:p w14:paraId="349AC729" w14:textId="5389A78D" w:rsidR="007778A9" w:rsidRPr="005C7CAC" w:rsidRDefault="007C02B3" w:rsidP="007778A9">
      <w:pPr>
        <w:pStyle w:val="Nameofcounsel"/>
        <w:spacing w:before="0" w:after="0"/>
        <w:rPr>
          <w:szCs w:val="26"/>
          <w:lang w:val="fr-CA"/>
        </w:rPr>
      </w:pPr>
      <w:r w:rsidRPr="005C7CAC">
        <w:rPr>
          <w:color w:val="000000"/>
          <w:lang w:val="fr-CA"/>
        </w:rPr>
        <w:t xml:space="preserve">Avocats du juge </w:t>
      </w:r>
      <w:r w:rsidRPr="005C7CAC">
        <w:rPr>
          <w:szCs w:val="26"/>
          <w:lang w:val="fr-CA"/>
        </w:rPr>
        <w:t>McLeod</w:t>
      </w:r>
      <w:r w:rsidR="007778A9" w:rsidRPr="005C7CAC">
        <w:rPr>
          <w:szCs w:val="26"/>
          <w:lang w:val="fr-CA"/>
        </w:rPr>
        <w:t xml:space="preserve"> </w:t>
      </w:r>
    </w:p>
    <w:p w14:paraId="30D73F9F" w14:textId="77777777" w:rsidR="007778A9" w:rsidRPr="005C7CAC" w:rsidRDefault="007778A9">
      <w:pPr>
        <w:spacing w:after="200" w:line="276" w:lineRule="auto"/>
        <w:rPr>
          <w:rFonts w:ascii="Arial" w:hAnsi="Arial" w:cs="Arial"/>
          <w:b/>
          <w:color w:val="000000"/>
          <w:lang w:val="fr-CA"/>
        </w:rPr>
      </w:pPr>
      <w:r w:rsidRPr="005C7CAC">
        <w:rPr>
          <w:rFonts w:ascii="Arial" w:hAnsi="Arial" w:cs="Arial"/>
          <w:b/>
          <w:color w:val="000000"/>
          <w:lang w:val="fr-CA"/>
        </w:rPr>
        <w:br w:type="page"/>
      </w:r>
    </w:p>
    <w:p w14:paraId="4CB0746D" w14:textId="045F7250" w:rsidR="00F70364" w:rsidRPr="005C7CAC" w:rsidRDefault="007C02B3" w:rsidP="00F70364">
      <w:pPr>
        <w:keepNext/>
        <w:tabs>
          <w:tab w:val="left" w:pos="4890"/>
          <w:tab w:val="right" w:pos="9210"/>
        </w:tabs>
        <w:jc w:val="center"/>
        <w:outlineLvl w:val="5"/>
        <w:rPr>
          <w:rFonts w:ascii="Arial" w:hAnsi="Arial" w:cs="Arial"/>
          <w:b/>
          <w:bCs/>
          <w:sz w:val="28"/>
          <w:lang w:val="fr-CA"/>
        </w:rPr>
      </w:pPr>
      <w:r w:rsidRPr="005C7CAC">
        <w:rPr>
          <w:rFonts w:ascii="Arial" w:hAnsi="Arial" w:cs="Arial"/>
          <w:b/>
          <w:bCs/>
          <w:sz w:val="28"/>
          <w:lang w:val="fr-CA"/>
        </w:rPr>
        <w:lastRenderedPageBreak/>
        <w:t>MOTIFS DE DÉCISION</w:t>
      </w:r>
    </w:p>
    <w:p w14:paraId="286F663F" w14:textId="77777777" w:rsidR="00F70364" w:rsidRPr="005C7CAC" w:rsidRDefault="00F70364" w:rsidP="00F70364">
      <w:pPr>
        <w:tabs>
          <w:tab w:val="left" w:pos="1290"/>
          <w:tab w:val="left" w:pos="2010"/>
          <w:tab w:val="left" w:pos="4749"/>
          <w:tab w:val="left" w:pos="5760"/>
          <w:tab w:val="left" w:pos="7770"/>
        </w:tabs>
        <w:spacing w:line="360" w:lineRule="atLeast"/>
        <w:jc w:val="both"/>
        <w:rPr>
          <w:rFonts w:ascii="Arial" w:hAnsi="Arial" w:cs="Arial"/>
          <w:lang w:val="fr-CA"/>
        </w:rPr>
      </w:pPr>
    </w:p>
    <w:p w14:paraId="2F218888" w14:textId="24D77C06" w:rsidR="00942F2F" w:rsidRPr="005C7CAC" w:rsidRDefault="007C02B3" w:rsidP="00F54C90">
      <w:pPr>
        <w:pStyle w:val="AParaNumbering"/>
        <w:rPr>
          <w:lang w:val="fr-CA"/>
        </w:rPr>
      </w:pPr>
      <w:r w:rsidRPr="005C7CAC">
        <w:rPr>
          <w:lang w:val="fr-CA"/>
        </w:rPr>
        <w:t xml:space="preserve">Voici les motifs d’une décision rendue le 17 décembre </w:t>
      </w:r>
      <w:r w:rsidR="00976ED3" w:rsidRPr="005C7CAC">
        <w:rPr>
          <w:lang w:val="fr-CA"/>
        </w:rPr>
        <w:t>2020</w:t>
      </w:r>
      <w:r w:rsidR="002E2A64" w:rsidRPr="005C7CAC">
        <w:rPr>
          <w:lang w:val="fr-CA"/>
        </w:rPr>
        <w:t xml:space="preserve">. </w:t>
      </w:r>
      <w:r w:rsidRPr="005C7CAC">
        <w:rPr>
          <w:lang w:val="fr-CA"/>
        </w:rPr>
        <w:t>Notre comité d’audience a décidé que l’enregistrement audio du 19 février 2018 (ci-après l</w:t>
      </w:r>
      <w:proofErr w:type="gramStart"/>
      <w:r w:rsidRPr="005C7CAC">
        <w:rPr>
          <w:lang w:val="fr-CA"/>
        </w:rPr>
        <w:t>’«</w:t>
      </w:r>
      <w:proofErr w:type="gramEnd"/>
      <w:r w:rsidRPr="005C7CAC">
        <w:rPr>
          <w:lang w:val="fr-CA"/>
        </w:rPr>
        <w:t xml:space="preserve"> enregistrement audio » ou l’« enregistrement ») est admissible à l’audience sur une plainte contre la conduite du juge </w:t>
      </w:r>
      <w:r w:rsidR="005B55D3" w:rsidRPr="005C7CAC">
        <w:rPr>
          <w:lang w:val="fr-CA"/>
        </w:rPr>
        <w:t>Donald Mc</w:t>
      </w:r>
      <w:r w:rsidR="00942F2F" w:rsidRPr="005C7CAC">
        <w:rPr>
          <w:lang w:val="fr-CA"/>
        </w:rPr>
        <w:t>L</w:t>
      </w:r>
      <w:r w:rsidR="005B55D3" w:rsidRPr="005C7CAC">
        <w:rPr>
          <w:lang w:val="fr-CA"/>
        </w:rPr>
        <w:t>eod</w:t>
      </w:r>
      <w:r w:rsidR="00976ED3" w:rsidRPr="005C7CAC">
        <w:rPr>
          <w:lang w:val="fr-CA"/>
        </w:rPr>
        <w:t>.</w:t>
      </w:r>
    </w:p>
    <w:p w14:paraId="003A5A49" w14:textId="27CD96DE" w:rsidR="004B5442" w:rsidRPr="005C7CAC" w:rsidRDefault="00F93B89" w:rsidP="00983D32">
      <w:pPr>
        <w:pStyle w:val="Heading2"/>
        <w:rPr>
          <w:rFonts w:ascii="Arial" w:hAnsi="Arial" w:cs="Arial"/>
          <w:b/>
          <w:bCs/>
          <w:color w:val="0D0D0D" w:themeColor="text1" w:themeTint="F2"/>
          <w:lang w:val="fr-CA"/>
        </w:rPr>
      </w:pPr>
      <w:r w:rsidRPr="005C7CAC">
        <w:rPr>
          <w:rFonts w:ascii="Arial" w:hAnsi="Arial" w:cs="Arial"/>
          <w:b/>
          <w:bCs/>
          <w:color w:val="0D0D0D" w:themeColor="text1" w:themeTint="F2"/>
          <w:lang w:val="fr-CA"/>
        </w:rPr>
        <w:t>Contexte</w:t>
      </w:r>
    </w:p>
    <w:p w14:paraId="74C135CC" w14:textId="58E61F0D" w:rsidR="00E406F4" w:rsidRPr="005C7CAC" w:rsidRDefault="009B177B" w:rsidP="00303BE2">
      <w:pPr>
        <w:pStyle w:val="AParaNumbering"/>
        <w:rPr>
          <w:lang w:val="fr-CA"/>
        </w:rPr>
      </w:pPr>
      <w:r w:rsidRPr="005C7CAC">
        <w:rPr>
          <w:lang w:val="fr-CA"/>
        </w:rPr>
        <w:t xml:space="preserve">Le juge </w:t>
      </w:r>
      <w:r w:rsidR="00E406F4" w:rsidRPr="005C7CAC">
        <w:rPr>
          <w:lang w:val="fr-CA"/>
        </w:rPr>
        <w:t xml:space="preserve">McLeod </w:t>
      </w:r>
      <w:r w:rsidRPr="005C7CAC">
        <w:rPr>
          <w:lang w:val="fr-CA"/>
        </w:rPr>
        <w:t xml:space="preserve">est un juge de la Cour de justice de l’Ontario assigné à présider dans la région du Centre-Ouest, à </w:t>
      </w:r>
      <w:r w:rsidR="006B10EA" w:rsidRPr="005C7CAC">
        <w:rPr>
          <w:lang w:val="fr-CA"/>
        </w:rPr>
        <w:t>Brampton</w:t>
      </w:r>
      <w:r w:rsidR="00E406F4" w:rsidRPr="005C7CAC">
        <w:rPr>
          <w:lang w:val="fr-CA"/>
        </w:rPr>
        <w:t>.</w:t>
      </w:r>
    </w:p>
    <w:p w14:paraId="41F95F68" w14:textId="6460181B" w:rsidR="005536F7" w:rsidRPr="005C7CAC" w:rsidRDefault="009B177B" w:rsidP="00303BE2">
      <w:pPr>
        <w:pStyle w:val="AParaNumbering"/>
        <w:rPr>
          <w:lang w:val="fr-CA"/>
        </w:rPr>
      </w:pPr>
      <w:r w:rsidRPr="005C7CAC">
        <w:rPr>
          <w:lang w:val="fr-CA"/>
        </w:rPr>
        <w:t>Les détails de la plainte</w:t>
      </w:r>
      <w:r w:rsidR="006B0E00" w:rsidRPr="005C7CAC">
        <w:rPr>
          <w:rStyle w:val="FootnoteReference"/>
          <w:rFonts w:cs="Arial"/>
          <w:szCs w:val="26"/>
          <w:lang w:val="fr-CA"/>
        </w:rPr>
        <w:footnoteReference w:id="1"/>
      </w:r>
      <w:r w:rsidR="007704F2" w:rsidRPr="005C7CAC">
        <w:rPr>
          <w:lang w:val="fr-CA"/>
        </w:rPr>
        <w:t xml:space="preserve"> </w:t>
      </w:r>
      <w:r w:rsidRPr="005C7CAC">
        <w:rPr>
          <w:lang w:val="fr-CA"/>
        </w:rPr>
        <w:t xml:space="preserve">concernant la conduite du juge </w:t>
      </w:r>
      <w:r w:rsidR="007704F2" w:rsidRPr="005C7CAC">
        <w:rPr>
          <w:lang w:val="fr-CA"/>
        </w:rPr>
        <w:t>McLeod</w:t>
      </w:r>
      <w:r w:rsidRPr="005C7CAC">
        <w:rPr>
          <w:lang w:val="fr-CA"/>
        </w:rPr>
        <w:t xml:space="preserve"> </w:t>
      </w:r>
      <w:r w:rsidR="00F16911">
        <w:rPr>
          <w:lang w:val="fr-CA"/>
        </w:rPr>
        <w:t>concernent</w:t>
      </w:r>
      <w:r w:rsidRPr="005C7CAC">
        <w:rPr>
          <w:lang w:val="fr-CA"/>
        </w:rPr>
        <w:t xml:space="preserve"> quatre allégations. L’enregistrement audio du 1</w:t>
      </w:r>
      <w:r w:rsidR="00F16911">
        <w:rPr>
          <w:lang w:val="fr-CA"/>
        </w:rPr>
        <w:t>9</w:t>
      </w:r>
      <w:r w:rsidRPr="005C7CAC">
        <w:rPr>
          <w:lang w:val="fr-CA"/>
        </w:rPr>
        <w:t xml:space="preserve"> février 2018 est pertinent pour la première allégation, à savoir que le juge </w:t>
      </w:r>
      <w:r w:rsidR="003046CB" w:rsidRPr="005C7CAC">
        <w:rPr>
          <w:lang w:val="fr-CA"/>
        </w:rPr>
        <w:t xml:space="preserve">McLeod </w:t>
      </w:r>
      <w:r w:rsidRPr="005C7CAC">
        <w:rPr>
          <w:lang w:val="fr-CA"/>
        </w:rPr>
        <w:t>s’est parjuré et/ou a trompé le comité d’audience précédent qui a rejeté la première plainte sur sa conduite (la « première plainte »</w:t>
      </w:r>
      <w:r w:rsidR="005536F7" w:rsidRPr="005C7CAC">
        <w:rPr>
          <w:lang w:val="fr-CA"/>
        </w:rPr>
        <w:t xml:space="preserve">). </w:t>
      </w:r>
    </w:p>
    <w:p w14:paraId="124121D0" w14:textId="5D40BA2E" w:rsidR="00DD0DAB" w:rsidRPr="005C7CAC" w:rsidRDefault="009B177B" w:rsidP="006A7B1B">
      <w:pPr>
        <w:pStyle w:val="AParaNumbering"/>
        <w:rPr>
          <w:lang w:val="fr-CA"/>
        </w:rPr>
      </w:pPr>
      <w:r w:rsidRPr="005C7CAC">
        <w:rPr>
          <w:lang w:val="fr-CA"/>
        </w:rPr>
        <w:t xml:space="preserve">La première plainte se rapporte à la participation du juge </w:t>
      </w:r>
      <w:r w:rsidR="005536F7" w:rsidRPr="005C7CAC">
        <w:rPr>
          <w:lang w:val="fr-CA"/>
        </w:rPr>
        <w:t>McLeod</w:t>
      </w:r>
      <w:r w:rsidRPr="005C7CAC">
        <w:rPr>
          <w:lang w:val="fr-CA"/>
        </w:rPr>
        <w:t xml:space="preserve"> à un organisme appelé Fédération des Canadiens Noirs (la « FCN ») et à son rôle de leadership au sein de cet organisme</w:t>
      </w:r>
      <w:r w:rsidR="005536F7" w:rsidRPr="005C7CAC">
        <w:rPr>
          <w:lang w:val="fr-CA"/>
        </w:rPr>
        <w:t xml:space="preserve">. </w:t>
      </w:r>
    </w:p>
    <w:p w14:paraId="1FBCBD7F" w14:textId="1E31E8E0" w:rsidR="00B0533F" w:rsidRPr="005C7CAC" w:rsidRDefault="009B177B" w:rsidP="00303BE2">
      <w:pPr>
        <w:pStyle w:val="AParaNumbering"/>
        <w:rPr>
          <w:lang w:val="fr-CA"/>
        </w:rPr>
      </w:pPr>
      <w:r w:rsidRPr="005C7CAC">
        <w:rPr>
          <w:lang w:val="fr-CA"/>
        </w:rPr>
        <w:t xml:space="preserve">Les détails de la plainte mentionnent que, au cours de l’audience sur la première plainte, le juge </w:t>
      </w:r>
      <w:proofErr w:type="spellStart"/>
      <w:r w:rsidRPr="005C7CAC">
        <w:rPr>
          <w:lang w:val="fr-CA"/>
        </w:rPr>
        <w:t>McLoad</w:t>
      </w:r>
      <w:proofErr w:type="spellEnd"/>
      <w:r w:rsidRPr="005C7CAC">
        <w:rPr>
          <w:lang w:val="fr-CA"/>
        </w:rPr>
        <w:t xml:space="preserve"> « a affirmé … au cours de son interrogatoire principal, qu’il s’était abstenu de participer aux activités de la FCN militant contre </w:t>
      </w:r>
      <w:r w:rsidRPr="005C7CAC">
        <w:rPr>
          <w:lang w:val="fr-CA"/>
        </w:rPr>
        <w:lastRenderedPageBreak/>
        <w:t>la déportation d’un réfugié somalien du nom d’</w:t>
      </w:r>
      <w:proofErr w:type="spellStart"/>
      <w:r w:rsidRPr="005C7CAC">
        <w:rPr>
          <w:lang w:val="fr-CA"/>
        </w:rPr>
        <w:t>Adboulkader</w:t>
      </w:r>
      <w:proofErr w:type="spellEnd"/>
      <w:r w:rsidRPr="005C7CAC">
        <w:rPr>
          <w:lang w:val="fr-CA"/>
        </w:rPr>
        <w:t xml:space="preserve"> Abdi »</w:t>
      </w:r>
      <w:r w:rsidR="007D4180" w:rsidRPr="005C7CAC">
        <w:rPr>
          <w:lang w:val="fr-CA"/>
        </w:rPr>
        <w:t xml:space="preserve"> (</w:t>
      </w:r>
      <w:r w:rsidRPr="005C7CAC">
        <w:rPr>
          <w:lang w:val="fr-CA"/>
        </w:rPr>
        <w:t>l</w:t>
      </w:r>
      <w:proofErr w:type="gramStart"/>
      <w:r w:rsidRPr="005C7CAC">
        <w:rPr>
          <w:lang w:val="fr-CA"/>
        </w:rPr>
        <w:t>’«</w:t>
      </w:r>
      <w:proofErr w:type="gramEnd"/>
      <w:r w:rsidRPr="005C7CAC">
        <w:rPr>
          <w:lang w:val="fr-CA"/>
        </w:rPr>
        <w:t xml:space="preserve"> affaire </w:t>
      </w:r>
      <w:r w:rsidR="007D4180" w:rsidRPr="005C7CAC">
        <w:rPr>
          <w:lang w:val="fr-CA"/>
        </w:rPr>
        <w:t>Abdi</w:t>
      </w:r>
      <w:r w:rsidRPr="005C7CAC">
        <w:rPr>
          <w:lang w:val="fr-CA"/>
        </w:rPr>
        <w:t> »</w:t>
      </w:r>
      <w:r w:rsidR="007D4180" w:rsidRPr="005C7CAC">
        <w:rPr>
          <w:lang w:val="fr-CA"/>
        </w:rPr>
        <w:t>)</w:t>
      </w:r>
      <w:r w:rsidR="0093624C" w:rsidRPr="005C7CAC">
        <w:rPr>
          <w:lang w:val="fr-CA"/>
        </w:rPr>
        <w:t xml:space="preserve">. </w:t>
      </w:r>
      <w:r w:rsidRPr="005C7CAC">
        <w:rPr>
          <w:lang w:val="fr-CA"/>
        </w:rPr>
        <w:t xml:space="preserve">Les détails de la plainte indiquent également que contrairement à son témoignage à l’audience sur la première plainte, le juge McLeod « a participé aux efforts de la FCN à cet égard, notamment en arrangeant une réunion avec le ministre de l’Immigration, de la Citoyenneté et des Réfugiés, l’honorable Ahmed </w:t>
      </w:r>
      <w:proofErr w:type="spellStart"/>
      <w:r w:rsidRPr="005C7CAC">
        <w:rPr>
          <w:lang w:val="fr-CA"/>
        </w:rPr>
        <w:t>Hussen</w:t>
      </w:r>
      <w:proofErr w:type="spellEnd"/>
      <w:r w:rsidRPr="005C7CAC">
        <w:rPr>
          <w:lang w:val="fr-CA"/>
        </w:rPr>
        <w:t>, au nom de la FCN, à laquelle il a également participé »</w:t>
      </w:r>
      <w:r w:rsidR="00B0533F" w:rsidRPr="005C7CAC">
        <w:rPr>
          <w:lang w:val="fr-CA"/>
        </w:rPr>
        <w:t xml:space="preserve">. </w:t>
      </w:r>
      <w:r w:rsidRPr="005C7CAC">
        <w:rPr>
          <w:lang w:val="fr-CA"/>
        </w:rPr>
        <w:t xml:space="preserve">À cette audience, l’avocat chargé de la présentation a </w:t>
      </w:r>
      <w:r w:rsidR="005C7CAC" w:rsidRPr="005C7CAC">
        <w:rPr>
          <w:lang w:val="fr-CA"/>
        </w:rPr>
        <w:t xml:space="preserve">présenté une preuve démontrant que la FCN avait envoyé une lettre au ministre, le 28 février 2018, concernant, du moins en partie, l’affaire </w:t>
      </w:r>
      <w:proofErr w:type="spellStart"/>
      <w:r w:rsidR="005C7CAC" w:rsidRPr="005C7CAC">
        <w:rPr>
          <w:lang w:val="fr-CA"/>
        </w:rPr>
        <w:t>Adbi</w:t>
      </w:r>
      <w:proofErr w:type="spellEnd"/>
      <w:r w:rsidR="00B0533F" w:rsidRPr="005C7CAC">
        <w:rPr>
          <w:lang w:val="fr-CA"/>
        </w:rPr>
        <w:t>.</w:t>
      </w:r>
      <w:r w:rsidR="0093624C" w:rsidRPr="005C7CAC">
        <w:rPr>
          <w:lang w:val="fr-CA"/>
        </w:rPr>
        <w:t xml:space="preserve"> </w:t>
      </w:r>
    </w:p>
    <w:p w14:paraId="1C514121" w14:textId="38338E30" w:rsidR="000805F1" w:rsidRPr="005C7CAC" w:rsidRDefault="005C7CAC" w:rsidP="00303BE2">
      <w:pPr>
        <w:pStyle w:val="AParaNumbering"/>
        <w:rPr>
          <w:lang w:val="fr-CA"/>
        </w:rPr>
      </w:pPr>
      <w:r w:rsidRPr="005C7CAC">
        <w:rPr>
          <w:lang w:val="fr-CA"/>
        </w:rPr>
        <w:t xml:space="preserve">L’enregistrement audio </w:t>
      </w:r>
      <w:r>
        <w:rPr>
          <w:lang w:val="fr-CA"/>
        </w:rPr>
        <w:t xml:space="preserve">porte sur une longue conversation téléphonique entre le juge </w:t>
      </w:r>
      <w:r w:rsidR="00B0533F" w:rsidRPr="005C7CAC">
        <w:rPr>
          <w:lang w:val="fr-CA"/>
        </w:rPr>
        <w:t>McLeod</w:t>
      </w:r>
      <w:r w:rsidR="00AB11FC" w:rsidRPr="005C7CAC">
        <w:rPr>
          <w:lang w:val="fr-CA"/>
        </w:rPr>
        <w:t xml:space="preserve"> </w:t>
      </w:r>
      <w:r>
        <w:rPr>
          <w:lang w:val="fr-CA"/>
        </w:rPr>
        <w:t>et l</w:t>
      </w:r>
      <w:r w:rsidR="002F1238">
        <w:rPr>
          <w:lang w:val="fr-CA"/>
        </w:rPr>
        <w:t>a</w:t>
      </w:r>
      <w:r>
        <w:rPr>
          <w:lang w:val="fr-CA"/>
        </w:rPr>
        <w:t xml:space="preserve"> professeur</w:t>
      </w:r>
      <w:r w:rsidR="002F1238">
        <w:rPr>
          <w:lang w:val="fr-CA"/>
        </w:rPr>
        <w:t>e</w:t>
      </w:r>
      <w:r w:rsidR="006F697A" w:rsidRPr="005C7CAC">
        <w:rPr>
          <w:lang w:val="fr-CA"/>
        </w:rPr>
        <w:t xml:space="preserve"> </w:t>
      </w:r>
      <w:proofErr w:type="spellStart"/>
      <w:r w:rsidR="00AB11FC" w:rsidRPr="005C7CAC">
        <w:rPr>
          <w:lang w:val="fr-CA"/>
        </w:rPr>
        <w:t>Idil</w:t>
      </w:r>
      <w:proofErr w:type="spellEnd"/>
      <w:r w:rsidR="00AB11FC" w:rsidRPr="005C7CAC">
        <w:rPr>
          <w:lang w:val="fr-CA"/>
        </w:rPr>
        <w:t xml:space="preserve"> </w:t>
      </w:r>
      <w:proofErr w:type="spellStart"/>
      <w:r w:rsidR="00AB11FC" w:rsidRPr="005C7CAC">
        <w:rPr>
          <w:lang w:val="fr-CA"/>
        </w:rPr>
        <w:t>Abdillahi</w:t>
      </w:r>
      <w:proofErr w:type="spellEnd"/>
      <w:r w:rsidR="00AB11FC" w:rsidRPr="005C7CAC">
        <w:rPr>
          <w:lang w:val="fr-CA"/>
        </w:rPr>
        <w:t xml:space="preserve">, </w:t>
      </w:r>
      <w:r>
        <w:rPr>
          <w:lang w:val="fr-CA"/>
        </w:rPr>
        <w:t xml:space="preserve">qui a eu lieu le 19 février </w:t>
      </w:r>
      <w:r w:rsidR="002B1153" w:rsidRPr="005C7CAC">
        <w:rPr>
          <w:lang w:val="fr-CA"/>
        </w:rPr>
        <w:t>2018</w:t>
      </w:r>
      <w:r w:rsidR="00AB11FC" w:rsidRPr="005C7CAC">
        <w:rPr>
          <w:lang w:val="fr-CA"/>
        </w:rPr>
        <w:t xml:space="preserve">. </w:t>
      </w:r>
      <w:r>
        <w:rPr>
          <w:lang w:val="fr-CA"/>
        </w:rPr>
        <w:t>L</w:t>
      </w:r>
      <w:r w:rsidR="002F1238">
        <w:rPr>
          <w:lang w:val="fr-CA"/>
        </w:rPr>
        <w:t>a</w:t>
      </w:r>
      <w:r>
        <w:rPr>
          <w:lang w:val="fr-CA"/>
        </w:rPr>
        <w:t xml:space="preserve"> professeur</w:t>
      </w:r>
      <w:r w:rsidR="002F1238">
        <w:rPr>
          <w:lang w:val="fr-CA"/>
        </w:rPr>
        <w:t>e</w:t>
      </w:r>
      <w:r>
        <w:rPr>
          <w:lang w:val="fr-CA"/>
        </w:rPr>
        <w:t xml:space="preserve"> </w:t>
      </w:r>
      <w:proofErr w:type="spellStart"/>
      <w:r w:rsidR="002B309B" w:rsidRPr="005C7CAC">
        <w:rPr>
          <w:lang w:val="fr-CA"/>
        </w:rPr>
        <w:t>Abdillahi</w:t>
      </w:r>
      <w:proofErr w:type="spellEnd"/>
      <w:r w:rsidR="002B309B" w:rsidRPr="005C7CAC">
        <w:rPr>
          <w:lang w:val="fr-CA"/>
        </w:rPr>
        <w:t xml:space="preserve"> </w:t>
      </w:r>
      <w:r>
        <w:rPr>
          <w:lang w:val="fr-CA"/>
        </w:rPr>
        <w:t>est un</w:t>
      </w:r>
      <w:r w:rsidR="002F1238">
        <w:rPr>
          <w:lang w:val="fr-CA"/>
        </w:rPr>
        <w:t>e</w:t>
      </w:r>
      <w:r>
        <w:rPr>
          <w:lang w:val="fr-CA"/>
        </w:rPr>
        <w:t xml:space="preserve"> activiste communautaire et professeur</w:t>
      </w:r>
      <w:r w:rsidR="002F1238">
        <w:rPr>
          <w:lang w:val="fr-CA"/>
        </w:rPr>
        <w:t>e</w:t>
      </w:r>
      <w:r>
        <w:rPr>
          <w:lang w:val="fr-CA"/>
        </w:rPr>
        <w:t xml:space="preserve"> adjoint</w:t>
      </w:r>
      <w:r w:rsidR="002F1238">
        <w:rPr>
          <w:lang w:val="fr-CA"/>
        </w:rPr>
        <w:t>e</w:t>
      </w:r>
      <w:r>
        <w:rPr>
          <w:lang w:val="fr-CA"/>
        </w:rPr>
        <w:t xml:space="preserve"> à l’Université </w:t>
      </w:r>
      <w:proofErr w:type="spellStart"/>
      <w:r w:rsidR="00AB11FC" w:rsidRPr="005C7CAC">
        <w:rPr>
          <w:lang w:val="fr-CA"/>
        </w:rPr>
        <w:t>Ryerson</w:t>
      </w:r>
      <w:proofErr w:type="spellEnd"/>
      <w:r w:rsidR="00AB11FC" w:rsidRPr="005C7CAC">
        <w:rPr>
          <w:lang w:val="fr-CA"/>
        </w:rPr>
        <w:t xml:space="preserve">. </w:t>
      </w:r>
      <w:r>
        <w:rPr>
          <w:lang w:val="fr-CA"/>
        </w:rPr>
        <w:t>Le juge</w:t>
      </w:r>
      <w:r w:rsidR="00503BD4" w:rsidRPr="005C7CAC">
        <w:rPr>
          <w:lang w:val="fr-CA"/>
        </w:rPr>
        <w:t xml:space="preserve"> McLeod </w:t>
      </w:r>
      <w:r>
        <w:rPr>
          <w:lang w:val="fr-CA"/>
        </w:rPr>
        <w:t xml:space="preserve">a organisé l’appel par l’intermédiaire de sa sœur, qui est aussi professeure à l’Université </w:t>
      </w:r>
      <w:proofErr w:type="spellStart"/>
      <w:r w:rsidR="00503BD4" w:rsidRPr="005C7CAC">
        <w:rPr>
          <w:lang w:val="fr-CA"/>
        </w:rPr>
        <w:t>Ryerson</w:t>
      </w:r>
      <w:proofErr w:type="spellEnd"/>
      <w:r w:rsidR="00503BD4" w:rsidRPr="005C7CAC">
        <w:rPr>
          <w:lang w:val="fr-CA"/>
        </w:rPr>
        <w:t xml:space="preserve">, </w:t>
      </w:r>
      <w:r>
        <w:rPr>
          <w:lang w:val="fr-CA"/>
        </w:rPr>
        <w:t xml:space="preserve">apparemment pour discuter de la réaction communautaire à la </w:t>
      </w:r>
      <w:r w:rsidR="00F16911">
        <w:rPr>
          <w:lang w:val="fr-CA"/>
        </w:rPr>
        <w:t>réaction</w:t>
      </w:r>
      <w:r>
        <w:rPr>
          <w:lang w:val="fr-CA"/>
        </w:rPr>
        <w:t xml:space="preserve"> </w:t>
      </w:r>
      <w:r w:rsidR="00F16911">
        <w:rPr>
          <w:lang w:val="fr-CA"/>
        </w:rPr>
        <w:t xml:space="preserve">(ou au manque de réaction) </w:t>
      </w:r>
      <w:r>
        <w:rPr>
          <w:lang w:val="fr-CA"/>
        </w:rPr>
        <w:t xml:space="preserve">de la FCN à l’affaire </w:t>
      </w:r>
      <w:r w:rsidR="00B0533F" w:rsidRPr="005C7CAC">
        <w:rPr>
          <w:lang w:val="fr-CA"/>
        </w:rPr>
        <w:t>Abdi</w:t>
      </w:r>
      <w:r w:rsidR="000805F1" w:rsidRPr="005C7CAC">
        <w:rPr>
          <w:lang w:val="fr-CA"/>
        </w:rPr>
        <w:t xml:space="preserve">. </w:t>
      </w:r>
      <w:r>
        <w:rPr>
          <w:lang w:val="fr-CA"/>
        </w:rPr>
        <w:t>Dans l’enregistrement, l</w:t>
      </w:r>
      <w:r w:rsidR="00AA60E9">
        <w:rPr>
          <w:lang w:val="fr-CA"/>
        </w:rPr>
        <w:t>a</w:t>
      </w:r>
      <w:r>
        <w:rPr>
          <w:lang w:val="fr-CA"/>
        </w:rPr>
        <w:t xml:space="preserve"> professeur</w:t>
      </w:r>
      <w:r w:rsidR="00AA60E9">
        <w:rPr>
          <w:lang w:val="fr-CA"/>
        </w:rPr>
        <w:t>e</w:t>
      </w:r>
      <w:r>
        <w:rPr>
          <w:lang w:val="fr-CA"/>
        </w:rPr>
        <w:t xml:space="preserve"> </w:t>
      </w:r>
      <w:proofErr w:type="spellStart"/>
      <w:r w:rsidR="007704F2" w:rsidRPr="005C7CAC">
        <w:rPr>
          <w:lang w:val="fr-CA"/>
        </w:rPr>
        <w:t>Abdillahi</w:t>
      </w:r>
      <w:proofErr w:type="spellEnd"/>
      <w:r w:rsidR="007704F2" w:rsidRPr="005C7CAC">
        <w:rPr>
          <w:lang w:val="fr-CA"/>
        </w:rPr>
        <w:t xml:space="preserve"> </w:t>
      </w:r>
      <w:r>
        <w:rPr>
          <w:lang w:val="fr-CA"/>
        </w:rPr>
        <w:t xml:space="preserve">et le juge </w:t>
      </w:r>
      <w:r w:rsidR="007704F2" w:rsidRPr="005C7CAC">
        <w:rPr>
          <w:lang w:val="fr-CA"/>
        </w:rPr>
        <w:t>McLeod</w:t>
      </w:r>
      <w:r w:rsidR="00A4628A" w:rsidRPr="005C7CAC">
        <w:rPr>
          <w:lang w:val="fr-CA"/>
        </w:rPr>
        <w:t xml:space="preserve"> </w:t>
      </w:r>
      <w:r w:rsidR="00F16911">
        <w:rPr>
          <w:lang w:val="fr-CA"/>
        </w:rPr>
        <w:t>abordent</w:t>
      </w:r>
      <w:r>
        <w:rPr>
          <w:lang w:val="fr-CA"/>
        </w:rPr>
        <w:t xml:space="preserve"> </w:t>
      </w:r>
      <w:r w:rsidR="00F16911">
        <w:rPr>
          <w:lang w:val="fr-CA"/>
        </w:rPr>
        <w:t>l</w:t>
      </w:r>
      <w:r>
        <w:rPr>
          <w:lang w:val="fr-CA"/>
        </w:rPr>
        <w:t xml:space="preserve">es sujets suivants : le fait que le juge </w:t>
      </w:r>
      <w:r w:rsidR="00A4628A" w:rsidRPr="005C7CAC">
        <w:rPr>
          <w:lang w:val="fr-CA"/>
        </w:rPr>
        <w:t>McLeod</w:t>
      </w:r>
      <w:r w:rsidR="007704F2" w:rsidRPr="005C7CAC">
        <w:rPr>
          <w:lang w:val="fr-CA"/>
        </w:rPr>
        <w:t xml:space="preserve"> </w:t>
      </w:r>
      <w:r>
        <w:rPr>
          <w:lang w:val="fr-CA"/>
        </w:rPr>
        <w:t xml:space="preserve">a rencontré le ministre en janvier </w:t>
      </w:r>
      <w:r w:rsidR="00764413" w:rsidRPr="005C7CAC">
        <w:rPr>
          <w:lang w:val="fr-CA"/>
        </w:rPr>
        <w:t>2018</w:t>
      </w:r>
      <w:r>
        <w:rPr>
          <w:lang w:val="fr-CA"/>
        </w:rPr>
        <w:t xml:space="preserve">, l’intention d’envoyer une lettre au ministre au sujet de l’affaire </w:t>
      </w:r>
      <w:r w:rsidR="00764413" w:rsidRPr="005C7CAC">
        <w:rPr>
          <w:lang w:val="fr-CA"/>
        </w:rPr>
        <w:t>Abdi</w:t>
      </w:r>
      <w:r>
        <w:rPr>
          <w:lang w:val="fr-CA"/>
        </w:rPr>
        <w:t xml:space="preserve"> et la possibilité que l</w:t>
      </w:r>
      <w:r w:rsidR="00AA60E9">
        <w:rPr>
          <w:lang w:val="fr-CA"/>
        </w:rPr>
        <w:t>a</w:t>
      </w:r>
      <w:r>
        <w:rPr>
          <w:lang w:val="fr-CA"/>
        </w:rPr>
        <w:t xml:space="preserve"> professeur</w:t>
      </w:r>
      <w:r w:rsidR="00AA60E9">
        <w:rPr>
          <w:lang w:val="fr-CA"/>
        </w:rPr>
        <w:t>e</w:t>
      </w:r>
      <w:r>
        <w:rPr>
          <w:lang w:val="fr-CA"/>
        </w:rPr>
        <w:t xml:space="preserve"> </w:t>
      </w:r>
      <w:proofErr w:type="spellStart"/>
      <w:r w:rsidR="007D4180" w:rsidRPr="005C7CAC">
        <w:rPr>
          <w:lang w:val="fr-CA"/>
        </w:rPr>
        <w:t>Abdillahi</w:t>
      </w:r>
      <w:proofErr w:type="spellEnd"/>
      <w:r w:rsidR="007D4180" w:rsidRPr="005C7CAC">
        <w:rPr>
          <w:lang w:val="fr-CA"/>
        </w:rPr>
        <w:t xml:space="preserve"> contact</w:t>
      </w:r>
      <w:r>
        <w:rPr>
          <w:lang w:val="fr-CA"/>
        </w:rPr>
        <w:t>e l’avocat de M. </w:t>
      </w:r>
      <w:r w:rsidR="007D4180" w:rsidRPr="005C7CAC">
        <w:rPr>
          <w:lang w:val="fr-CA"/>
        </w:rPr>
        <w:t>Abdi</w:t>
      </w:r>
      <w:r>
        <w:rPr>
          <w:lang w:val="fr-CA"/>
        </w:rPr>
        <w:t xml:space="preserve"> afin d’obtenir des renseignements qui seraient utiles à la FCN</w:t>
      </w:r>
      <w:r w:rsidR="00764413" w:rsidRPr="005C7CAC">
        <w:rPr>
          <w:lang w:val="fr-CA"/>
        </w:rPr>
        <w:t>.</w:t>
      </w:r>
    </w:p>
    <w:p w14:paraId="73286A14" w14:textId="4C42CC44" w:rsidR="003E55E3" w:rsidRPr="005C7CAC" w:rsidRDefault="005C7CAC" w:rsidP="00303BE2">
      <w:pPr>
        <w:pStyle w:val="AParaNumbering"/>
        <w:rPr>
          <w:lang w:val="fr-CA"/>
        </w:rPr>
      </w:pPr>
      <w:r>
        <w:rPr>
          <w:lang w:val="fr-CA"/>
        </w:rPr>
        <w:lastRenderedPageBreak/>
        <w:t>Il n’est pas contesté que l</w:t>
      </w:r>
      <w:r w:rsidR="00AA60E9">
        <w:rPr>
          <w:lang w:val="fr-CA"/>
        </w:rPr>
        <w:t>a</w:t>
      </w:r>
      <w:r>
        <w:rPr>
          <w:lang w:val="fr-CA"/>
        </w:rPr>
        <w:t xml:space="preserve"> professeur</w:t>
      </w:r>
      <w:r w:rsidR="00AA60E9">
        <w:rPr>
          <w:lang w:val="fr-CA"/>
        </w:rPr>
        <w:t>e</w:t>
      </w:r>
      <w:r>
        <w:rPr>
          <w:lang w:val="fr-CA"/>
        </w:rPr>
        <w:t xml:space="preserve"> </w:t>
      </w:r>
      <w:proofErr w:type="spellStart"/>
      <w:r w:rsidR="000805F1" w:rsidRPr="005C7CAC">
        <w:rPr>
          <w:lang w:val="fr-CA"/>
        </w:rPr>
        <w:t>Abdillahi</w:t>
      </w:r>
      <w:proofErr w:type="spellEnd"/>
      <w:r w:rsidR="002B309B" w:rsidRPr="005C7CAC">
        <w:rPr>
          <w:lang w:val="fr-CA"/>
        </w:rPr>
        <w:t xml:space="preserve"> </w:t>
      </w:r>
      <w:r>
        <w:rPr>
          <w:lang w:val="fr-CA"/>
        </w:rPr>
        <w:t xml:space="preserve">a enregistré la conversation téléphonique sans que le juge McLeod en soit au courant ou y consente. En fait, comme l’enregistrement le révèle, elle a </w:t>
      </w:r>
      <w:r w:rsidR="00AA60E9">
        <w:rPr>
          <w:lang w:val="fr-CA"/>
        </w:rPr>
        <w:t xml:space="preserve">expressément consenti, </w:t>
      </w:r>
      <w:r w:rsidR="00F16911">
        <w:rPr>
          <w:lang w:val="fr-CA"/>
        </w:rPr>
        <w:t>plus d’une fois</w:t>
      </w:r>
      <w:r w:rsidR="00AA60E9">
        <w:rPr>
          <w:lang w:val="fr-CA"/>
        </w:rPr>
        <w:t xml:space="preserve">, </w:t>
      </w:r>
      <w:r w:rsidR="00F16911">
        <w:rPr>
          <w:lang w:val="fr-CA"/>
        </w:rPr>
        <w:t xml:space="preserve">à ce </w:t>
      </w:r>
      <w:r w:rsidR="00AA60E9">
        <w:rPr>
          <w:lang w:val="fr-CA"/>
        </w:rPr>
        <w:t xml:space="preserve">que la conversation </w:t>
      </w:r>
      <w:r w:rsidR="00F16911">
        <w:rPr>
          <w:lang w:val="fr-CA"/>
        </w:rPr>
        <w:t xml:space="preserve">demeure </w:t>
      </w:r>
      <w:r w:rsidR="00AA60E9">
        <w:rPr>
          <w:lang w:val="fr-CA"/>
        </w:rPr>
        <w:t>« </w:t>
      </w:r>
      <w:r w:rsidR="00F16911">
        <w:rPr>
          <w:lang w:val="fr-CA"/>
        </w:rPr>
        <w:t>officieuse</w:t>
      </w:r>
      <w:r w:rsidR="00AA60E9">
        <w:rPr>
          <w:lang w:val="fr-CA"/>
        </w:rPr>
        <w:t> »</w:t>
      </w:r>
      <w:r w:rsidR="002B309B" w:rsidRPr="005C7CAC">
        <w:rPr>
          <w:lang w:val="fr-CA"/>
        </w:rPr>
        <w:t xml:space="preserve">. </w:t>
      </w:r>
      <w:r w:rsidR="00AA60E9">
        <w:rPr>
          <w:lang w:val="fr-CA"/>
        </w:rPr>
        <w:t xml:space="preserve">En outre, la professeure </w:t>
      </w:r>
      <w:proofErr w:type="spellStart"/>
      <w:r w:rsidR="005709A1" w:rsidRPr="005C7CAC">
        <w:rPr>
          <w:lang w:val="fr-CA"/>
        </w:rPr>
        <w:t>Abdillahi</w:t>
      </w:r>
      <w:proofErr w:type="spellEnd"/>
      <w:r w:rsidR="002B309B" w:rsidRPr="005C7CAC">
        <w:rPr>
          <w:lang w:val="fr-CA"/>
        </w:rPr>
        <w:t xml:space="preserve"> </w:t>
      </w:r>
      <w:r w:rsidR="00AA60E9">
        <w:rPr>
          <w:lang w:val="fr-CA"/>
        </w:rPr>
        <w:t xml:space="preserve">a </w:t>
      </w:r>
      <w:r w:rsidR="00F16911">
        <w:rPr>
          <w:lang w:val="fr-CA"/>
        </w:rPr>
        <w:t xml:space="preserve">non seulement </w:t>
      </w:r>
      <w:r w:rsidR="00AA60E9" w:rsidRPr="00AA60E9">
        <w:rPr>
          <w:lang w:val="fr-CA"/>
        </w:rPr>
        <w:t xml:space="preserve">subrepticement </w:t>
      </w:r>
      <w:r w:rsidR="00AA60E9">
        <w:rPr>
          <w:lang w:val="fr-CA"/>
        </w:rPr>
        <w:t xml:space="preserve">enregistré la conversation téléphonique, elle a en plus laissé au moins une autre personne écouter la conversation pendant qu’elle avait lieu, là encore sans que le juge McLeod le sache </w:t>
      </w:r>
      <w:proofErr w:type="gramStart"/>
      <w:r w:rsidR="00AA60E9">
        <w:rPr>
          <w:lang w:val="fr-CA"/>
        </w:rPr>
        <w:t>ou</w:t>
      </w:r>
      <w:proofErr w:type="gramEnd"/>
      <w:r w:rsidR="00AA60E9">
        <w:rPr>
          <w:lang w:val="fr-CA"/>
        </w:rPr>
        <w:t xml:space="preserve"> y consente. Enfin, la professeure </w:t>
      </w:r>
      <w:proofErr w:type="spellStart"/>
      <w:r w:rsidR="00063541" w:rsidRPr="005C7CAC">
        <w:rPr>
          <w:lang w:val="fr-CA"/>
        </w:rPr>
        <w:t>Abdillahi</w:t>
      </w:r>
      <w:proofErr w:type="spellEnd"/>
      <w:r w:rsidR="005F61BA" w:rsidRPr="005C7CAC">
        <w:rPr>
          <w:lang w:val="fr-CA"/>
        </w:rPr>
        <w:t xml:space="preserve"> </w:t>
      </w:r>
      <w:r w:rsidR="00AA60E9">
        <w:rPr>
          <w:lang w:val="fr-CA"/>
        </w:rPr>
        <w:t>a autorisé un associé activiste</w:t>
      </w:r>
      <w:r w:rsidR="00F549C5">
        <w:rPr>
          <w:lang w:val="fr-CA"/>
        </w:rPr>
        <w:t xml:space="preserve"> à</w:t>
      </w:r>
      <w:r w:rsidR="00F16911">
        <w:rPr>
          <w:lang w:val="fr-CA"/>
        </w:rPr>
        <w:t xml:space="preserve"> </w:t>
      </w:r>
      <w:r w:rsidR="00AA60E9">
        <w:rPr>
          <w:lang w:val="fr-CA"/>
        </w:rPr>
        <w:t xml:space="preserve">écouter – ou à avoir – au moins des parties de l’enregistrement. Cet associé a ensuite utilisé le contenu de l’appel pour faire des commentaires sur les médias sociaux au sujet du juge </w:t>
      </w:r>
      <w:r w:rsidR="00BB3AC3" w:rsidRPr="005C7CAC">
        <w:rPr>
          <w:lang w:val="fr-CA"/>
        </w:rPr>
        <w:t xml:space="preserve">McLeod </w:t>
      </w:r>
      <w:r w:rsidR="00AA60E9">
        <w:rPr>
          <w:lang w:val="fr-CA"/>
        </w:rPr>
        <w:t>et de sa sœur, qui avait organisé l’appel</w:t>
      </w:r>
      <w:r w:rsidR="00063541" w:rsidRPr="005C7CAC">
        <w:rPr>
          <w:lang w:val="fr-CA"/>
        </w:rPr>
        <w:t xml:space="preserve">. </w:t>
      </w:r>
    </w:p>
    <w:p w14:paraId="134BC45D" w14:textId="6D5C737C" w:rsidR="00BA0921" w:rsidRPr="005C7CAC" w:rsidRDefault="00AA60E9" w:rsidP="00BA0921">
      <w:pPr>
        <w:pStyle w:val="Heading2"/>
        <w:rPr>
          <w:rFonts w:ascii="Arial" w:hAnsi="Arial" w:cs="Arial"/>
          <w:b/>
          <w:bCs/>
          <w:color w:val="0D0D0D" w:themeColor="text1" w:themeTint="F2"/>
          <w:lang w:val="fr-CA"/>
        </w:rPr>
      </w:pPr>
      <w:r>
        <w:rPr>
          <w:rFonts w:ascii="Arial" w:hAnsi="Arial" w:cs="Arial"/>
          <w:b/>
          <w:bCs/>
          <w:color w:val="0D0D0D" w:themeColor="text1" w:themeTint="F2"/>
          <w:lang w:val="fr-CA"/>
        </w:rPr>
        <w:t>Position du juge</w:t>
      </w:r>
      <w:r w:rsidR="00BA0921" w:rsidRPr="005C7CAC">
        <w:rPr>
          <w:rFonts w:ascii="Arial" w:hAnsi="Arial" w:cs="Arial"/>
          <w:b/>
          <w:bCs/>
          <w:color w:val="0D0D0D" w:themeColor="text1" w:themeTint="F2"/>
          <w:lang w:val="fr-CA"/>
        </w:rPr>
        <w:t xml:space="preserve"> McLeod</w:t>
      </w:r>
      <w:r>
        <w:rPr>
          <w:rFonts w:ascii="Arial" w:hAnsi="Arial" w:cs="Arial"/>
          <w:b/>
          <w:bCs/>
          <w:color w:val="0D0D0D" w:themeColor="text1" w:themeTint="F2"/>
          <w:lang w:val="fr-CA"/>
        </w:rPr>
        <w:t xml:space="preserve"> sur la question de l’admissibilité </w:t>
      </w:r>
    </w:p>
    <w:p w14:paraId="0B106977" w14:textId="375D486E" w:rsidR="004A1570" w:rsidRPr="005C7CAC" w:rsidRDefault="00AA60E9" w:rsidP="00FF6DF1">
      <w:pPr>
        <w:pStyle w:val="AParaNumbering"/>
        <w:rPr>
          <w:lang w:val="fr-CA"/>
        </w:rPr>
      </w:pPr>
      <w:r>
        <w:rPr>
          <w:lang w:val="fr-CA"/>
        </w:rPr>
        <w:t>Le juge</w:t>
      </w:r>
      <w:r w:rsidR="002B309B" w:rsidRPr="005C7CAC">
        <w:rPr>
          <w:lang w:val="fr-CA"/>
        </w:rPr>
        <w:t xml:space="preserve"> McLeod </w:t>
      </w:r>
      <w:r>
        <w:rPr>
          <w:lang w:val="fr-CA"/>
        </w:rPr>
        <w:t xml:space="preserve">ne conteste pas le fait que la preuve de la professeure </w:t>
      </w:r>
      <w:proofErr w:type="spellStart"/>
      <w:r w:rsidR="002B309B" w:rsidRPr="005C7CAC">
        <w:rPr>
          <w:lang w:val="fr-CA"/>
        </w:rPr>
        <w:t>Abdillahi</w:t>
      </w:r>
      <w:proofErr w:type="spellEnd"/>
      <w:r>
        <w:rPr>
          <w:lang w:val="fr-CA"/>
        </w:rPr>
        <w:t xml:space="preserve"> satisfait </w:t>
      </w:r>
      <w:r w:rsidR="00F16911">
        <w:rPr>
          <w:lang w:val="fr-CA"/>
        </w:rPr>
        <w:t>à l’exigence, assez basse,</w:t>
      </w:r>
      <w:r>
        <w:rPr>
          <w:lang w:val="fr-CA"/>
        </w:rPr>
        <w:t xml:space="preserve"> d’établir un niveau d’authenticité de l’enregistrement audio suffisant pour </w:t>
      </w:r>
      <w:r w:rsidR="00F16911">
        <w:rPr>
          <w:lang w:val="fr-CA"/>
        </w:rPr>
        <w:t>justifier</w:t>
      </w:r>
      <w:r>
        <w:rPr>
          <w:lang w:val="fr-CA"/>
        </w:rPr>
        <w:t xml:space="preserve"> son admissibilité</w:t>
      </w:r>
      <w:r w:rsidR="002B309B" w:rsidRPr="005C7CAC">
        <w:rPr>
          <w:lang w:val="fr-CA"/>
        </w:rPr>
        <w:t xml:space="preserve">. </w:t>
      </w:r>
      <w:r>
        <w:rPr>
          <w:lang w:val="fr-CA"/>
        </w:rPr>
        <w:t>Cependant, il fait valoir que, selon les faits de l’affaire, l’effet préjudiciable potentiel d’admettre l’enregistrement en preuve l’emporte sur sa valeur probante, de sorte que nous devrions exercer notre pouvoir discrétionnaire résiduel pour refuser de l’admettre en preuve</w:t>
      </w:r>
      <w:r w:rsidR="005709A1" w:rsidRPr="005C7CAC">
        <w:rPr>
          <w:lang w:val="fr-CA"/>
        </w:rPr>
        <w:t xml:space="preserve">. </w:t>
      </w:r>
    </w:p>
    <w:p w14:paraId="15B3CFC8" w14:textId="39A324BF" w:rsidR="008318B9" w:rsidRPr="005C7CAC" w:rsidRDefault="00AA60E9" w:rsidP="008318B9">
      <w:pPr>
        <w:pStyle w:val="AParaNumbering"/>
        <w:rPr>
          <w:lang w:val="fr-CA"/>
        </w:rPr>
      </w:pPr>
      <w:r>
        <w:rPr>
          <w:lang w:val="fr-CA"/>
        </w:rPr>
        <w:t>L’argument du juge</w:t>
      </w:r>
      <w:r w:rsidR="008D6EEB" w:rsidRPr="005C7CAC">
        <w:rPr>
          <w:lang w:val="fr-CA"/>
        </w:rPr>
        <w:t xml:space="preserve"> McLeod</w:t>
      </w:r>
      <w:r>
        <w:rPr>
          <w:lang w:val="fr-CA"/>
        </w:rPr>
        <w:t xml:space="preserve"> repose sur quatre </w:t>
      </w:r>
      <w:r w:rsidR="00F16911">
        <w:rPr>
          <w:lang w:val="fr-CA"/>
        </w:rPr>
        <w:t>piliers</w:t>
      </w:r>
      <w:r>
        <w:rPr>
          <w:lang w:val="fr-CA"/>
        </w:rPr>
        <w:t xml:space="preserve"> principaux. Premièrement, il soutient que devant l’extrême malhonnêteté de la professeure </w:t>
      </w:r>
      <w:proofErr w:type="spellStart"/>
      <w:r w:rsidR="00AE39FA" w:rsidRPr="005C7CAC">
        <w:rPr>
          <w:lang w:val="fr-CA"/>
        </w:rPr>
        <w:lastRenderedPageBreak/>
        <w:t>Abdillahi</w:t>
      </w:r>
      <w:proofErr w:type="spellEnd"/>
      <w:r>
        <w:rPr>
          <w:lang w:val="fr-CA"/>
        </w:rPr>
        <w:t>, avant, pendant et après la conversation téléphonique du 19 février 2018, notre comité d’audience devrait se dissocier de l’enregistrement audio</w:t>
      </w:r>
      <w:r w:rsidR="00AE39FA" w:rsidRPr="005C7CAC">
        <w:rPr>
          <w:lang w:val="fr-CA"/>
        </w:rPr>
        <w:t>.</w:t>
      </w:r>
      <w:r w:rsidR="00764413" w:rsidRPr="005C7CAC">
        <w:rPr>
          <w:lang w:val="fr-CA"/>
        </w:rPr>
        <w:t xml:space="preserve"> </w:t>
      </w:r>
    </w:p>
    <w:p w14:paraId="05DD39F6" w14:textId="370FAF04" w:rsidR="00644782" w:rsidRPr="005A4D4E" w:rsidRDefault="00AA60E9" w:rsidP="005A4D4E">
      <w:pPr>
        <w:pStyle w:val="AParaNumbering"/>
        <w:rPr>
          <w:lang w:val="fr-CA"/>
        </w:rPr>
      </w:pPr>
      <w:r>
        <w:rPr>
          <w:lang w:val="fr-CA"/>
        </w:rPr>
        <w:t>La conduite de la professeure</w:t>
      </w:r>
      <w:r w:rsidR="00AE39FA" w:rsidRPr="005C7CAC">
        <w:rPr>
          <w:lang w:val="fr-CA"/>
        </w:rPr>
        <w:t xml:space="preserve"> </w:t>
      </w:r>
      <w:proofErr w:type="spellStart"/>
      <w:r w:rsidR="00AE39FA" w:rsidRPr="005C7CAC">
        <w:rPr>
          <w:lang w:val="fr-CA"/>
        </w:rPr>
        <w:t>Abdillahi</w:t>
      </w:r>
      <w:proofErr w:type="spellEnd"/>
      <w:r>
        <w:rPr>
          <w:lang w:val="fr-CA"/>
        </w:rPr>
        <w:t xml:space="preserve"> était malhonnête de trois points de vue. Premièrement, elle a menti en affirmant que la conversation demeurerait officieuse. Deuxièmement, elle a trompé le juge </w:t>
      </w:r>
      <w:r w:rsidR="00AE39FA" w:rsidRPr="005C7CAC">
        <w:rPr>
          <w:lang w:val="fr-CA"/>
        </w:rPr>
        <w:t xml:space="preserve">McLeod </w:t>
      </w:r>
      <w:r>
        <w:rPr>
          <w:lang w:val="fr-CA"/>
        </w:rPr>
        <w:t>en laissant d’autres personnes écout</w:t>
      </w:r>
      <w:r w:rsidR="005A4D4E">
        <w:rPr>
          <w:lang w:val="fr-CA"/>
        </w:rPr>
        <w:t xml:space="preserve">er secrètement la conversation. Troisièmement, comme le prouve sa participation anonyme subséquente à l’utilisation non autorisée de l’enregistrement pour embarrasser publiquement le juge </w:t>
      </w:r>
      <w:r w:rsidR="00081F57" w:rsidRPr="005A4D4E">
        <w:rPr>
          <w:lang w:val="fr-CA"/>
        </w:rPr>
        <w:t xml:space="preserve">McLeod </w:t>
      </w:r>
      <w:r w:rsidR="005A4D4E">
        <w:rPr>
          <w:lang w:val="fr-CA"/>
        </w:rPr>
        <w:t xml:space="preserve">et sa famille, la raison pour laquelle elle a </w:t>
      </w:r>
      <w:r w:rsidR="00AC11DC">
        <w:rPr>
          <w:lang w:val="fr-CA"/>
        </w:rPr>
        <w:t xml:space="preserve">clandestinement </w:t>
      </w:r>
      <w:r w:rsidR="005A4D4E">
        <w:rPr>
          <w:lang w:val="fr-CA"/>
        </w:rPr>
        <w:t>enregistré la conversation n’était jamais sa propre protection comme elle le prétend</w:t>
      </w:r>
      <w:r w:rsidR="00690D8B" w:rsidRPr="005A4D4E">
        <w:rPr>
          <w:lang w:val="fr-CA"/>
        </w:rPr>
        <w:t>.</w:t>
      </w:r>
    </w:p>
    <w:p w14:paraId="5C77A1BA" w14:textId="54C03AA5" w:rsidR="00615330" w:rsidRPr="005C7CAC" w:rsidRDefault="005A4D4E" w:rsidP="00FF6DF1">
      <w:pPr>
        <w:pStyle w:val="AParaNumbering"/>
        <w:rPr>
          <w:lang w:val="fr-CA"/>
        </w:rPr>
      </w:pPr>
      <w:r>
        <w:rPr>
          <w:lang w:val="fr-CA"/>
        </w:rPr>
        <w:t xml:space="preserve">Par ailleurs, le juge </w:t>
      </w:r>
      <w:r w:rsidR="00644782" w:rsidRPr="005C7CAC">
        <w:rPr>
          <w:lang w:val="fr-CA"/>
        </w:rPr>
        <w:t xml:space="preserve">McLeod </w:t>
      </w:r>
      <w:r>
        <w:rPr>
          <w:lang w:val="fr-CA"/>
        </w:rPr>
        <w:t xml:space="preserve">affirme qu’une telle malhonnêteté était préméditée, prolongée et extrême. La professeure </w:t>
      </w:r>
      <w:proofErr w:type="spellStart"/>
      <w:r w:rsidR="00644782" w:rsidRPr="005C7CAC">
        <w:rPr>
          <w:lang w:val="fr-CA"/>
        </w:rPr>
        <w:t>Abdillahi</w:t>
      </w:r>
      <w:proofErr w:type="spellEnd"/>
      <w:r w:rsidR="00644782" w:rsidRPr="005C7CAC">
        <w:rPr>
          <w:lang w:val="fr-CA"/>
        </w:rPr>
        <w:t xml:space="preserve"> </w:t>
      </w:r>
      <w:r>
        <w:rPr>
          <w:lang w:val="fr-CA"/>
        </w:rPr>
        <w:t>a organisé l’enregistrement et prévu la possibilité de laisser quelqu’un écouter secrètement la conversation avant l’appel. Elle a poursuivi ce comportement même après avoir assuré le juge McLeod que la conversation était confidentielle. En outre, elle a participé à l’utilisation publique subséquente de l’enregistrement, en sachant que la conversation enregistrée devait être confidentielle</w:t>
      </w:r>
      <w:r w:rsidR="00827177" w:rsidRPr="005C7CAC">
        <w:rPr>
          <w:lang w:val="fr-CA"/>
        </w:rPr>
        <w:t>.</w:t>
      </w:r>
      <w:r w:rsidR="001B4C81" w:rsidRPr="005C7CAC">
        <w:rPr>
          <w:lang w:val="fr-CA"/>
        </w:rPr>
        <w:t xml:space="preserve"> </w:t>
      </w:r>
    </w:p>
    <w:p w14:paraId="55CD6B06" w14:textId="20346A1E" w:rsidR="00AE39FA" w:rsidRPr="005C7CAC" w:rsidRDefault="005A4D4E" w:rsidP="00FF6DF1">
      <w:pPr>
        <w:pStyle w:val="AParaNumbering"/>
        <w:rPr>
          <w:lang w:val="fr-CA"/>
        </w:rPr>
      </w:pPr>
      <w:r>
        <w:rPr>
          <w:lang w:val="fr-CA"/>
        </w:rPr>
        <w:t xml:space="preserve">Comme l’intégrité est un principe fondamental du système judiciaire et du Conseil de la magistrature, un organisme conçu pour maintenir la confiance du public dans </w:t>
      </w:r>
      <w:r w:rsidR="00AC11DC">
        <w:rPr>
          <w:lang w:val="fr-CA"/>
        </w:rPr>
        <w:t>le système judiciaire</w:t>
      </w:r>
      <w:r>
        <w:rPr>
          <w:lang w:val="fr-CA"/>
        </w:rPr>
        <w:t xml:space="preserve">, le juge </w:t>
      </w:r>
      <w:r w:rsidR="00615330" w:rsidRPr="005C7CAC">
        <w:rPr>
          <w:lang w:val="fr-CA"/>
        </w:rPr>
        <w:t xml:space="preserve">McLeod </w:t>
      </w:r>
      <w:r>
        <w:rPr>
          <w:lang w:val="fr-CA"/>
        </w:rPr>
        <w:t xml:space="preserve">fait valoir que devant une </w:t>
      </w:r>
      <w:r>
        <w:rPr>
          <w:lang w:val="fr-CA"/>
        </w:rPr>
        <w:lastRenderedPageBreak/>
        <w:t xml:space="preserve">malhonnêteté aussi extrême, notre comité d’audience du Conseil de la magistrature devrait se dissocier de l’enregistrement. </w:t>
      </w:r>
    </w:p>
    <w:p w14:paraId="281E3094" w14:textId="42C57746" w:rsidR="008A22DF" w:rsidRPr="005C7CAC" w:rsidRDefault="005A4D4E" w:rsidP="00FF6DF1">
      <w:pPr>
        <w:pStyle w:val="AParaNumbering"/>
        <w:rPr>
          <w:lang w:val="fr-CA"/>
        </w:rPr>
      </w:pPr>
      <w:r>
        <w:rPr>
          <w:lang w:val="fr-CA"/>
        </w:rPr>
        <w:t xml:space="preserve">Le deuxième pilier de l’argument du juge </w:t>
      </w:r>
      <w:r w:rsidR="00437934" w:rsidRPr="005C7CAC">
        <w:rPr>
          <w:lang w:val="fr-CA"/>
        </w:rPr>
        <w:t>McLeod</w:t>
      </w:r>
      <w:r>
        <w:rPr>
          <w:lang w:val="fr-CA"/>
        </w:rPr>
        <w:t xml:space="preserve"> est que le comportement manipulateur de la professeure </w:t>
      </w:r>
      <w:proofErr w:type="spellStart"/>
      <w:r w:rsidR="00426454" w:rsidRPr="005C7CAC">
        <w:rPr>
          <w:lang w:val="fr-CA"/>
        </w:rPr>
        <w:t>Abdillah</w:t>
      </w:r>
      <w:proofErr w:type="spellEnd"/>
      <w:r>
        <w:rPr>
          <w:lang w:val="fr-CA"/>
        </w:rPr>
        <w:t xml:space="preserve"> pendant la conversation, conjugué aux parties inaudibles et manquantes de l’enregistrement, nuit à la fiabilité de l’enregistrement. En outre, le comportement manipulateur de la professeure </w:t>
      </w:r>
      <w:proofErr w:type="spellStart"/>
      <w:r w:rsidR="00CA4E0A" w:rsidRPr="005C7CAC">
        <w:rPr>
          <w:lang w:val="fr-CA"/>
        </w:rPr>
        <w:t>Abdillahi</w:t>
      </w:r>
      <w:proofErr w:type="spellEnd"/>
      <w:r>
        <w:rPr>
          <w:lang w:val="fr-CA"/>
        </w:rPr>
        <w:t xml:space="preserve">, comme le prouve l’appel, </w:t>
      </w:r>
      <w:r w:rsidR="009613E6">
        <w:rPr>
          <w:lang w:val="fr-CA"/>
        </w:rPr>
        <w:t>contredirait ses prétendues justifications pour procéder à l’enregistrement</w:t>
      </w:r>
      <w:r w:rsidR="00AC11DC">
        <w:rPr>
          <w:lang w:val="fr-CA"/>
        </w:rPr>
        <w:t xml:space="preserve"> clandestin</w:t>
      </w:r>
      <w:r w:rsidR="009613E6">
        <w:rPr>
          <w:lang w:val="fr-CA"/>
        </w:rPr>
        <w:t xml:space="preserve">. </w:t>
      </w:r>
    </w:p>
    <w:p w14:paraId="08471602" w14:textId="78652381" w:rsidR="008A370F" w:rsidRPr="005C7CAC" w:rsidRDefault="009613E6" w:rsidP="00FF6DF1">
      <w:pPr>
        <w:pStyle w:val="AParaNumbering"/>
        <w:rPr>
          <w:lang w:val="fr-CA"/>
        </w:rPr>
      </w:pPr>
      <w:r>
        <w:rPr>
          <w:lang w:val="fr-CA"/>
        </w:rPr>
        <w:t>Bien que la professeure</w:t>
      </w:r>
      <w:r w:rsidR="00503BD4" w:rsidRPr="005C7CAC">
        <w:rPr>
          <w:lang w:val="fr-CA"/>
        </w:rPr>
        <w:t xml:space="preserve"> </w:t>
      </w:r>
      <w:proofErr w:type="spellStart"/>
      <w:r w:rsidR="00503BD4" w:rsidRPr="005C7CAC">
        <w:rPr>
          <w:lang w:val="fr-CA"/>
        </w:rPr>
        <w:t>Abdillahi</w:t>
      </w:r>
      <w:proofErr w:type="spellEnd"/>
      <w:r w:rsidR="00503BD4" w:rsidRPr="005C7CAC">
        <w:rPr>
          <w:lang w:val="fr-CA"/>
        </w:rPr>
        <w:t xml:space="preserve"> </w:t>
      </w:r>
      <w:r>
        <w:rPr>
          <w:lang w:val="fr-CA"/>
        </w:rPr>
        <w:t>affirme avoir enregistré l’appel pour se protéger contre le juge, il déclare qu’il est évident qu’elle a manipulé la conversation en recourant à diverses techniques, démontrant qu’elle avait l’intention d’utiliser l’enregistrement, pa</w:t>
      </w:r>
      <w:r w:rsidR="00AC11DC">
        <w:rPr>
          <w:lang w:val="fr-CA"/>
        </w:rPr>
        <w:t>s du tout</w:t>
      </w:r>
      <w:r>
        <w:rPr>
          <w:lang w:val="fr-CA"/>
        </w:rPr>
        <w:t xml:space="preserve"> pour se protéger, mais bien pour attaquer. Ces techniques étaient notamment les suivantes : </w:t>
      </w:r>
      <w:r w:rsidR="00F3012E" w:rsidRPr="005C7CAC">
        <w:rPr>
          <w:lang w:val="fr-CA"/>
        </w:rPr>
        <w:t xml:space="preserve">i) </w:t>
      </w:r>
      <w:r>
        <w:rPr>
          <w:lang w:val="fr-CA"/>
        </w:rPr>
        <w:t xml:space="preserve">propos incendiaires destinés à susciter une réaction </w:t>
      </w:r>
      <w:r w:rsidR="005A1954" w:rsidRPr="005C7CAC">
        <w:rPr>
          <w:lang w:val="fr-CA"/>
        </w:rPr>
        <w:t>(</w:t>
      </w:r>
      <w:r>
        <w:rPr>
          <w:lang w:val="fr-CA"/>
        </w:rPr>
        <w:t>par exemple, « Ce</w:t>
      </w:r>
      <w:r w:rsidR="00B02E96" w:rsidRPr="005C7CAC">
        <w:rPr>
          <w:lang w:val="fr-CA"/>
        </w:rPr>
        <w:t xml:space="preserve"> [</w:t>
      </w:r>
      <w:r>
        <w:rPr>
          <w:lang w:val="fr-CA"/>
        </w:rPr>
        <w:t>site Web de la FCN</w:t>
      </w:r>
      <w:r w:rsidR="00B02E96" w:rsidRPr="005C7CAC">
        <w:rPr>
          <w:lang w:val="fr-CA"/>
        </w:rPr>
        <w:t xml:space="preserve">] </w:t>
      </w:r>
      <w:r>
        <w:rPr>
          <w:lang w:val="fr-CA"/>
        </w:rPr>
        <w:t>m’a l’air d’une véritable fraude »</w:t>
      </w:r>
      <w:r w:rsidR="0033134A" w:rsidRPr="005C7CAC">
        <w:rPr>
          <w:lang w:val="fr-CA"/>
        </w:rPr>
        <w:t>;</w:t>
      </w:r>
      <w:r w:rsidR="008318B9" w:rsidRPr="005C7CAC">
        <w:rPr>
          <w:lang w:val="fr-CA"/>
        </w:rPr>
        <w:t xml:space="preserve"> </w:t>
      </w:r>
      <w:r>
        <w:rPr>
          <w:lang w:val="fr-CA"/>
        </w:rPr>
        <w:t xml:space="preserve">« la personne à la tête de </w:t>
      </w:r>
      <w:r w:rsidR="00B136E8" w:rsidRPr="005C7CAC">
        <w:rPr>
          <w:lang w:val="fr-CA"/>
        </w:rPr>
        <w:t>[</w:t>
      </w:r>
      <w:r>
        <w:rPr>
          <w:lang w:val="fr-CA"/>
        </w:rPr>
        <w:t>la FCN</w:t>
      </w:r>
      <w:r w:rsidR="00B136E8" w:rsidRPr="005C7CAC">
        <w:rPr>
          <w:lang w:val="fr-CA"/>
        </w:rPr>
        <w:t xml:space="preserve">] </w:t>
      </w:r>
      <w:r>
        <w:rPr>
          <w:lang w:val="fr-CA"/>
        </w:rPr>
        <w:t>est un fichu juge, n’est-ce pas</w:t>
      </w:r>
      <w:r w:rsidR="00C10281" w:rsidRPr="005C7CAC">
        <w:rPr>
          <w:lang w:val="fr-CA"/>
        </w:rPr>
        <w:t>?</w:t>
      </w:r>
      <w:r>
        <w:rPr>
          <w:lang w:val="fr-CA"/>
        </w:rPr>
        <w:t> »</w:t>
      </w:r>
      <w:r w:rsidR="005A1954" w:rsidRPr="005C7CAC">
        <w:rPr>
          <w:lang w:val="fr-CA"/>
        </w:rPr>
        <w:t>)</w:t>
      </w:r>
      <w:r>
        <w:rPr>
          <w:lang w:val="fr-CA"/>
        </w:rPr>
        <w:t>,</w:t>
      </w:r>
      <w:r w:rsidR="00B02E96" w:rsidRPr="005C7CAC">
        <w:rPr>
          <w:lang w:val="fr-CA"/>
        </w:rPr>
        <w:t xml:space="preserve"> </w:t>
      </w:r>
      <w:r>
        <w:rPr>
          <w:lang w:val="fr-CA"/>
        </w:rPr>
        <w:t>et</w:t>
      </w:r>
      <w:r w:rsidR="00B02E96" w:rsidRPr="005C7CAC">
        <w:rPr>
          <w:lang w:val="fr-CA"/>
        </w:rPr>
        <w:t xml:space="preserve"> </w:t>
      </w:r>
      <w:r w:rsidR="00F3012E" w:rsidRPr="005C7CAC">
        <w:rPr>
          <w:lang w:val="fr-CA"/>
        </w:rPr>
        <w:t xml:space="preserve">ii) </w:t>
      </w:r>
      <w:r>
        <w:rPr>
          <w:lang w:val="fr-CA"/>
        </w:rPr>
        <w:t xml:space="preserve">des questions probantes, évidemment préparées à l’avance et parfois suggestives, destinées à obtenir des renseignements qui </w:t>
      </w:r>
      <w:r w:rsidR="00942BED">
        <w:rPr>
          <w:lang w:val="fr-CA"/>
        </w:rPr>
        <w:t xml:space="preserve">pourraient ternir l’image de l’organisation ou du juge </w:t>
      </w:r>
      <w:r w:rsidR="0033134A" w:rsidRPr="005C7CAC">
        <w:rPr>
          <w:lang w:val="fr-CA"/>
        </w:rPr>
        <w:t>(</w:t>
      </w:r>
      <w:r w:rsidR="00942BED">
        <w:rPr>
          <w:lang w:val="fr-CA"/>
        </w:rPr>
        <w:t xml:space="preserve">par exemple, des questions au sujet des connexions entre la FCN et le parti libéral, le fait que la FCN a reçu de l’argent du gouvernement, la participation de la femme d’un ministre fédéral à la FCN, la participation d’un juge à des activités politiques et ses dons à un parti politique, et </w:t>
      </w:r>
      <w:r w:rsidR="00942BED">
        <w:rPr>
          <w:lang w:val="fr-CA"/>
        </w:rPr>
        <w:lastRenderedPageBreak/>
        <w:t>les membres de la FCN qui auraient fait des dons politiques</w:t>
      </w:r>
      <w:r w:rsidR="005A1954" w:rsidRPr="005C7CAC">
        <w:rPr>
          <w:lang w:val="fr-CA"/>
        </w:rPr>
        <w:t>)</w:t>
      </w:r>
      <w:r w:rsidR="000805F1" w:rsidRPr="005C7CAC">
        <w:rPr>
          <w:lang w:val="fr-CA"/>
        </w:rPr>
        <w:t>.</w:t>
      </w:r>
      <w:r w:rsidR="00CA4E0A" w:rsidRPr="005C7CAC">
        <w:rPr>
          <w:lang w:val="fr-CA"/>
        </w:rPr>
        <w:t xml:space="preserve"> </w:t>
      </w:r>
      <w:r w:rsidR="00942BED">
        <w:rPr>
          <w:lang w:val="fr-CA"/>
        </w:rPr>
        <w:t xml:space="preserve">Ces questions ont abouti à une discussion plus conciliatoire pendant la dernière partie de la conversation d’environ 2 heures et 40 minutes où la professeure </w:t>
      </w:r>
      <w:proofErr w:type="spellStart"/>
      <w:r w:rsidR="008A370F" w:rsidRPr="005C7CAC">
        <w:rPr>
          <w:lang w:val="fr-CA"/>
        </w:rPr>
        <w:t>Abdillahi</w:t>
      </w:r>
      <w:proofErr w:type="spellEnd"/>
      <w:r w:rsidR="008A370F" w:rsidRPr="005C7CAC">
        <w:rPr>
          <w:lang w:val="fr-CA"/>
        </w:rPr>
        <w:t xml:space="preserve"> </w:t>
      </w:r>
      <w:r w:rsidR="00942BED">
        <w:rPr>
          <w:lang w:val="fr-CA"/>
        </w:rPr>
        <w:t xml:space="preserve">a donné au juge </w:t>
      </w:r>
      <w:r w:rsidR="008A370F" w:rsidRPr="005C7CAC">
        <w:rPr>
          <w:lang w:val="fr-CA"/>
        </w:rPr>
        <w:t xml:space="preserve">McLeod </w:t>
      </w:r>
      <w:r w:rsidR="00942BED">
        <w:rPr>
          <w:lang w:val="fr-CA"/>
        </w:rPr>
        <w:t xml:space="preserve">des suggestions </w:t>
      </w:r>
      <w:r w:rsidR="00AC11DC">
        <w:rPr>
          <w:lang w:val="fr-CA"/>
        </w:rPr>
        <w:t xml:space="preserve">pour orienter les activités de </w:t>
      </w:r>
      <w:r w:rsidR="00942BED">
        <w:rPr>
          <w:lang w:val="fr-CA"/>
        </w:rPr>
        <w:t xml:space="preserve">la FCN. Ce sont ces suggestions et surtout les réponses du juge </w:t>
      </w:r>
      <w:r w:rsidR="008A370F" w:rsidRPr="005C7CAC">
        <w:rPr>
          <w:lang w:val="fr-CA"/>
        </w:rPr>
        <w:t>McLeod</w:t>
      </w:r>
      <w:r w:rsidR="00942BED">
        <w:rPr>
          <w:lang w:val="fr-CA"/>
        </w:rPr>
        <w:t xml:space="preserve"> à ces suggestions qui forment la base principale de la pertinence présumée de l’enregistrement</w:t>
      </w:r>
      <w:r w:rsidR="008A370F" w:rsidRPr="005C7CAC">
        <w:rPr>
          <w:lang w:val="fr-CA"/>
        </w:rPr>
        <w:t>.</w:t>
      </w:r>
      <w:r w:rsidR="00EB00E3" w:rsidRPr="005C7CAC">
        <w:rPr>
          <w:lang w:val="fr-CA"/>
        </w:rPr>
        <w:t xml:space="preserve"> </w:t>
      </w:r>
    </w:p>
    <w:p w14:paraId="43ED8C61" w14:textId="08E88F16" w:rsidR="00113A60" w:rsidRPr="005C7CAC" w:rsidRDefault="00942BED" w:rsidP="00FF6DF1">
      <w:pPr>
        <w:pStyle w:val="AParaNumbering"/>
        <w:rPr>
          <w:lang w:val="fr-CA"/>
        </w:rPr>
      </w:pPr>
      <w:r>
        <w:rPr>
          <w:lang w:val="fr-CA"/>
        </w:rPr>
        <w:t xml:space="preserve">Enfin, le juge </w:t>
      </w:r>
      <w:r w:rsidR="00281D35" w:rsidRPr="005C7CAC">
        <w:rPr>
          <w:lang w:val="fr-CA"/>
        </w:rPr>
        <w:t xml:space="preserve">McLeod </w:t>
      </w:r>
      <w:r>
        <w:rPr>
          <w:lang w:val="fr-CA"/>
        </w:rPr>
        <w:t>souligne deux vides et divers pa</w:t>
      </w:r>
      <w:r w:rsidR="00AC11DC">
        <w:rPr>
          <w:lang w:val="fr-CA"/>
        </w:rPr>
        <w:t>ssages</w:t>
      </w:r>
      <w:r>
        <w:rPr>
          <w:lang w:val="fr-CA"/>
        </w:rPr>
        <w:t xml:space="preserve"> inaudibles de l’enregistrement qui nuisent à sa fiabilité. Premièrement, l’enregistrement semble s’arrêter abruptement sans capturer la fin de la conversation. On pourrait soutenir qu</w:t>
      </w:r>
      <w:r w:rsidR="00AC11DC">
        <w:rPr>
          <w:lang w:val="fr-CA"/>
        </w:rPr>
        <w:t xml:space="preserve">’il ressort du dernier échange </w:t>
      </w:r>
      <w:r>
        <w:rPr>
          <w:lang w:val="fr-CA"/>
        </w:rPr>
        <w:t xml:space="preserve">que le juge </w:t>
      </w:r>
      <w:r w:rsidR="00281D35" w:rsidRPr="005C7CAC">
        <w:rPr>
          <w:lang w:val="fr-CA"/>
        </w:rPr>
        <w:t xml:space="preserve">McLeod </w:t>
      </w:r>
      <w:r>
        <w:rPr>
          <w:lang w:val="fr-CA"/>
        </w:rPr>
        <w:t xml:space="preserve">a accepté que la FCN écrive une lettre au ministre au sujet de l’affaire </w:t>
      </w:r>
      <w:r w:rsidR="00DF13C8" w:rsidRPr="005C7CAC">
        <w:rPr>
          <w:lang w:val="fr-CA"/>
        </w:rPr>
        <w:t>Abdi</w:t>
      </w:r>
      <w:r w:rsidR="00281D35" w:rsidRPr="005C7CAC">
        <w:rPr>
          <w:lang w:val="fr-CA"/>
        </w:rPr>
        <w:t xml:space="preserve">. </w:t>
      </w:r>
      <w:r>
        <w:rPr>
          <w:lang w:val="fr-CA"/>
        </w:rPr>
        <w:t xml:space="preserve">Cependant, la professeure </w:t>
      </w:r>
      <w:proofErr w:type="spellStart"/>
      <w:r w:rsidR="00281D35" w:rsidRPr="005C7CAC">
        <w:rPr>
          <w:lang w:val="fr-CA"/>
        </w:rPr>
        <w:t>Abdillahi</w:t>
      </w:r>
      <w:proofErr w:type="spellEnd"/>
      <w:r w:rsidR="00281D35" w:rsidRPr="005C7CAC">
        <w:rPr>
          <w:lang w:val="fr-CA"/>
        </w:rPr>
        <w:t xml:space="preserve"> </w:t>
      </w:r>
      <w:r>
        <w:rPr>
          <w:lang w:val="fr-CA"/>
        </w:rPr>
        <w:t>n’a pas pu fournir une explication pour ce vide</w:t>
      </w:r>
      <w:r w:rsidR="00103A37">
        <w:rPr>
          <w:lang w:val="fr-CA"/>
        </w:rPr>
        <w:t xml:space="preserve"> </w:t>
      </w:r>
      <w:r w:rsidR="00281D35" w:rsidRPr="005C7CAC">
        <w:rPr>
          <w:lang w:val="fr-CA"/>
        </w:rPr>
        <w:t xml:space="preserve">– </w:t>
      </w:r>
      <w:r w:rsidR="00103A37">
        <w:rPr>
          <w:lang w:val="fr-CA"/>
        </w:rPr>
        <w:t xml:space="preserve">qui se produit à ce qui </w:t>
      </w:r>
      <w:r w:rsidR="00AC11DC">
        <w:rPr>
          <w:lang w:val="fr-CA"/>
        </w:rPr>
        <w:t>serait</w:t>
      </w:r>
      <w:r w:rsidR="00103A37">
        <w:rPr>
          <w:lang w:val="fr-CA"/>
        </w:rPr>
        <w:t xml:space="preserve"> un moment critique de la conversation</w:t>
      </w:r>
      <w:r w:rsidR="006E1725" w:rsidRPr="005C7CAC">
        <w:rPr>
          <w:lang w:val="fr-CA"/>
        </w:rPr>
        <w:t xml:space="preserve"> – </w:t>
      </w:r>
      <w:r w:rsidR="00103A37">
        <w:rPr>
          <w:lang w:val="fr-CA"/>
        </w:rPr>
        <w:t>ce qui prive notre comité d’audience d’un contexte important lui permettant d’évaluer la valeur finale de l’enregistrement</w:t>
      </w:r>
      <w:r w:rsidR="00113A60" w:rsidRPr="005C7CAC">
        <w:rPr>
          <w:lang w:val="fr-CA"/>
        </w:rPr>
        <w:t xml:space="preserve">. </w:t>
      </w:r>
    </w:p>
    <w:p w14:paraId="14CF8FCA" w14:textId="2C7D81A3" w:rsidR="00281D35" w:rsidRPr="005C7CAC" w:rsidRDefault="00103A37" w:rsidP="00FF6DF1">
      <w:pPr>
        <w:pStyle w:val="AParaNumbering"/>
        <w:rPr>
          <w:lang w:val="fr-CA"/>
        </w:rPr>
      </w:pPr>
      <w:r>
        <w:rPr>
          <w:lang w:val="fr-CA"/>
        </w:rPr>
        <w:t xml:space="preserve">Un vide qui se produit plus tôt pendant l’appel </w:t>
      </w:r>
      <w:r w:rsidR="00113A60" w:rsidRPr="005C7CAC">
        <w:rPr>
          <w:lang w:val="fr-CA"/>
        </w:rPr>
        <w:t>(</w:t>
      </w:r>
      <w:r>
        <w:rPr>
          <w:lang w:val="fr-CA"/>
        </w:rPr>
        <w:t>environ 50 secondes manquantes entre les points 2 heures, 10 minutes et 12 secondes et 2 heures, 11</w:t>
      </w:r>
      <w:r w:rsidR="00AC11DC">
        <w:rPr>
          <w:lang w:val="fr-CA"/>
        </w:rPr>
        <w:t> </w:t>
      </w:r>
      <w:r>
        <w:rPr>
          <w:lang w:val="fr-CA"/>
        </w:rPr>
        <w:t xml:space="preserve">minutes et 02 secondes de l’appel) peut être dû, comme l’a expliqué la professeure </w:t>
      </w:r>
      <w:proofErr w:type="spellStart"/>
      <w:r w:rsidR="00113A60" w:rsidRPr="005C7CAC">
        <w:rPr>
          <w:lang w:val="fr-CA"/>
        </w:rPr>
        <w:t>Abdillahi</w:t>
      </w:r>
      <w:proofErr w:type="spellEnd"/>
      <w:r>
        <w:rPr>
          <w:lang w:val="fr-CA"/>
        </w:rPr>
        <w:t xml:space="preserve"> dans son témoignage, par le fait qu’elle s’est éloignée de son ordinateur </w:t>
      </w:r>
      <w:r w:rsidR="00113A60" w:rsidRPr="005C7CAC">
        <w:rPr>
          <w:lang w:val="fr-CA"/>
        </w:rPr>
        <w:t>(</w:t>
      </w:r>
      <w:r>
        <w:rPr>
          <w:lang w:val="fr-CA"/>
        </w:rPr>
        <w:t>l’appareil procédant à l’enregistrement</w:t>
      </w:r>
      <w:r w:rsidR="00113A60" w:rsidRPr="005C7CAC">
        <w:rPr>
          <w:lang w:val="fr-CA"/>
        </w:rPr>
        <w:t xml:space="preserve">). </w:t>
      </w:r>
      <w:r>
        <w:rPr>
          <w:lang w:val="fr-CA"/>
        </w:rPr>
        <w:t>Néanmoins, le vide démontre que l’enregistrement est incomplet, ce qui diminue évidem</w:t>
      </w:r>
      <w:r w:rsidR="00F549C5">
        <w:rPr>
          <w:lang w:val="fr-CA"/>
        </w:rPr>
        <w:t>m</w:t>
      </w:r>
      <w:r>
        <w:rPr>
          <w:lang w:val="fr-CA"/>
        </w:rPr>
        <w:t>ent la capacité du comité d’audience d’évaluer l’enregistrement</w:t>
      </w:r>
      <w:r w:rsidR="00113A60" w:rsidRPr="005C7CAC">
        <w:rPr>
          <w:lang w:val="fr-CA"/>
        </w:rPr>
        <w:t>.</w:t>
      </w:r>
    </w:p>
    <w:p w14:paraId="2B824CB5" w14:textId="3341D074" w:rsidR="00A66E5E" w:rsidRPr="005C7CAC" w:rsidRDefault="000339BC" w:rsidP="00FF6DF1">
      <w:pPr>
        <w:pStyle w:val="AParaNumbering"/>
        <w:rPr>
          <w:lang w:val="fr-CA"/>
        </w:rPr>
      </w:pPr>
      <w:r>
        <w:rPr>
          <w:lang w:val="fr-CA"/>
        </w:rPr>
        <w:lastRenderedPageBreak/>
        <w:t xml:space="preserve">Bien que le juge </w:t>
      </w:r>
      <w:r w:rsidR="00EE2F4D" w:rsidRPr="005C7CAC">
        <w:rPr>
          <w:lang w:val="fr-CA"/>
        </w:rPr>
        <w:t xml:space="preserve">McLeod </w:t>
      </w:r>
      <w:r>
        <w:rPr>
          <w:lang w:val="fr-CA"/>
        </w:rPr>
        <w:t>reconnaisse que certains des p</w:t>
      </w:r>
      <w:r w:rsidR="00AC11DC">
        <w:rPr>
          <w:lang w:val="fr-CA"/>
        </w:rPr>
        <w:t>assages</w:t>
      </w:r>
      <w:r>
        <w:rPr>
          <w:lang w:val="fr-CA"/>
        </w:rPr>
        <w:t xml:space="preserve"> inaudibles de l’enregistrement n’ont aucune conséquence, il affirme que d’autres se produisent aux passages les plus pertinents de l’enregistrement, démontrant à nouveau que l’enregistrement n’est pas complet </w:t>
      </w:r>
      <w:r w:rsidR="00A5369B" w:rsidRPr="005C7CAC">
        <w:rPr>
          <w:lang w:val="fr-CA"/>
        </w:rPr>
        <w:t xml:space="preserve">: </w:t>
      </w:r>
      <w:r>
        <w:rPr>
          <w:lang w:val="fr-CA"/>
        </w:rPr>
        <w:t>par exemple, des passages inaudibles relevés aux</w:t>
      </w:r>
      <w:r w:rsidR="00AC11DC">
        <w:rPr>
          <w:lang w:val="fr-CA"/>
        </w:rPr>
        <w:t xml:space="preserve"> pages</w:t>
      </w:r>
      <w:r>
        <w:rPr>
          <w:lang w:val="fr-CA"/>
        </w:rPr>
        <w:t xml:space="preserve"> </w:t>
      </w:r>
      <w:r w:rsidR="00A5369B" w:rsidRPr="005C7CAC">
        <w:rPr>
          <w:lang w:val="fr-CA"/>
        </w:rPr>
        <w:t>161</w:t>
      </w:r>
      <w:r w:rsidR="007724CE" w:rsidRPr="005C7CAC">
        <w:rPr>
          <w:lang w:val="fr-CA"/>
        </w:rPr>
        <w:t xml:space="preserve"> </w:t>
      </w:r>
      <w:r w:rsidR="0041300A" w:rsidRPr="005C7CAC">
        <w:rPr>
          <w:lang w:val="fr-CA"/>
        </w:rPr>
        <w:t xml:space="preserve">– </w:t>
      </w:r>
      <w:r w:rsidR="007724CE" w:rsidRPr="005C7CAC">
        <w:rPr>
          <w:lang w:val="fr-CA"/>
        </w:rPr>
        <w:t>164</w:t>
      </w:r>
      <w:r w:rsidR="00A5369B" w:rsidRPr="005C7CAC">
        <w:rPr>
          <w:lang w:val="fr-CA"/>
        </w:rPr>
        <w:t xml:space="preserve"> </w:t>
      </w:r>
      <w:r>
        <w:rPr>
          <w:lang w:val="fr-CA"/>
        </w:rPr>
        <w:t>de la transcription de l’enregistrement</w:t>
      </w:r>
      <w:r w:rsidR="00A5369B" w:rsidRPr="005C7CAC">
        <w:rPr>
          <w:rStyle w:val="FootnoteReference"/>
          <w:rFonts w:cs="Arial"/>
          <w:szCs w:val="26"/>
          <w:lang w:val="fr-CA"/>
        </w:rPr>
        <w:footnoteReference w:id="2"/>
      </w:r>
      <w:r>
        <w:rPr>
          <w:lang w:val="fr-CA"/>
        </w:rPr>
        <w:t>.</w:t>
      </w:r>
    </w:p>
    <w:p w14:paraId="442CDC5C" w14:textId="3080615B" w:rsidR="00EB00E3" w:rsidRPr="005C7CAC" w:rsidRDefault="000339BC" w:rsidP="00FF6DF1">
      <w:pPr>
        <w:pStyle w:val="AParaNumbering"/>
        <w:rPr>
          <w:lang w:val="fr-CA"/>
        </w:rPr>
      </w:pPr>
      <w:r>
        <w:rPr>
          <w:lang w:val="fr-CA"/>
        </w:rPr>
        <w:t xml:space="preserve">Le troisième pilier de l’argument du juge </w:t>
      </w:r>
      <w:r w:rsidR="008A370F" w:rsidRPr="005C7CAC">
        <w:rPr>
          <w:lang w:val="fr-CA"/>
        </w:rPr>
        <w:t>McLeod</w:t>
      </w:r>
      <w:r>
        <w:rPr>
          <w:lang w:val="fr-CA"/>
        </w:rPr>
        <w:t xml:space="preserve"> est que la politique publique est favorable à l’exclusion de l’appel des éléments de preuve, dans l’objectif double de décourager la pratique des enregistrements clandestins injustifiés et de préserver l’intégrité de l’instance en question</w:t>
      </w:r>
      <w:r w:rsidR="00BF5B6C" w:rsidRPr="005C7CAC">
        <w:rPr>
          <w:lang w:val="fr-CA"/>
        </w:rPr>
        <w:t xml:space="preserve">. </w:t>
      </w:r>
    </w:p>
    <w:p w14:paraId="63733E3B" w14:textId="61966FB1" w:rsidR="008A370F" w:rsidRPr="005C7CAC" w:rsidRDefault="00B940C5" w:rsidP="00FF6DF1">
      <w:pPr>
        <w:pStyle w:val="AParaNumbering"/>
        <w:rPr>
          <w:lang w:val="fr-CA"/>
        </w:rPr>
      </w:pPr>
      <w:r>
        <w:rPr>
          <w:lang w:val="fr-CA"/>
        </w:rPr>
        <w:t xml:space="preserve">Bien que pas illégale, la pratique de l’enregistrement clandestin est décrite dans la jurisprudence émergente comme odieuse et à décourager </w:t>
      </w:r>
      <w:r w:rsidR="004D20E8" w:rsidRPr="005C7CAC">
        <w:rPr>
          <w:lang w:val="fr-CA"/>
        </w:rPr>
        <w:t>:</w:t>
      </w:r>
      <w:r w:rsidR="008A4CE5" w:rsidRPr="005C7CAC">
        <w:rPr>
          <w:lang w:val="fr-CA"/>
        </w:rPr>
        <w:t xml:space="preserve"> </w:t>
      </w:r>
      <w:proofErr w:type="spellStart"/>
      <w:r w:rsidR="008A4CE5" w:rsidRPr="005C7CAC">
        <w:rPr>
          <w:i/>
          <w:iCs/>
          <w:lang w:val="fr-CA"/>
        </w:rPr>
        <w:t>Seddon</w:t>
      </w:r>
      <w:proofErr w:type="spellEnd"/>
      <w:r w:rsidR="008A4CE5" w:rsidRPr="005C7CAC">
        <w:rPr>
          <w:i/>
          <w:iCs/>
          <w:lang w:val="fr-CA"/>
        </w:rPr>
        <w:t xml:space="preserve"> v. </w:t>
      </w:r>
      <w:proofErr w:type="spellStart"/>
      <w:r w:rsidR="008A4CE5" w:rsidRPr="005C7CAC">
        <w:rPr>
          <w:i/>
          <w:iCs/>
          <w:lang w:val="fr-CA"/>
        </w:rPr>
        <w:t>Seddon</w:t>
      </w:r>
      <w:proofErr w:type="spellEnd"/>
      <w:r w:rsidR="008A4CE5" w:rsidRPr="005C7CAC">
        <w:rPr>
          <w:lang w:val="fr-CA"/>
        </w:rPr>
        <w:t>,</w:t>
      </w:r>
      <w:r w:rsidR="00452DFB" w:rsidRPr="005C7CAC">
        <w:rPr>
          <w:lang w:val="fr-CA"/>
        </w:rPr>
        <w:t xml:space="preserve"> [1994] B.C.J. No. 1729,</w:t>
      </w:r>
      <w:r w:rsidR="008A4CE5" w:rsidRPr="005C7CAC">
        <w:rPr>
          <w:lang w:val="fr-CA"/>
        </w:rPr>
        <w:t xml:space="preserve"> a</w:t>
      </w:r>
      <w:r>
        <w:rPr>
          <w:lang w:val="fr-CA"/>
        </w:rPr>
        <w:t>u</w:t>
      </w:r>
      <w:r w:rsidR="008A4CE5" w:rsidRPr="005C7CAC">
        <w:rPr>
          <w:lang w:val="fr-CA"/>
        </w:rPr>
        <w:t xml:space="preserve"> para. 25</w:t>
      </w:r>
      <w:r w:rsidR="004658D3" w:rsidRPr="005C7CAC">
        <w:rPr>
          <w:lang w:val="fr-CA"/>
        </w:rPr>
        <w:t xml:space="preserve">; </w:t>
      </w:r>
      <w:r>
        <w:rPr>
          <w:lang w:val="fr-CA"/>
        </w:rPr>
        <w:t>voir aussi</w:t>
      </w:r>
      <w:r w:rsidR="004658D3" w:rsidRPr="005C7CAC">
        <w:rPr>
          <w:lang w:val="fr-CA"/>
        </w:rPr>
        <w:t xml:space="preserve"> </w:t>
      </w:r>
      <w:proofErr w:type="spellStart"/>
      <w:r w:rsidR="004658D3" w:rsidRPr="005C7CAC">
        <w:rPr>
          <w:i/>
          <w:iCs/>
          <w:lang w:val="fr-CA"/>
        </w:rPr>
        <w:t>Sordi</w:t>
      </w:r>
      <w:proofErr w:type="spellEnd"/>
      <w:r w:rsidR="004658D3" w:rsidRPr="005C7CAC">
        <w:rPr>
          <w:i/>
          <w:iCs/>
          <w:lang w:val="fr-CA"/>
        </w:rPr>
        <w:t xml:space="preserve"> v. </w:t>
      </w:r>
      <w:proofErr w:type="spellStart"/>
      <w:r w:rsidR="004658D3" w:rsidRPr="005C7CAC">
        <w:rPr>
          <w:i/>
          <w:iCs/>
          <w:lang w:val="fr-CA"/>
        </w:rPr>
        <w:t>Sordi</w:t>
      </w:r>
      <w:proofErr w:type="spellEnd"/>
      <w:r w:rsidR="00D74860" w:rsidRPr="005C7CAC">
        <w:rPr>
          <w:lang w:val="fr-CA"/>
        </w:rPr>
        <w:t>, 2011 ONCA</w:t>
      </w:r>
      <w:r w:rsidR="00093663" w:rsidRPr="005C7CAC">
        <w:rPr>
          <w:lang w:val="fr-CA"/>
        </w:rPr>
        <w:t xml:space="preserve"> 665, 283 O.A.C. 287, </w:t>
      </w:r>
      <w:r w:rsidR="00D74860" w:rsidRPr="005C7CAC">
        <w:rPr>
          <w:lang w:val="fr-CA"/>
        </w:rPr>
        <w:t>a</w:t>
      </w:r>
      <w:r>
        <w:rPr>
          <w:lang w:val="fr-CA"/>
        </w:rPr>
        <w:t>u</w:t>
      </w:r>
      <w:r w:rsidR="00D74860" w:rsidRPr="005C7CAC">
        <w:rPr>
          <w:lang w:val="fr-CA"/>
        </w:rPr>
        <w:t xml:space="preserve"> para. 12</w:t>
      </w:r>
      <w:r w:rsidR="007023D2" w:rsidRPr="005C7CAC">
        <w:rPr>
          <w:lang w:val="fr-CA"/>
        </w:rPr>
        <w:t xml:space="preserve">. </w:t>
      </w:r>
      <w:r w:rsidR="005A272C">
        <w:rPr>
          <w:lang w:val="fr-CA"/>
        </w:rPr>
        <w:t>En outre, la pratique viole les droits au respect de la vie privée et de la dignité. En l’espèce, l’enregistrement n’était pas seulement clandestin, il était aussi prémédité. La conduite manipulatrice et malhonnête s’est poursuivie même alors que la confidentialité de la conversation était garantie</w:t>
      </w:r>
      <w:r w:rsidR="00BB3AC3" w:rsidRPr="005C7CAC">
        <w:rPr>
          <w:lang w:val="fr-CA"/>
        </w:rPr>
        <w:t xml:space="preserve">. </w:t>
      </w:r>
      <w:r w:rsidR="005A272C">
        <w:rPr>
          <w:lang w:val="fr-CA"/>
        </w:rPr>
        <w:t xml:space="preserve">En particulier, à la lumière de la façon dont la professeure </w:t>
      </w:r>
      <w:proofErr w:type="spellStart"/>
      <w:r w:rsidR="00EB00E3" w:rsidRPr="005C7CAC">
        <w:rPr>
          <w:lang w:val="fr-CA"/>
        </w:rPr>
        <w:t>Abdillahi</w:t>
      </w:r>
      <w:proofErr w:type="spellEnd"/>
      <w:r w:rsidR="005A272C">
        <w:rPr>
          <w:lang w:val="fr-CA"/>
        </w:rPr>
        <w:t xml:space="preserve"> a manipulé la conversation, le juge McLeod soutient que le comité d’audience devrait se préoccuper des conséquences à long terme de l’admission de ce genre de preuve </w:t>
      </w:r>
      <w:r w:rsidR="005A272C">
        <w:rPr>
          <w:lang w:val="fr-CA"/>
        </w:rPr>
        <w:lastRenderedPageBreak/>
        <w:t xml:space="preserve">dans une procédure censée renforcer la confiance du public dans l’administration de la justice. Par ailleurs, un enregistrement clandestin est plus que trompeur et intéressé, il risque </w:t>
      </w:r>
      <w:r w:rsidR="00AC11DC">
        <w:rPr>
          <w:lang w:val="fr-CA"/>
        </w:rPr>
        <w:t>aussi</w:t>
      </w:r>
      <w:r w:rsidR="005A272C">
        <w:rPr>
          <w:lang w:val="fr-CA"/>
        </w:rPr>
        <w:t xml:space="preserve"> de tromper le juge de</w:t>
      </w:r>
      <w:r w:rsidR="00AC11DC">
        <w:rPr>
          <w:lang w:val="fr-CA"/>
        </w:rPr>
        <w:t>s faits</w:t>
      </w:r>
      <w:r w:rsidR="005A272C">
        <w:rPr>
          <w:lang w:val="fr-CA"/>
        </w:rPr>
        <w:t xml:space="preserve">, ou tout au moins de compliquer sa tâche </w:t>
      </w:r>
      <w:r w:rsidR="008F6EAD" w:rsidRPr="005C7CAC">
        <w:rPr>
          <w:lang w:val="fr-CA"/>
        </w:rPr>
        <w:t xml:space="preserve">: </w:t>
      </w:r>
      <w:proofErr w:type="spellStart"/>
      <w:r w:rsidR="00575646" w:rsidRPr="005C7CAC">
        <w:rPr>
          <w:i/>
          <w:iCs/>
          <w:lang w:val="fr-CA"/>
        </w:rPr>
        <w:t>Paftali</w:t>
      </w:r>
      <w:proofErr w:type="spellEnd"/>
      <w:r w:rsidR="00575646" w:rsidRPr="005C7CAC">
        <w:rPr>
          <w:i/>
          <w:iCs/>
          <w:lang w:val="fr-CA"/>
        </w:rPr>
        <w:t xml:space="preserve"> v. </w:t>
      </w:r>
      <w:proofErr w:type="spellStart"/>
      <w:r w:rsidR="00575646" w:rsidRPr="005C7CAC">
        <w:rPr>
          <w:i/>
          <w:iCs/>
          <w:lang w:val="fr-CA"/>
        </w:rPr>
        <w:t>Paftali</w:t>
      </w:r>
      <w:proofErr w:type="spellEnd"/>
      <w:r w:rsidR="00575646" w:rsidRPr="005C7CAC">
        <w:rPr>
          <w:lang w:val="fr-CA"/>
        </w:rPr>
        <w:t>, 2020 ONSC 5325, a</w:t>
      </w:r>
      <w:r w:rsidR="005A272C">
        <w:rPr>
          <w:lang w:val="fr-CA"/>
        </w:rPr>
        <w:t>u</w:t>
      </w:r>
      <w:r w:rsidR="00575646" w:rsidRPr="005C7CAC">
        <w:rPr>
          <w:lang w:val="fr-CA"/>
        </w:rPr>
        <w:t xml:space="preserve"> para. 63</w:t>
      </w:r>
      <w:r w:rsidR="0077255E" w:rsidRPr="005C7CAC">
        <w:rPr>
          <w:lang w:val="fr-CA"/>
        </w:rPr>
        <w:t xml:space="preserve">; </w:t>
      </w:r>
      <w:r w:rsidR="0077255E" w:rsidRPr="005C7CAC">
        <w:rPr>
          <w:i/>
          <w:iCs/>
          <w:lang w:val="fr-CA"/>
        </w:rPr>
        <w:t>R. v. Parsons</w:t>
      </w:r>
      <w:r w:rsidR="008C1CFB" w:rsidRPr="005C7CAC">
        <w:rPr>
          <w:lang w:val="fr-CA"/>
        </w:rPr>
        <w:t xml:space="preserve">, </w:t>
      </w:r>
      <w:r w:rsidR="00A566C9" w:rsidRPr="005C7CAC">
        <w:rPr>
          <w:lang w:val="fr-CA"/>
        </w:rPr>
        <w:t>2017</w:t>
      </w:r>
      <w:r w:rsidR="00093663" w:rsidRPr="005C7CAC">
        <w:rPr>
          <w:lang w:val="fr-CA"/>
        </w:rPr>
        <w:t xml:space="preserve"> NLTD(G) 160,</w:t>
      </w:r>
      <w:r w:rsidR="00A566C9" w:rsidRPr="005C7CAC">
        <w:rPr>
          <w:lang w:val="fr-CA"/>
        </w:rPr>
        <w:t xml:space="preserve"> </w:t>
      </w:r>
      <w:r w:rsidR="008C1CFB" w:rsidRPr="005C7CAC">
        <w:rPr>
          <w:lang w:val="fr-CA"/>
        </w:rPr>
        <w:t>a</w:t>
      </w:r>
      <w:r w:rsidR="005A272C">
        <w:rPr>
          <w:lang w:val="fr-CA"/>
        </w:rPr>
        <w:t>u</w:t>
      </w:r>
      <w:r w:rsidR="008C1CFB" w:rsidRPr="005C7CAC">
        <w:rPr>
          <w:lang w:val="fr-CA"/>
        </w:rPr>
        <w:t xml:space="preserve"> para 41</w:t>
      </w:r>
      <w:r w:rsidR="00575646" w:rsidRPr="005C7CAC">
        <w:rPr>
          <w:lang w:val="fr-CA"/>
        </w:rPr>
        <w:t>.</w:t>
      </w:r>
    </w:p>
    <w:p w14:paraId="707A6BD0" w14:textId="47712B26" w:rsidR="003E55E3" w:rsidRPr="005C7CAC" w:rsidRDefault="00375C36" w:rsidP="00FF6DF1">
      <w:pPr>
        <w:pStyle w:val="AParaNumbering"/>
        <w:rPr>
          <w:lang w:val="fr-CA"/>
        </w:rPr>
      </w:pPr>
      <w:r>
        <w:rPr>
          <w:lang w:val="fr-CA"/>
        </w:rPr>
        <w:t xml:space="preserve">Enfin, le quatrième pilier de l’argument du juge </w:t>
      </w:r>
      <w:r w:rsidR="00E543FA" w:rsidRPr="005C7CAC">
        <w:rPr>
          <w:lang w:val="fr-CA"/>
        </w:rPr>
        <w:t>McLeod</w:t>
      </w:r>
      <w:r>
        <w:rPr>
          <w:lang w:val="fr-CA"/>
        </w:rPr>
        <w:t xml:space="preserve"> est que la valeur probante de l’élément de preuve est minime. </w:t>
      </w:r>
      <w:r w:rsidR="00566F6D">
        <w:rPr>
          <w:lang w:val="fr-CA"/>
        </w:rPr>
        <w:t xml:space="preserve">L’avis d’audience date de février </w:t>
      </w:r>
      <w:r w:rsidR="008A22DF" w:rsidRPr="005C7CAC">
        <w:rPr>
          <w:lang w:val="fr-CA"/>
        </w:rPr>
        <w:t>2020</w:t>
      </w:r>
      <w:r w:rsidR="00F3012E" w:rsidRPr="005C7CAC">
        <w:rPr>
          <w:lang w:val="fr-CA"/>
        </w:rPr>
        <w:t xml:space="preserve">, </w:t>
      </w:r>
      <w:r w:rsidR="00566F6D">
        <w:rPr>
          <w:lang w:val="fr-CA"/>
        </w:rPr>
        <w:t xml:space="preserve">ce qui signifie qu’une enquête préliminaire a eu lieu et que la tenue d’une audience a été ordonnée. L’avocat chargé de la présentation n’a obtenu l’enregistrement audio que des mois plus tard, en juin </w:t>
      </w:r>
      <w:r w:rsidR="008A22DF" w:rsidRPr="005C7CAC">
        <w:rPr>
          <w:lang w:val="fr-CA"/>
        </w:rPr>
        <w:t xml:space="preserve">2020. </w:t>
      </w:r>
      <w:r w:rsidR="00566F6D">
        <w:rPr>
          <w:lang w:val="fr-CA"/>
        </w:rPr>
        <w:t>Les arguments de l’avocat chargé de la présentation peuvent très bien aller de l’avant sans la preuve de l’enregistrement audio, dont la pertinence présumée découle des conclusions à tirer d’une conversation manipulée</w:t>
      </w:r>
      <w:r w:rsidR="00F3012E" w:rsidRPr="005C7CAC">
        <w:rPr>
          <w:lang w:val="fr-CA"/>
        </w:rPr>
        <w:t>.</w:t>
      </w:r>
      <w:r w:rsidR="00041A3A" w:rsidRPr="005C7CAC">
        <w:rPr>
          <w:lang w:val="fr-CA"/>
        </w:rPr>
        <w:t xml:space="preserve"> </w:t>
      </w:r>
      <w:r w:rsidR="00566F6D">
        <w:rPr>
          <w:lang w:val="fr-CA"/>
        </w:rPr>
        <w:t>Au mieux, l’enregistrement audio ne fournit que des preuves circonstancielles qui sont ternies par des soupçons de tromperie et un manque de fiabilité possible.</w:t>
      </w:r>
      <w:r w:rsidR="00F3012E" w:rsidRPr="005C7CAC">
        <w:rPr>
          <w:lang w:val="fr-CA"/>
        </w:rPr>
        <w:t xml:space="preserve"> </w:t>
      </w:r>
      <w:r w:rsidR="008A22DF" w:rsidRPr="005C7CAC">
        <w:rPr>
          <w:lang w:val="fr-CA"/>
        </w:rPr>
        <w:t xml:space="preserve"> </w:t>
      </w:r>
    </w:p>
    <w:p w14:paraId="7A9B27F4" w14:textId="2E863499" w:rsidR="00D64A59" w:rsidRPr="005C7CAC" w:rsidRDefault="00566F6D" w:rsidP="00FF6DF1">
      <w:pPr>
        <w:pStyle w:val="AParaNumbering"/>
        <w:rPr>
          <w:lang w:val="fr-CA"/>
        </w:rPr>
      </w:pPr>
      <w:r>
        <w:rPr>
          <w:lang w:val="fr-CA"/>
        </w:rPr>
        <w:t>Nous n’avons pas accepté ces arguments pour plusieurs raisons</w:t>
      </w:r>
      <w:r w:rsidR="00D64A59" w:rsidRPr="005C7CAC">
        <w:rPr>
          <w:lang w:val="fr-CA"/>
        </w:rPr>
        <w:t>.</w:t>
      </w:r>
    </w:p>
    <w:p w14:paraId="17EFDFA4" w14:textId="78A00CB7" w:rsidR="00D64A59" w:rsidRPr="005C7CAC" w:rsidRDefault="00566F6D" w:rsidP="00FF6DF1">
      <w:pPr>
        <w:pStyle w:val="AParaNumbering"/>
        <w:rPr>
          <w:lang w:val="fr-CA"/>
        </w:rPr>
      </w:pPr>
      <w:r>
        <w:rPr>
          <w:lang w:val="fr-CA"/>
        </w:rPr>
        <w:t>Premièrement, nous relevons que la preuve n’a pas été obtenue illégalement</w:t>
      </w:r>
      <w:r w:rsidR="00BB48A8" w:rsidRPr="005C7CAC">
        <w:rPr>
          <w:rStyle w:val="FootnoteReference"/>
          <w:rFonts w:cs="Arial"/>
          <w:szCs w:val="26"/>
          <w:lang w:val="fr-CA"/>
        </w:rPr>
        <w:footnoteReference w:id="3"/>
      </w:r>
      <w:r>
        <w:rPr>
          <w:lang w:val="fr-CA"/>
        </w:rPr>
        <w:t>,</w:t>
      </w:r>
      <w:r w:rsidR="00D64A59" w:rsidRPr="005C7CAC">
        <w:rPr>
          <w:lang w:val="fr-CA"/>
        </w:rPr>
        <w:t xml:space="preserve"> </w:t>
      </w:r>
      <w:r>
        <w:rPr>
          <w:lang w:val="fr-CA"/>
        </w:rPr>
        <w:t xml:space="preserve">que les tribunaux ont admis en preuve des enregistrements </w:t>
      </w:r>
      <w:r>
        <w:rPr>
          <w:lang w:val="fr-CA"/>
        </w:rPr>
        <w:lastRenderedPageBreak/>
        <w:t>clandestins dans diverses circonstances</w:t>
      </w:r>
      <w:r w:rsidR="00460FC2" w:rsidRPr="005C7CAC">
        <w:rPr>
          <w:rStyle w:val="FootnoteReference"/>
          <w:rFonts w:cs="Arial"/>
          <w:szCs w:val="26"/>
          <w:lang w:val="fr-CA"/>
        </w:rPr>
        <w:footnoteReference w:id="4"/>
      </w:r>
      <w:r>
        <w:rPr>
          <w:lang w:val="fr-CA"/>
        </w:rPr>
        <w:t xml:space="preserve"> et que la situation en question n’entre dans aucune des catégories où, à ce jour, les tribunaux judiciaires ou décisionnels ont exclu ce genre de preuve </w:t>
      </w:r>
      <w:r w:rsidR="00A42062" w:rsidRPr="005C7CAC">
        <w:rPr>
          <w:lang w:val="fr-CA"/>
        </w:rPr>
        <w:t>(</w:t>
      </w:r>
      <w:r>
        <w:rPr>
          <w:lang w:val="fr-CA"/>
        </w:rPr>
        <w:t>par exemple, des cas de droit de la famille, comme l’illustre</w:t>
      </w:r>
      <w:r w:rsidR="00910F5D">
        <w:rPr>
          <w:lang w:val="fr-CA"/>
        </w:rPr>
        <w:t>nt</w:t>
      </w:r>
      <w:r>
        <w:rPr>
          <w:lang w:val="fr-CA"/>
        </w:rPr>
        <w:t xml:space="preserve"> les sources citées par le juge </w:t>
      </w:r>
      <w:r w:rsidR="00180318" w:rsidRPr="005C7CAC">
        <w:rPr>
          <w:lang w:val="fr-CA"/>
        </w:rPr>
        <w:t>McLeod</w:t>
      </w:r>
      <w:r>
        <w:rPr>
          <w:lang w:val="fr-CA"/>
        </w:rPr>
        <w:t xml:space="preserve">, et des affaires mettant en jeu </w:t>
      </w:r>
      <w:r w:rsidR="00520FA1">
        <w:rPr>
          <w:lang w:val="fr-CA"/>
        </w:rPr>
        <w:t>une violation du secret du délibéré</w:t>
      </w:r>
      <w:r w:rsidR="000F41F6" w:rsidRPr="005C7CAC">
        <w:rPr>
          <w:lang w:val="fr-CA"/>
        </w:rPr>
        <w:t>,</w:t>
      </w:r>
      <w:r w:rsidR="00520FA1">
        <w:rPr>
          <w:lang w:val="fr-CA"/>
        </w:rPr>
        <w:t xml:space="preserve"> p. ex.,</w:t>
      </w:r>
      <w:r w:rsidR="000F41F6" w:rsidRPr="005C7CAC">
        <w:rPr>
          <w:lang w:val="fr-CA"/>
        </w:rPr>
        <w:t xml:space="preserve"> </w:t>
      </w:r>
      <w:r w:rsidR="000F41F6" w:rsidRPr="005C7CAC">
        <w:rPr>
          <w:i/>
          <w:iCs/>
          <w:lang w:val="fr-CA"/>
        </w:rPr>
        <w:t>Taylor v. WSIB,</w:t>
      </w:r>
      <w:r w:rsidR="000F41F6" w:rsidRPr="005C7CAC">
        <w:rPr>
          <w:lang w:val="fr-CA"/>
        </w:rPr>
        <w:t xml:space="preserve"> 2017 ONSC 1223</w:t>
      </w:r>
      <w:r w:rsidR="00C356F2" w:rsidRPr="005C7CAC">
        <w:rPr>
          <w:lang w:val="fr-CA"/>
        </w:rPr>
        <w:t>, a</w:t>
      </w:r>
      <w:r w:rsidR="00520FA1">
        <w:rPr>
          <w:lang w:val="fr-CA"/>
        </w:rPr>
        <w:t>ux</w:t>
      </w:r>
      <w:r w:rsidR="00C356F2" w:rsidRPr="005C7CAC">
        <w:rPr>
          <w:lang w:val="fr-CA"/>
        </w:rPr>
        <w:t xml:space="preserve"> paras. 61-64, </w:t>
      </w:r>
      <w:r w:rsidR="00520FA1">
        <w:rPr>
          <w:lang w:val="fr-CA"/>
        </w:rPr>
        <w:t>conf.</w:t>
      </w:r>
      <w:r w:rsidR="00C356F2" w:rsidRPr="005C7CAC">
        <w:rPr>
          <w:lang w:val="fr-CA"/>
        </w:rPr>
        <w:t xml:space="preserve"> 2018 ONCA 108, a</w:t>
      </w:r>
      <w:r w:rsidR="00520FA1">
        <w:rPr>
          <w:lang w:val="fr-CA"/>
        </w:rPr>
        <w:t>u</w:t>
      </w:r>
      <w:r w:rsidR="00C356F2" w:rsidRPr="005C7CAC">
        <w:rPr>
          <w:lang w:val="fr-CA"/>
        </w:rPr>
        <w:t xml:space="preserve"> para. 19, </w:t>
      </w:r>
      <w:r w:rsidR="00520FA1">
        <w:rPr>
          <w:lang w:val="fr-CA"/>
        </w:rPr>
        <w:t>autorisation d’interjeter appel à la CSC rejetée</w:t>
      </w:r>
      <w:r w:rsidR="00C356F2" w:rsidRPr="005C7CAC">
        <w:rPr>
          <w:lang w:val="fr-CA"/>
        </w:rPr>
        <w:t>, 38980 (</w:t>
      </w:r>
      <w:r w:rsidR="00910F5D">
        <w:rPr>
          <w:lang w:val="fr-CA"/>
        </w:rPr>
        <w:t xml:space="preserve">16 avril </w:t>
      </w:r>
      <w:r w:rsidR="00C356F2" w:rsidRPr="005C7CAC">
        <w:rPr>
          <w:lang w:val="fr-CA"/>
        </w:rPr>
        <w:t>2020)</w:t>
      </w:r>
      <w:r w:rsidR="00BE1610" w:rsidRPr="005C7CAC">
        <w:rPr>
          <w:lang w:val="fr-CA"/>
        </w:rPr>
        <w:t>)</w:t>
      </w:r>
      <w:r w:rsidR="00D64A59" w:rsidRPr="005C7CAC">
        <w:rPr>
          <w:lang w:val="fr-CA"/>
        </w:rPr>
        <w:t xml:space="preserve">. </w:t>
      </w:r>
    </w:p>
    <w:p w14:paraId="555460E2" w14:textId="2EC099D4" w:rsidR="00D64A59" w:rsidRPr="005C7CAC" w:rsidRDefault="00520FA1" w:rsidP="00FF6DF1">
      <w:pPr>
        <w:pStyle w:val="AParaNumbering"/>
        <w:rPr>
          <w:lang w:val="fr-CA"/>
        </w:rPr>
      </w:pPr>
      <w:r>
        <w:rPr>
          <w:lang w:val="fr-CA"/>
        </w:rPr>
        <w:t xml:space="preserve">Deuxièmement, nous observons que l’enregistrement audio, qui dure environ </w:t>
      </w:r>
      <w:r w:rsidR="00CF7067" w:rsidRPr="005C7CAC">
        <w:rPr>
          <w:lang w:val="fr-CA"/>
        </w:rPr>
        <w:t>2 h</w:t>
      </w:r>
      <w:r>
        <w:rPr>
          <w:lang w:val="fr-CA"/>
        </w:rPr>
        <w:t>eures et</w:t>
      </w:r>
      <w:r w:rsidR="00CF7067" w:rsidRPr="005C7CAC">
        <w:rPr>
          <w:lang w:val="fr-CA"/>
        </w:rPr>
        <w:t xml:space="preserve"> 40 minutes</w:t>
      </w:r>
      <w:r>
        <w:rPr>
          <w:lang w:val="fr-CA"/>
        </w:rPr>
        <w:t xml:space="preserve">, constitue un élément de preuve réel </w:t>
      </w:r>
      <w:r w:rsidR="00CF7067" w:rsidRPr="005C7CAC">
        <w:rPr>
          <w:lang w:val="fr-CA"/>
        </w:rPr>
        <w:t xml:space="preserve">– </w:t>
      </w:r>
      <w:r>
        <w:rPr>
          <w:lang w:val="fr-CA"/>
        </w:rPr>
        <w:t>et donc la meilleure preuve</w:t>
      </w:r>
      <w:r w:rsidR="00CF7067" w:rsidRPr="005C7CAC">
        <w:rPr>
          <w:lang w:val="fr-CA"/>
        </w:rPr>
        <w:t xml:space="preserve"> – </w:t>
      </w:r>
      <w:r>
        <w:rPr>
          <w:lang w:val="fr-CA"/>
        </w:rPr>
        <w:t xml:space="preserve">de la conversation qui a eu lieu entre la professeure </w:t>
      </w:r>
      <w:proofErr w:type="spellStart"/>
      <w:r w:rsidR="00CF7067" w:rsidRPr="005C7CAC">
        <w:rPr>
          <w:lang w:val="fr-CA"/>
        </w:rPr>
        <w:t>Abdillahi</w:t>
      </w:r>
      <w:proofErr w:type="spellEnd"/>
      <w:r w:rsidR="00CF7067" w:rsidRPr="005C7CAC">
        <w:rPr>
          <w:lang w:val="fr-CA"/>
        </w:rPr>
        <w:t xml:space="preserve"> </w:t>
      </w:r>
      <w:r>
        <w:rPr>
          <w:lang w:val="fr-CA"/>
        </w:rPr>
        <w:t xml:space="preserve">et le juge </w:t>
      </w:r>
      <w:r w:rsidR="00CF7067" w:rsidRPr="005C7CAC">
        <w:rPr>
          <w:lang w:val="fr-CA"/>
        </w:rPr>
        <w:t xml:space="preserve">McLeod </w:t>
      </w:r>
      <w:r>
        <w:rPr>
          <w:lang w:val="fr-CA"/>
        </w:rPr>
        <w:t xml:space="preserve">le 19 février </w:t>
      </w:r>
      <w:r w:rsidR="00CF7067" w:rsidRPr="005C7CAC">
        <w:rPr>
          <w:lang w:val="fr-CA"/>
        </w:rPr>
        <w:t xml:space="preserve">2018. </w:t>
      </w:r>
      <w:r>
        <w:rPr>
          <w:lang w:val="fr-CA"/>
        </w:rPr>
        <w:t xml:space="preserve">Bien qu’ils n’aient pas été prononcés à l’audience, les propos du juge </w:t>
      </w:r>
      <w:r w:rsidR="00CF7067" w:rsidRPr="005C7CAC">
        <w:rPr>
          <w:lang w:val="fr-CA"/>
        </w:rPr>
        <w:t>McLeod</w:t>
      </w:r>
      <w:r>
        <w:rPr>
          <w:lang w:val="fr-CA"/>
        </w:rPr>
        <w:t xml:space="preserve"> de ce jour sont admissibles en raison de la véracité de leur contenu, </w:t>
      </w:r>
      <w:bookmarkStart w:id="1" w:name="_Hlk60231910"/>
      <w:r w:rsidRPr="00520FA1">
        <w:rPr>
          <w:lang w:val="fr-CA"/>
        </w:rPr>
        <w:t xml:space="preserve">et, à ce titre, </w:t>
      </w:r>
      <w:r>
        <w:rPr>
          <w:lang w:val="fr-CA"/>
        </w:rPr>
        <w:t>ils</w:t>
      </w:r>
      <w:r w:rsidRPr="00520FA1">
        <w:rPr>
          <w:lang w:val="fr-CA"/>
        </w:rPr>
        <w:t xml:space="preserve"> relèvent d'une exception à la règle du ouï-dire</w:t>
      </w:r>
      <w:r w:rsidR="00CF7067" w:rsidRPr="005C7CAC">
        <w:rPr>
          <w:lang w:val="fr-CA"/>
        </w:rPr>
        <w:t xml:space="preserve">. </w:t>
      </w:r>
      <w:bookmarkEnd w:id="1"/>
    </w:p>
    <w:p w14:paraId="3285A064" w14:textId="3D9871EF" w:rsidR="0095610E" w:rsidRPr="005C7CAC" w:rsidRDefault="00CF7067" w:rsidP="00FF6DF1">
      <w:pPr>
        <w:pStyle w:val="AParaNumbering"/>
        <w:rPr>
          <w:lang w:val="fr-CA"/>
        </w:rPr>
      </w:pPr>
      <w:r w:rsidRPr="005C7CAC">
        <w:rPr>
          <w:lang w:val="fr-CA"/>
        </w:rPr>
        <w:t>T</w:t>
      </w:r>
      <w:r w:rsidR="00520FA1">
        <w:rPr>
          <w:lang w:val="fr-CA"/>
        </w:rPr>
        <w:t xml:space="preserve">roisièmement, même si on accepte que la professeure </w:t>
      </w:r>
      <w:proofErr w:type="spellStart"/>
      <w:r w:rsidRPr="005C7CAC">
        <w:rPr>
          <w:lang w:val="fr-CA"/>
        </w:rPr>
        <w:t>Abdillahi</w:t>
      </w:r>
      <w:proofErr w:type="spellEnd"/>
      <w:r w:rsidRPr="005C7CAC">
        <w:rPr>
          <w:lang w:val="fr-CA"/>
        </w:rPr>
        <w:t xml:space="preserve"> </w:t>
      </w:r>
      <w:r w:rsidR="00F549C5">
        <w:rPr>
          <w:lang w:val="fr-CA"/>
        </w:rPr>
        <w:t>eû</w:t>
      </w:r>
      <w:r w:rsidR="00520FA1">
        <w:rPr>
          <w:lang w:val="fr-CA"/>
        </w:rPr>
        <w:t>t un objectif personnel pour participer à la conversation et qu’il y a</w:t>
      </w:r>
      <w:r w:rsidR="00F549C5">
        <w:rPr>
          <w:lang w:val="fr-CA"/>
        </w:rPr>
        <w:t>it</w:t>
      </w:r>
      <w:r w:rsidR="00520FA1">
        <w:rPr>
          <w:lang w:val="fr-CA"/>
        </w:rPr>
        <w:t xml:space="preserve"> des vides et des passages inaudibles dans l’enregistrement, sauf dans les cas où un tribunal judiciaire ou décisionnel exercerait son pouvoir discrétionnaire résiduel d’exclure </w:t>
      </w:r>
      <w:r w:rsidR="00520FA1">
        <w:rPr>
          <w:lang w:val="fr-CA"/>
        </w:rPr>
        <w:lastRenderedPageBreak/>
        <w:t xml:space="preserve">des éléments de preuve, </w:t>
      </w:r>
      <w:r w:rsidR="00910F5D">
        <w:rPr>
          <w:lang w:val="fr-CA"/>
        </w:rPr>
        <w:t>ces aspects concernent le</w:t>
      </w:r>
      <w:r w:rsidR="00520FA1">
        <w:rPr>
          <w:lang w:val="fr-CA"/>
        </w:rPr>
        <w:t xml:space="preserve"> poids de l’élément de preuve et pas son admissibilité </w:t>
      </w:r>
      <w:r w:rsidR="00D34102" w:rsidRPr="005C7CAC">
        <w:rPr>
          <w:lang w:val="fr-CA"/>
        </w:rPr>
        <w:t xml:space="preserve">: </w:t>
      </w:r>
      <w:r w:rsidR="00D34102" w:rsidRPr="005C7CAC">
        <w:rPr>
          <w:i/>
          <w:iCs/>
          <w:lang w:val="fr-CA"/>
        </w:rPr>
        <w:t>R. v. Parsons</w:t>
      </w:r>
      <w:r w:rsidR="00331317" w:rsidRPr="005C7CAC">
        <w:rPr>
          <w:lang w:val="fr-CA"/>
        </w:rPr>
        <w:t>, (1977) 17 O.R. (2</w:t>
      </w:r>
      <w:r w:rsidR="00063970" w:rsidRPr="005C7CAC">
        <w:rPr>
          <w:lang w:val="fr-CA"/>
        </w:rPr>
        <w:t>d) 465 (C.A.)</w:t>
      </w:r>
      <w:r w:rsidR="00F57829" w:rsidRPr="005C7CAC">
        <w:rPr>
          <w:lang w:val="fr-CA"/>
        </w:rPr>
        <w:t xml:space="preserve">, </w:t>
      </w:r>
      <w:r w:rsidR="00520FA1">
        <w:rPr>
          <w:lang w:val="fr-CA"/>
        </w:rPr>
        <w:t>conf.</w:t>
      </w:r>
      <w:r w:rsidR="00F57829" w:rsidRPr="005C7CAC">
        <w:rPr>
          <w:lang w:val="fr-CA"/>
        </w:rPr>
        <w:t xml:space="preserve"> </w:t>
      </w:r>
      <w:r w:rsidR="00D91D78" w:rsidRPr="005C7CAC">
        <w:rPr>
          <w:i/>
          <w:iCs/>
          <w:lang w:val="fr-CA"/>
        </w:rPr>
        <w:t xml:space="preserve">Charette </w:t>
      </w:r>
      <w:r w:rsidR="00520FA1">
        <w:rPr>
          <w:i/>
          <w:iCs/>
          <w:lang w:val="fr-CA"/>
        </w:rPr>
        <w:t>c</w:t>
      </w:r>
      <w:r w:rsidR="00D91D78" w:rsidRPr="005C7CAC">
        <w:rPr>
          <w:i/>
          <w:iCs/>
          <w:lang w:val="fr-CA"/>
        </w:rPr>
        <w:t xml:space="preserve">. R. </w:t>
      </w:r>
      <w:r w:rsidR="00D91D78" w:rsidRPr="005C7CAC">
        <w:rPr>
          <w:lang w:val="fr-CA"/>
        </w:rPr>
        <w:t xml:space="preserve">[1980] 1 </w:t>
      </w:r>
      <w:r w:rsidR="00520FA1">
        <w:rPr>
          <w:lang w:val="fr-CA"/>
        </w:rPr>
        <w:t>RCS</w:t>
      </w:r>
      <w:r w:rsidR="00D91D78" w:rsidRPr="005C7CAC">
        <w:rPr>
          <w:lang w:val="fr-CA"/>
        </w:rPr>
        <w:t xml:space="preserve"> 785</w:t>
      </w:r>
      <w:r w:rsidRPr="005C7CAC">
        <w:rPr>
          <w:lang w:val="fr-CA"/>
        </w:rPr>
        <w:t xml:space="preserve">. </w:t>
      </w:r>
      <w:r w:rsidR="00520FA1">
        <w:rPr>
          <w:lang w:val="fr-CA"/>
        </w:rPr>
        <w:t xml:space="preserve">En l’espèce, bien qu’incomplet, l’enregistrement audio constitue un enregistrement presque complet d’une longue conversation dans laquelle le juge </w:t>
      </w:r>
      <w:r w:rsidRPr="005C7CAC">
        <w:rPr>
          <w:lang w:val="fr-CA"/>
        </w:rPr>
        <w:t>McLeod disc</w:t>
      </w:r>
      <w:r w:rsidR="00520FA1">
        <w:rPr>
          <w:lang w:val="fr-CA"/>
        </w:rPr>
        <w:t>ute, entre autre</w:t>
      </w:r>
      <w:r w:rsidR="00B1472B">
        <w:rPr>
          <w:lang w:val="fr-CA"/>
        </w:rPr>
        <w:t>s</w:t>
      </w:r>
      <w:r w:rsidR="00520FA1">
        <w:rPr>
          <w:lang w:val="fr-CA"/>
        </w:rPr>
        <w:t xml:space="preserve">, de la possibilité que la FCN envoie une lettre au ministre au sujet de l’affaire </w:t>
      </w:r>
      <w:r w:rsidR="00AA58E5" w:rsidRPr="005C7CAC">
        <w:rPr>
          <w:lang w:val="fr-CA"/>
        </w:rPr>
        <w:t xml:space="preserve">Abdi case </w:t>
      </w:r>
      <w:r w:rsidR="00520FA1">
        <w:rPr>
          <w:lang w:val="fr-CA"/>
        </w:rPr>
        <w:t xml:space="preserve">et que la professeure </w:t>
      </w:r>
      <w:proofErr w:type="spellStart"/>
      <w:r w:rsidR="00AA58E5" w:rsidRPr="005C7CAC">
        <w:rPr>
          <w:lang w:val="fr-CA"/>
        </w:rPr>
        <w:t>Abdillahi</w:t>
      </w:r>
      <w:proofErr w:type="spellEnd"/>
      <w:r w:rsidR="00AA58E5" w:rsidRPr="005C7CAC">
        <w:rPr>
          <w:lang w:val="fr-CA"/>
        </w:rPr>
        <w:t xml:space="preserve"> contact</w:t>
      </w:r>
      <w:r w:rsidR="00520FA1">
        <w:rPr>
          <w:lang w:val="fr-CA"/>
        </w:rPr>
        <w:t xml:space="preserve">e l’avocat de </w:t>
      </w:r>
      <w:r w:rsidR="00AA58E5" w:rsidRPr="005C7CAC">
        <w:rPr>
          <w:lang w:val="fr-CA"/>
        </w:rPr>
        <w:t>M. Abdi</w:t>
      </w:r>
      <w:r w:rsidR="00520FA1">
        <w:rPr>
          <w:lang w:val="fr-CA"/>
        </w:rPr>
        <w:t xml:space="preserve"> afin d’obtenir certains renseignements</w:t>
      </w:r>
      <w:r w:rsidR="00AA58E5" w:rsidRPr="005C7CAC">
        <w:rPr>
          <w:lang w:val="fr-CA"/>
        </w:rPr>
        <w:t xml:space="preserve">. </w:t>
      </w:r>
      <w:r w:rsidR="00910F5D">
        <w:rPr>
          <w:lang w:val="fr-CA"/>
        </w:rPr>
        <w:t>La question de savoir si</w:t>
      </w:r>
      <w:r w:rsidR="00B1472B">
        <w:rPr>
          <w:lang w:val="fr-CA"/>
        </w:rPr>
        <w:t xml:space="preserve"> la discussion concerne la lettre qui a été réellement envoyée</w:t>
      </w:r>
      <w:r w:rsidR="00BB242A">
        <w:rPr>
          <w:lang w:val="fr-CA"/>
        </w:rPr>
        <w:t xml:space="preserve"> et</w:t>
      </w:r>
      <w:r w:rsidR="00B1472B">
        <w:rPr>
          <w:lang w:val="fr-CA"/>
        </w:rPr>
        <w:t xml:space="preserve"> si et pourquoi le juge </w:t>
      </w:r>
      <w:r w:rsidR="00AD7B37" w:rsidRPr="005C7CAC">
        <w:rPr>
          <w:lang w:val="fr-CA"/>
        </w:rPr>
        <w:t xml:space="preserve">McLeod </w:t>
      </w:r>
      <w:r w:rsidR="00B1472B">
        <w:rPr>
          <w:lang w:val="fr-CA"/>
        </w:rPr>
        <w:t xml:space="preserve">a communiqué des renseignements obtenus de l’avocat de </w:t>
      </w:r>
      <w:r w:rsidR="00CE00C1" w:rsidRPr="005C7CAC">
        <w:rPr>
          <w:lang w:val="fr-CA"/>
        </w:rPr>
        <w:t>M. Abdi</w:t>
      </w:r>
      <w:r w:rsidR="00B1472B">
        <w:rPr>
          <w:lang w:val="fr-CA"/>
        </w:rPr>
        <w:t xml:space="preserve"> à la FCN</w:t>
      </w:r>
      <w:r w:rsidR="00BB242A">
        <w:rPr>
          <w:lang w:val="fr-CA"/>
        </w:rPr>
        <w:t>,</w:t>
      </w:r>
      <w:r w:rsidR="00B1472B">
        <w:rPr>
          <w:lang w:val="fr-CA"/>
        </w:rPr>
        <w:t xml:space="preserve"> et </w:t>
      </w:r>
      <w:r w:rsidR="00910F5D">
        <w:rPr>
          <w:lang w:val="fr-CA"/>
        </w:rPr>
        <w:t xml:space="preserve">quel est </w:t>
      </w:r>
      <w:r w:rsidR="00B1472B">
        <w:rPr>
          <w:lang w:val="fr-CA"/>
        </w:rPr>
        <w:t xml:space="preserve">le rapport entre cette conduite et son témoignage à l’audience sur la première plainte sont des </w:t>
      </w:r>
      <w:r w:rsidR="00910F5D">
        <w:rPr>
          <w:lang w:val="fr-CA"/>
        </w:rPr>
        <w:t>points</w:t>
      </w:r>
      <w:r w:rsidR="00B1472B">
        <w:rPr>
          <w:lang w:val="fr-CA"/>
        </w:rPr>
        <w:t xml:space="preserve"> que le juge </w:t>
      </w:r>
      <w:r w:rsidR="00AA58E5" w:rsidRPr="005C7CAC">
        <w:rPr>
          <w:lang w:val="fr-CA"/>
        </w:rPr>
        <w:t xml:space="preserve">McLeod </w:t>
      </w:r>
      <w:r w:rsidR="00BB242A">
        <w:rPr>
          <w:lang w:val="fr-CA"/>
        </w:rPr>
        <w:t xml:space="preserve">peut expliquer </w:t>
      </w:r>
      <w:r w:rsidR="00B1472B">
        <w:rPr>
          <w:lang w:val="fr-CA"/>
        </w:rPr>
        <w:t>dans son témoignage. On peut dire la même chose de ce qu</w:t>
      </w:r>
      <w:r w:rsidR="00BB242A">
        <w:rPr>
          <w:lang w:val="fr-CA"/>
        </w:rPr>
        <w:t>’il</w:t>
      </w:r>
      <w:r w:rsidR="00B1472B">
        <w:rPr>
          <w:lang w:val="fr-CA"/>
        </w:rPr>
        <w:t xml:space="preserve"> s’est passé pendant les vides et les passages inaudibles de l’enregistrement</w:t>
      </w:r>
      <w:r w:rsidR="00AA58E5" w:rsidRPr="005C7CAC">
        <w:rPr>
          <w:lang w:val="fr-CA"/>
        </w:rPr>
        <w:t>.</w:t>
      </w:r>
      <w:r w:rsidR="00AD7B37" w:rsidRPr="005C7CAC">
        <w:rPr>
          <w:lang w:val="fr-CA"/>
        </w:rPr>
        <w:t xml:space="preserve"> </w:t>
      </w:r>
    </w:p>
    <w:p w14:paraId="7147E83E" w14:textId="0D4162EE" w:rsidR="00CF7067" w:rsidRPr="005C7CAC" w:rsidRDefault="00B1472B" w:rsidP="00FF6DF1">
      <w:pPr>
        <w:pStyle w:val="AParaNumbering"/>
        <w:rPr>
          <w:lang w:val="fr-CA"/>
        </w:rPr>
      </w:pPr>
      <w:r>
        <w:rPr>
          <w:lang w:val="fr-CA"/>
        </w:rPr>
        <w:t xml:space="preserve">Selon les faits de l’affaire, nous concluons que les problèmes que le juge </w:t>
      </w:r>
      <w:r w:rsidR="00AD7B37" w:rsidRPr="005C7CAC">
        <w:rPr>
          <w:lang w:val="fr-CA"/>
        </w:rPr>
        <w:t xml:space="preserve">McLeod </w:t>
      </w:r>
      <w:r>
        <w:rPr>
          <w:lang w:val="fr-CA"/>
        </w:rPr>
        <w:t>a invoqués pour ternir la fiabilité de l’enregistrement ne sont pas importants au point de priver l’enregistrement d’une valeur probante à un niveau qui le rendrait inadmissible</w:t>
      </w:r>
      <w:r w:rsidR="00216D50" w:rsidRPr="005C7CAC">
        <w:rPr>
          <w:lang w:val="fr-CA"/>
        </w:rPr>
        <w:t>.</w:t>
      </w:r>
    </w:p>
    <w:p w14:paraId="237A97C7" w14:textId="41255197" w:rsidR="004D4AD3" w:rsidRPr="005C7CAC" w:rsidRDefault="00B1472B" w:rsidP="00FF6DF1">
      <w:pPr>
        <w:pStyle w:val="AParaNumbering"/>
        <w:rPr>
          <w:lang w:val="fr-CA"/>
        </w:rPr>
      </w:pPr>
      <w:r>
        <w:rPr>
          <w:lang w:val="fr-CA"/>
        </w:rPr>
        <w:t xml:space="preserve">Quatrièmement, on ne comprend pas bien de l’enregistrement pourquoi le juge </w:t>
      </w:r>
      <w:r w:rsidR="00B274E4" w:rsidRPr="005C7CAC">
        <w:rPr>
          <w:lang w:val="fr-CA"/>
        </w:rPr>
        <w:t>McLeod a</w:t>
      </w:r>
      <w:r>
        <w:rPr>
          <w:lang w:val="fr-CA"/>
        </w:rPr>
        <w:t xml:space="preserve"> demandé que la conversation demeure « officieuse</w:t>
      </w:r>
      <w:r w:rsidR="00BB242A">
        <w:rPr>
          <w:lang w:val="fr-CA"/>
        </w:rPr>
        <w:t> »</w:t>
      </w:r>
      <w:r>
        <w:rPr>
          <w:lang w:val="fr-CA"/>
        </w:rPr>
        <w:t xml:space="preserve"> ou précisément ce que cet</w:t>
      </w:r>
      <w:r w:rsidR="00BB242A">
        <w:rPr>
          <w:lang w:val="fr-CA"/>
        </w:rPr>
        <w:t>te garantie</w:t>
      </w:r>
      <w:r>
        <w:rPr>
          <w:lang w:val="fr-CA"/>
        </w:rPr>
        <w:t xml:space="preserve"> signifiait. Aucun renseignement personnel n’est mentionné pendant la conversation. De plus, notre comité d’audience détient des </w:t>
      </w:r>
      <w:r>
        <w:rPr>
          <w:lang w:val="fr-CA"/>
        </w:rPr>
        <w:lastRenderedPageBreak/>
        <w:t xml:space="preserve">preuves indiquant que le juge </w:t>
      </w:r>
      <w:r w:rsidR="00C23CB2" w:rsidRPr="005C7CAC">
        <w:rPr>
          <w:lang w:val="fr-CA"/>
        </w:rPr>
        <w:t xml:space="preserve">McLeod </w:t>
      </w:r>
      <w:r>
        <w:rPr>
          <w:lang w:val="fr-CA"/>
        </w:rPr>
        <w:t xml:space="preserve">n’a pas maintenu confidentiel le fait que la conversation a eu lieu </w:t>
      </w:r>
      <w:r w:rsidR="00BB242A">
        <w:rPr>
          <w:lang w:val="fr-CA"/>
        </w:rPr>
        <w:t xml:space="preserve">et il se peut qu’il n’ait même pas maintenu confidentiel </w:t>
      </w:r>
      <w:r>
        <w:rPr>
          <w:lang w:val="fr-CA"/>
        </w:rPr>
        <w:t xml:space="preserve">son contenu </w:t>
      </w:r>
      <w:r w:rsidR="00495D8B" w:rsidRPr="005C7CAC">
        <w:rPr>
          <w:lang w:val="fr-CA"/>
        </w:rPr>
        <w:t xml:space="preserve">: </w:t>
      </w:r>
      <w:r>
        <w:rPr>
          <w:lang w:val="fr-CA"/>
        </w:rPr>
        <w:t>voir le d</w:t>
      </w:r>
      <w:r w:rsidR="003F3A5C" w:rsidRPr="005C7CAC">
        <w:rPr>
          <w:lang w:val="fr-CA"/>
        </w:rPr>
        <w:t xml:space="preserve">ocument 66, </w:t>
      </w:r>
      <w:r w:rsidR="00BB242A">
        <w:rPr>
          <w:lang w:val="fr-CA"/>
        </w:rPr>
        <w:t xml:space="preserve">le </w:t>
      </w:r>
      <w:r>
        <w:rPr>
          <w:lang w:val="fr-CA"/>
        </w:rPr>
        <w:t>dossier conjoint de documents</w:t>
      </w:r>
      <w:r w:rsidR="003F3A5C" w:rsidRPr="005C7CAC">
        <w:rPr>
          <w:lang w:val="fr-CA"/>
        </w:rPr>
        <w:t xml:space="preserve">, </w:t>
      </w:r>
      <w:r w:rsidR="00B15598" w:rsidRPr="005C7CAC">
        <w:rPr>
          <w:lang w:val="fr-CA"/>
        </w:rPr>
        <w:t>p.443</w:t>
      </w:r>
      <w:r w:rsidR="001D4A7F" w:rsidRPr="005C7CAC">
        <w:rPr>
          <w:lang w:val="fr-CA"/>
        </w:rPr>
        <w:t xml:space="preserve">, </w:t>
      </w:r>
      <w:r>
        <w:rPr>
          <w:lang w:val="fr-CA"/>
        </w:rPr>
        <w:t xml:space="preserve">le message du 19 février 2018, à </w:t>
      </w:r>
      <w:r w:rsidR="00BB242A">
        <w:rPr>
          <w:lang w:val="fr-CA"/>
        </w:rPr>
        <w:t>18</w:t>
      </w:r>
      <w:r>
        <w:rPr>
          <w:lang w:val="fr-CA"/>
        </w:rPr>
        <w:t xml:space="preserve"> h </w:t>
      </w:r>
      <w:r w:rsidR="001D4A7F" w:rsidRPr="005C7CAC">
        <w:rPr>
          <w:lang w:val="fr-CA"/>
        </w:rPr>
        <w:t>32</w:t>
      </w:r>
      <w:r w:rsidR="00AB5BA7" w:rsidRPr="005C7CAC">
        <w:rPr>
          <w:lang w:val="fr-CA"/>
        </w:rPr>
        <w:t xml:space="preserve">. </w:t>
      </w:r>
      <w:r>
        <w:rPr>
          <w:lang w:val="fr-CA"/>
        </w:rPr>
        <w:t>Le juge </w:t>
      </w:r>
      <w:r w:rsidR="00AB5BA7" w:rsidRPr="005C7CAC">
        <w:rPr>
          <w:lang w:val="fr-CA"/>
        </w:rPr>
        <w:t xml:space="preserve">McLeod </w:t>
      </w:r>
      <w:r>
        <w:rPr>
          <w:lang w:val="fr-CA"/>
        </w:rPr>
        <w:t>aura la possibilité d’aborder ces questions dans son témoignage et son explication pourrait avoir un impact sur le poids à accorder à l’enregistrement audio</w:t>
      </w:r>
      <w:r w:rsidR="001775DE" w:rsidRPr="005C7CAC">
        <w:rPr>
          <w:lang w:val="fr-CA"/>
        </w:rPr>
        <w:t>.</w:t>
      </w:r>
    </w:p>
    <w:p w14:paraId="6D511E47" w14:textId="6C3F05A7" w:rsidR="00AD7B37" w:rsidRPr="005C7CAC" w:rsidRDefault="00B1472B" w:rsidP="00FF6DF1">
      <w:pPr>
        <w:pStyle w:val="AParaNumbering"/>
        <w:rPr>
          <w:lang w:val="fr-CA"/>
        </w:rPr>
      </w:pPr>
      <w:r>
        <w:rPr>
          <w:lang w:val="fr-CA"/>
        </w:rPr>
        <w:t xml:space="preserve">Cinquièmement, et ce qui est le plus important, la nature de l’instance exige que l’enregistrement audio soit admis en preuve. L’objet de l’audience est de nature réparatrice. Son objectif est de rétablir la confiance du public dans la magistrature et dans l’administration de la justice </w:t>
      </w:r>
      <w:r w:rsidR="00BC24F9" w:rsidRPr="005C7CAC">
        <w:rPr>
          <w:lang w:val="fr-CA"/>
        </w:rPr>
        <w:t xml:space="preserve">: </w:t>
      </w:r>
      <w:r>
        <w:rPr>
          <w:lang w:val="fr-CA"/>
        </w:rPr>
        <w:t>Conseil de la magistrature de l’Ontario</w:t>
      </w:r>
      <w:r w:rsidR="008711C9" w:rsidRPr="005C7CAC">
        <w:rPr>
          <w:lang w:val="fr-CA"/>
        </w:rPr>
        <w:t>,</w:t>
      </w:r>
      <w:r w:rsidR="00BC24F9" w:rsidRPr="005C7CAC">
        <w:rPr>
          <w:lang w:val="fr-CA"/>
        </w:rPr>
        <w:t xml:space="preserve"> </w:t>
      </w:r>
      <w:r>
        <w:rPr>
          <w:lang w:val="fr-CA"/>
        </w:rPr>
        <w:t>« Document des procédures »</w:t>
      </w:r>
      <w:r w:rsidR="008711C9" w:rsidRPr="005C7CAC">
        <w:rPr>
          <w:lang w:val="fr-CA"/>
        </w:rPr>
        <w:t xml:space="preserve"> (</w:t>
      </w:r>
      <w:r>
        <w:rPr>
          <w:lang w:val="fr-CA"/>
        </w:rPr>
        <w:t>s</w:t>
      </w:r>
      <w:r w:rsidR="008711C9" w:rsidRPr="005C7CAC">
        <w:rPr>
          <w:lang w:val="fr-CA"/>
        </w:rPr>
        <w:t>eptemb</w:t>
      </w:r>
      <w:r>
        <w:rPr>
          <w:lang w:val="fr-CA"/>
        </w:rPr>
        <w:t>re</w:t>
      </w:r>
      <w:r w:rsidR="008711C9" w:rsidRPr="005C7CAC">
        <w:rPr>
          <w:lang w:val="fr-CA"/>
        </w:rPr>
        <w:t xml:space="preserve"> 2020), </w:t>
      </w:r>
      <w:r>
        <w:rPr>
          <w:lang w:val="fr-CA"/>
        </w:rPr>
        <w:t xml:space="preserve">règles procédurales </w:t>
      </w:r>
      <w:r w:rsidR="008711C9" w:rsidRPr="005C7CAC">
        <w:rPr>
          <w:lang w:val="fr-CA"/>
        </w:rPr>
        <w:t xml:space="preserve">15.1 </w:t>
      </w:r>
      <w:r>
        <w:rPr>
          <w:lang w:val="fr-CA"/>
        </w:rPr>
        <w:t>et</w:t>
      </w:r>
      <w:r w:rsidR="008711C9" w:rsidRPr="005C7CAC">
        <w:rPr>
          <w:lang w:val="fr-CA"/>
        </w:rPr>
        <w:t xml:space="preserve"> 15.2</w:t>
      </w:r>
      <w:r w:rsidR="00A605D1" w:rsidRPr="005C7CAC">
        <w:rPr>
          <w:rStyle w:val="FootnoteReference"/>
          <w:rFonts w:cs="Arial"/>
          <w:szCs w:val="26"/>
          <w:lang w:val="fr-CA"/>
        </w:rPr>
        <w:footnoteReference w:id="5"/>
      </w:r>
      <w:r>
        <w:rPr>
          <w:lang w:val="fr-CA"/>
        </w:rPr>
        <w:t>.</w:t>
      </w:r>
      <w:r w:rsidR="00AA58E5" w:rsidRPr="005C7CAC">
        <w:rPr>
          <w:lang w:val="fr-CA"/>
        </w:rPr>
        <w:t xml:space="preserve"> </w:t>
      </w:r>
      <w:r w:rsidR="005E1DFA">
        <w:rPr>
          <w:lang w:val="fr-CA"/>
        </w:rPr>
        <w:t>Quelle que soit la provenance de l’enregistrement audio</w:t>
      </w:r>
      <w:r w:rsidR="00AA58E5" w:rsidRPr="005C7CAC">
        <w:rPr>
          <w:lang w:val="fr-CA"/>
        </w:rPr>
        <w:t>,</w:t>
      </w:r>
      <w:r w:rsidR="005E1DFA">
        <w:rPr>
          <w:lang w:val="fr-CA"/>
        </w:rPr>
        <w:t xml:space="preserve"> son seuil d’authenticité n’est pas contesté et il contient une preuve réelle pertinente pour la première allégation. Dans ces circonstances, la confiance du public ne pourrait pas être rétablie si l’enregistrement audio était jugé inadmissible</w:t>
      </w:r>
      <w:r w:rsidR="00AA58E5" w:rsidRPr="005C7CAC">
        <w:rPr>
          <w:lang w:val="fr-CA"/>
        </w:rPr>
        <w:t xml:space="preserve">. </w:t>
      </w:r>
      <w:r w:rsidR="005E1DFA">
        <w:rPr>
          <w:lang w:val="fr-CA"/>
        </w:rPr>
        <w:t xml:space="preserve">Les personnes qui participeront à des instances </w:t>
      </w:r>
      <w:r w:rsidR="00BB242A">
        <w:rPr>
          <w:lang w:val="fr-CA"/>
        </w:rPr>
        <w:t xml:space="preserve">que pourrait </w:t>
      </w:r>
      <w:r w:rsidR="005E1DFA">
        <w:rPr>
          <w:lang w:val="fr-CA"/>
        </w:rPr>
        <w:t>présid</w:t>
      </w:r>
      <w:r w:rsidR="00BB242A">
        <w:rPr>
          <w:lang w:val="fr-CA"/>
        </w:rPr>
        <w:t>er</w:t>
      </w:r>
      <w:r w:rsidR="005E1DFA">
        <w:rPr>
          <w:lang w:val="fr-CA"/>
        </w:rPr>
        <w:t xml:space="preserve"> le juge </w:t>
      </w:r>
      <w:r w:rsidR="00AA58E5" w:rsidRPr="005C7CAC">
        <w:rPr>
          <w:lang w:val="fr-CA"/>
        </w:rPr>
        <w:t xml:space="preserve">McLeod </w:t>
      </w:r>
      <w:r w:rsidR="005E1DFA">
        <w:rPr>
          <w:lang w:val="fr-CA"/>
        </w:rPr>
        <w:t>et les membres du public</w:t>
      </w:r>
      <w:r w:rsidR="00484699" w:rsidRPr="005C7CAC">
        <w:rPr>
          <w:lang w:val="fr-CA"/>
        </w:rPr>
        <w:t xml:space="preserve"> </w:t>
      </w:r>
      <w:r w:rsidR="005E1DFA">
        <w:rPr>
          <w:lang w:val="fr-CA"/>
        </w:rPr>
        <w:t xml:space="preserve">ont le droit d’être convaincus que notre comité d’audience a tenu compte de toutes les preuves pertinentes pour </w:t>
      </w:r>
      <w:r w:rsidR="00BB242A">
        <w:rPr>
          <w:lang w:val="fr-CA"/>
        </w:rPr>
        <w:t>déterminer</w:t>
      </w:r>
      <w:r w:rsidR="005E1DFA">
        <w:rPr>
          <w:lang w:val="fr-CA"/>
        </w:rPr>
        <w:t xml:space="preserve"> si le juge a commis </w:t>
      </w:r>
      <w:r w:rsidR="005E1DFA">
        <w:rPr>
          <w:lang w:val="fr-CA"/>
        </w:rPr>
        <w:lastRenderedPageBreak/>
        <w:t xml:space="preserve">une inconduite judiciaire et, dans l’affirmative, quelles mesures réparatrices devraient être imposées afin de préserver la confiance du public envers ce juge et envers le système judiciaire. Voir aussi </w:t>
      </w:r>
      <w:r w:rsidR="004D1DE1" w:rsidRPr="005C7CAC">
        <w:rPr>
          <w:lang w:val="fr-CA"/>
        </w:rPr>
        <w:t xml:space="preserve">: </w:t>
      </w:r>
      <w:r w:rsidR="004D1DE1" w:rsidRPr="005C7CAC">
        <w:rPr>
          <w:i/>
          <w:iCs/>
          <w:lang w:val="fr-CA"/>
        </w:rPr>
        <w:t xml:space="preserve">Re </w:t>
      </w:r>
      <w:proofErr w:type="spellStart"/>
      <w:r w:rsidR="004D1DE1" w:rsidRPr="005C7CAC">
        <w:rPr>
          <w:i/>
          <w:iCs/>
          <w:lang w:val="fr-CA"/>
        </w:rPr>
        <w:t>Keast</w:t>
      </w:r>
      <w:proofErr w:type="spellEnd"/>
      <w:r w:rsidR="004D1DE1" w:rsidRPr="005C7CAC">
        <w:rPr>
          <w:i/>
          <w:iCs/>
          <w:lang w:val="fr-CA"/>
        </w:rPr>
        <w:t xml:space="preserve"> </w:t>
      </w:r>
      <w:r w:rsidR="004D1DE1" w:rsidRPr="005C7CAC">
        <w:rPr>
          <w:lang w:val="fr-CA"/>
        </w:rPr>
        <w:t xml:space="preserve">(2017), Ontario </w:t>
      </w:r>
      <w:proofErr w:type="spellStart"/>
      <w:r w:rsidR="004D1DE1" w:rsidRPr="005C7CAC">
        <w:rPr>
          <w:lang w:val="fr-CA"/>
        </w:rPr>
        <w:t>Judicial</w:t>
      </w:r>
      <w:proofErr w:type="spellEnd"/>
      <w:r w:rsidR="004D1DE1" w:rsidRPr="005C7CAC">
        <w:rPr>
          <w:lang w:val="fr-CA"/>
        </w:rPr>
        <w:t xml:space="preserve"> Council, a</w:t>
      </w:r>
      <w:r w:rsidR="005E1DFA">
        <w:rPr>
          <w:lang w:val="fr-CA"/>
        </w:rPr>
        <w:t>u</w:t>
      </w:r>
      <w:r w:rsidR="004D1DE1" w:rsidRPr="005C7CAC">
        <w:rPr>
          <w:lang w:val="fr-CA"/>
        </w:rPr>
        <w:t xml:space="preserve"> para. 4</w:t>
      </w:r>
      <w:r w:rsidR="00B44D3A" w:rsidRPr="005C7CAC">
        <w:rPr>
          <w:lang w:val="fr-CA"/>
        </w:rPr>
        <w:t>0</w:t>
      </w:r>
      <w:r w:rsidR="00DF732C" w:rsidRPr="005C7CAC">
        <w:rPr>
          <w:lang w:val="fr-CA"/>
        </w:rPr>
        <w:t>.</w:t>
      </w:r>
    </w:p>
    <w:p w14:paraId="1EF03E49" w14:textId="7ED0D6A2" w:rsidR="00365D7C" w:rsidRPr="005C7CAC" w:rsidRDefault="00A5508C" w:rsidP="00365D7C">
      <w:pPr>
        <w:pStyle w:val="Heading2"/>
        <w:rPr>
          <w:rFonts w:ascii="Arial" w:hAnsi="Arial" w:cs="Arial"/>
          <w:b/>
          <w:bCs/>
          <w:color w:val="0D0D0D" w:themeColor="text1" w:themeTint="F2"/>
          <w:lang w:val="fr-CA"/>
        </w:rPr>
      </w:pPr>
      <w:r w:rsidRPr="005C7CAC">
        <w:rPr>
          <w:rFonts w:ascii="Arial" w:hAnsi="Arial" w:cs="Arial"/>
          <w:b/>
          <w:bCs/>
          <w:color w:val="0D0D0D" w:themeColor="text1" w:themeTint="F2"/>
          <w:lang w:val="fr-CA"/>
        </w:rPr>
        <w:t>Conclusion</w:t>
      </w:r>
    </w:p>
    <w:p w14:paraId="03384331" w14:textId="773BDA15" w:rsidR="00365D7C" w:rsidRPr="005C7CAC" w:rsidRDefault="005E1DFA" w:rsidP="00A10E2D">
      <w:pPr>
        <w:pStyle w:val="AParaNumbering"/>
        <w:rPr>
          <w:lang w:val="fr-CA"/>
        </w:rPr>
      </w:pPr>
      <w:r>
        <w:rPr>
          <w:lang w:val="fr-CA"/>
        </w:rPr>
        <w:t>Au vu des motifs qui précèdent, nous jugeons que l’enregistrement audio est admissible</w:t>
      </w:r>
      <w:r w:rsidR="00AC5EE4" w:rsidRPr="005C7CAC">
        <w:rPr>
          <w:lang w:val="fr-CA"/>
        </w:rPr>
        <w:t>.</w:t>
      </w:r>
    </w:p>
    <w:p w14:paraId="46655158" w14:textId="77777777" w:rsidR="003A42B9" w:rsidRPr="005C7CAC" w:rsidRDefault="003A42B9" w:rsidP="007778A9">
      <w:pPr>
        <w:autoSpaceDE w:val="0"/>
        <w:autoSpaceDN w:val="0"/>
        <w:adjustRightInd w:val="0"/>
        <w:spacing w:before="100" w:after="100"/>
        <w:jc w:val="right"/>
        <w:rPr>
          <w:rFonts w:ascii="Arial" w:hAnsi="Arial" w:cs="Arial"/>
          <w:sz w:val="26"/>
          <w:szCs w:val="26"/>
          <w:u w:val="single"/>
          <w:lang w:val="fr-CA"/>
        </w:rPr>
      </w:pPr>
    </w:p>
    <w:p w14:paraId="37EE6713" w14:textId="3A917450" w:rsidR="007778A9" w:rsidRPr="005C7CAC" w:rsidRDefault="005E1DFA" w:rsidP="00A612A8">
      <w:pPr>
        <w:pStyle w:val="AParaNumbering"/>
        <w:rPr>
          <w:lang w:val="fr-CA"/>
        </w:rPr>
      </w:pPr>
      <w:r>
        <w:rPr>
          <w:lang w:val="fr-CA"/>
        </w:rPr>
        <w:t xml:space="preserve">Date : 30 décembre </w:t>
      </w:r>
      <w:r w:rsidR="007778A9" w:rsidRPr="005C7CAC">
        <w:rPr>
          <w:lang w:val="fr-CA"/>
        </w:rPr>
        <w:t>202</w:t>
      </w:r>
      <w:r w:rsidR="00BB242A">
        <w:rPr>
          <w:lang w:val="fr-CA"/>
        </w:rPr>
        <w:t>0</w:t>
      </w:r>
      <w:r w:rsidR="007778A9" w:rsidRPr="005C7CAC">
        <w:rPr>
          <w:lang w:val="fr-CA"/>
        </w:rPr>
        <w:t>.</w:t>
      </w:r>
    </w:p>
    <w:p w14:paraId="4FF51007" w14:textId="7B33AC6A" w:rsidR="007778A9" w:rsidRPr="005C7CAC" w:rsidRDefault="007778A9" w:rsidP="007778A9">
      <w:pPr>
        <w:pStyle w:val="CQuote"/>
        <w:ind w:left="0"/>
        <w:rPr>
          <w:szCs w:val="26"/>
          <w:lang w:val="fr-CA"/>
        </w:rPr>
      </w:pPr>
      <w:r w:rsidRPr="005C7CAC">
        <w:rPr>
          <w:szCs w:val="26"/>
          <w:lang w:val="fr-CA"/>
        </w:rPr>
        <w:t>Ju</w:t>
      </w:r>
      <w:r w:rsidR="005E1DFA">
        <w:rPr>
          <w:szCs w:val="26"/>
          <w:lang w:val="fr-CA"/>
        </w:rPr>
        <w:t>ge</w:t>
      </w:r>
      <w:r w:rsidRPr="005C7CAC">
        <w:rPr>
          <w:szCs w:val="26"/>
          <w:lang w:val="fr-CA"/>
        </w:rPr>
        <w:t xml:space="preserve"> Janet Simmons, </w:t>
      </w:r>
      <w:r w:rsidR="005E1DFA">
        <w:rPr>
          <w:szCs w:val="26"/>
          <w:lang w:val="fr-CA"/>
        </w:rPr>
        <w:t>présidente</w:t>
      </w:r>
    </w:p>
    <w:p w14:paraId="0774CB5E" w14:textId="1FEC99BA" w:rsidR="007778A9" w:rsidRPr="005C7CAC" w:rsidRDefault="007778A9" w:rsidP="007778A9">
      <w:pPr>
        <w:pStyle w:val="CQuote"/>
        <w:ind w:left="0"/>
        <w:rPr>
          <w:szCs w:val="26"/>
          <w:lang w:val="fr-CA"/>
        </w:rPr>
      </w:pPr>
      <w:r w:rsidRPr="005C7CAC">
        <w:rPr>
          <w:szCs w:val="26"/>
          <w:lang w:val="fr-CA"/>
        </w:rPr>
        <w:t>Ju</w:t>
      </w:r>
      <w:r w:rsidR="005E1DFA">
        <w:rPr>
          <w:szCs w:val="26"/>
          <w:lang w:val="fr-CA"/>
        </w:rPr>
        <w:t>ge</w:t>
      </w:r>
      <w:r w:rsidRPr="005C7CAC">
        <w:rPr>
          <w:szCs w:val="26"/>
          <w:lang w:val="fr-CA"/>
        </w:rPr>
        <w:t xml:space="preserve"> Michael </w:t>
      </w:r>
      <w:r w:rsidR="00B5529E" w:rsidRPr="005C7CAC">
        <w:rPr>
          <w:szCs w:val="26"/>
          <w:lang w:val="fr-CA"/>
        </w:rPr>
        <w:t xml:space="preserve">J. </w:t>
      </w:r>
      <w:r w:rsidRPr="005C7CAC">
        <w:rPr>
          <w:szCs w:val="26"/>
          <w:lang w:val="fr-CA"/>
        </w:rPr>
        <w:t>Epstein</w:t>
      </w:r>
    </w:p>
    <w:p w14:paraId="26AA7B10" w14:textId="52D22892" w:rsidR="007778A9" w:rsidRPr="005C7CAC" w:rsidRDefault="007778A9" w:rsidP="007778A9">
      <w:pPr>
        <w:pStyle w:val="CQuote"/>
        <w:ind w:left="0"/>
        <w:rPr>
          <w:szCs w:val="26"/>
          <w:lang w:val="fr-CA"/>
        </w:rPr>
      </w:pPr>
      <w:r w:rsidRPr="005C7CAC">
        <w:rPr>
          <w:szCs w:val="26"/>
          <w:lang w:val="fr-CA"/>
        </w:rPr>
        <w:t xml:space="preserve">M. Malcolm </w:t>
      </w:r>
      <w:r w:rsidR="00B5529E" w:rsidRPr="005C7CAC">
        <w:rPr>
          <w:szCs w:val="26"/>
          <w:lang w:val="fr-CA"/>
        </w:rPr>
        <w:t xml:space="preserve">M. </w:t>
      </w:r>
      <w:r w:rsidRPr="005C7CAC">
        <w:rPr>
          <w:szCs w:val="26"/>
          <w:lang w:val="fr-CA"/>
        </w:rPr>
        <w:t>Mercer</w:t>
      </w:r>
    </w:p>
    <w:p w14:paraId="753FEB34" w14:textId="636B4520" w:rsidR="007778A9" w:rsidRPr="005C7CAC" w:rsidRDefault="007778A9" w:rsidP="007778A9">
      <w:pPr>
        <w:pStyle w:val="CQuote"/>
        <w:ind w:left="0"/>
        <w:rPr>
          <w:szCs w:val="26"/>
          <w:lang w:val="fr-CA"/>
        </w:rPr>
      </w:pPr>
      <w:r w:rsidRPr="005C7CAC">
        <w:rPr>
          <w:szCs w:val="26"/>
          <w:lang w:val="fr-CA"/>
        </w:rPr>
        <w:t>M. Victor Royce</w:t>
      </w:r>
    </w:p>
    <w:p w14:paraId="302F144A" w14:textId="77777777" w:rsidR="00B23D50" w:rsidRPr="005C7CAC" w:rsidRDefault="00B23D50" w:rsidP="003A42B9">
      <w:pPr>
        <w:tabs>
          <w:tab w:val="left" w:pos="4749"/>
        </w:tabs>
        <w:rPr>
          <w:rFonts w:ascii="Arial" w:hAnsi="Arial" w:cs="Arial"/>
          <w:szCs w:val="24"/>
          <w:lang w:val="fr-CA"/>
        </w:rPr>
      </w:pPr>
    </w:p>
    <w:sectPr w:rsidR="00B23D50" w:rsidRPr="005C7CAC" w:rsidSect="004A15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8E613" w14:textId="77777777" w:rsidR="006A7B1B" w:rsidRDefault="006A7B1B" w:rsidP="007778A9">
      <w:r>
        <w:separator/>
      </w:r>
    </w:p>
  </w:endnote>
  <w:endnote w:type="continuationSeparator" w:id="0">
    <w:p w14:paraId="20DBC8E3" w14:textId="77777777" w:rsidR="006A7B1B" w:rsidRDefault="006A7B1B" w:rsidP="0077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9652" w14:textId="77777777" w:rsidR="00F549C5" w:rsidRDefault="00F54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939368"/>
      <w:docPartObj>
        <w:docPartGallery w:val="Page Numbers (Bottom of Page)"/>
        <w:docPartUnique/>
      </w:docPartObj>
    </w:sdtPr>
    <w:sdtEndPr>
      <w:rPr>
        <w:noProof/>
      </w:rPr>
    </w:sdtEndPr>
    <w:sdtContent>
      <w:p w14:paraId="347E3A3E" w14:textId="65F6074A" w:rsidR="006A7B1B" w:rsidRDefault="006A7B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231DD" w14:textId="77777777" w:rsidR="006A7B1B" w:rsidRDefault="006A7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EFCD0" w14:textId="77777777" w:rsidR="00F549C5" w:rsidRDefault="00F54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B236F" w14:textId="77777777" w:rsidR="006A7B1B" w:rsidRDefault="006A7B1B" w:rsidP="007778A9">
      <w:r>
        <w:separator/>
      </w:r>
    </w:p>
  </w:footnote>
  <w:footnote w:type="continuationSeparator" w:id="0">
    <w:p w14:paraId="1A7F9029" w14:textId="77777777" w:rsidR="006A7B1B" w:rsidRDefault="006A7B1B" w:rsidP="007778A9">
      <w:r>
        <w:continuationSeparator/>
      </w:r>
    </w:p>
  </w:footnote>
  <w:footnote w:id="1">
    <w:p w14:paraId="0E40147B" w14:textId="7E218B85" w:rsidR="006A7B1B" w:rsidRPr="005C7CAC" w:rsidRDefault="006A7B1B">
      <w:pPr>
        <w:pStyle w:val="FootnoteText"/>
        <w:rPr>
          <w:rFonts w:ascii="Arial" w:hAnsi="Arial" w:cs="Arial"/>
          <w:lang w:val="fr-CA"/>
        </w:rPr>
      </w:pPr>
      <w:r w:rsidRPr="005C7CAC">
        <w:rPr>
          <w:rStyle w:val="FootnoteReference"/>
          <w:rFonts w:ascii="Arial" w:hAnsi="Arial" w:cs="Arial"/>
          <w:lang w:val="fr-CA"/>
        </w:rPr>
        <w:footnoteRef/>
      </w:r>
      <w:r w:rsidRPr="005C7CAC">
        <w:rPr>
          <w:rFonts w:ascii="Arial" w:hAnsi="Arial" w:cs="Arial"/>
          <w:lang w:val="fr-CA"/>
        </w:rPr>
        <w:t xml:space="preserve"> Les détails de la plainte sont énoncés à l’Annexe A de l’avis d’audience du 20 février 2020 en vertu duquel notre audience s’est déroulée.</w:t>
      </w:r>
    </w:p>
  </w:footnote>
  <w:footnote w:id="2">
    <w:p w14:paraId="04CF6171" w14:textId="2854C7DA" w:rsidR="006A7B1B" w:rsidRPr="005C7CAC" w:rsidRDefault="006A7B1B">
      <w:pPr>
        <w:pStyle w:val="FootnoteText"/>
        <w:rPr>
          <w:rFonts w:ascii="Arial" w:hAnsi="Arial" w:cs="Arial"/>
          <w:lang w:val="fr-CA"/>
        </w:rPr>
      </w:pPr>
      <w:r w:rsidRPr="005C7CAC">
        <w:rPr>
          <w:rStyle w:val="FootnoteReference"/>
          <w:rFonts w:ascii="Arial" w:hAnsi="Arial" w:cs="Arial"/>
          <w:lang w:val="fr-CA"/>
        </w:rPr>
        <w:footnoteRef/>
      </w:r>
      <w:r w:rsidRPr="005C7CAC">
        <w:rPr>
          <w:rFonts w:ascii="Arial" w:hAnsi="Arial" w:cs="Arial"/>
          <w:lang w:val="fr-CA"/>
        </w:rPr>
        <w:t xml:space="preserve"> </w:t>
      </w:r>
      <w:r>
        <w:rPr>
          <w:rFonts w:ascii="Arial" w:hAnsi="Arial" w:cs="Arial"/>
          <w:lang w:val="fr-CA"/>
        </w:rPr>
        <w:t xml:space="preserve">Une transcription de l’enregistrement audio a été déposée sur consentement, pas en preuve, mais comme aide-mémoire. </w:t>
      </w:r>
      <w:r w:rsidR="005A272C">
        <w:rPr>
          <w:rFonts w:ascii="Arial" w:hAnsi="Arial" w:cs="Arial"/>
          <w:lang w:val="fr-CA"/>
        </w:rPr>
        <w:t>Ces passages inaudibles sont pris en considération par le renvoi à la transcription par souci de commodité uniquement</w:t>
      </w:r>
      <w:r w:rsidRPr="005C7CAC">
        <w:rPr>
          <w:rFonts w:ascii="Arial" w:hAnsi="Arial" w:cs="Arial"/>
          <w:lang w:val="fr-CA"/>
        </w:rPr>
        <w:t>.</w:t>
      </w:r>
    </w:p>
  </w:footnote>
  <w:footnote w:id="3">
    <w:p w14:paraId="64B0D029" w14:textId="4E039C6B" w:rsidR="006A7B1B" w:rsidRPr="005C7CAC" w:rsidRDefault="006A7B1B">
      <w:pPr>
        <w:pStyle w:val="FootnoteText"/>
        <w:rPr>
          <w:rFonts w:ascii="Arial" w:hAnsi="Arial" w:cs="Arial"/>
          <w:lang w:val="fr-CA"/>
        </w:rPr>
      </w:pPr>
      <w:r w:rsidRPr="005C7CAC">
        <w:rPr>
          <w:rStyle w:val="FootnoteReference"/>
          <w:rFonts w:ascii="Arial" w:hAnsi="Arial" w:cs="Arial"/>
          <w:lang w:val="fr-CA"/>
        </w:rPr>
        <w:footnoteRef/>
      </w:r>
      <w:r w:rsidRPr="005C7CAC">
        <w:rPr>
          <w:rFonts w:ascii="Arial" w:hAnsi="Arial" w:cs="Arial"/>
          <w:lang w:val="fr-CA"/>
        </w:rPr>
        <w:t xml:space="preserve">  </w:t>
      </w:r>
      <w:r w:rsidRPr="005C7CAC">
        <w:rPr>
          <w:rFonts w:ascii="Arial" w:hAnsi="Arial" w:cs="Arial"/>
          <w:i/>
          <w:iCs/>
          <w:lang w:val="fr-CA"/>
        </w:rPr>
        <w:t>Cook v. Kang</w:t>
      </w:r>
      <w:r w:rsidRPr="005C7CAC">
        <w:rPr>
          <w:rFonts w:ascii="Arial" w:hAnsi="Arial" w:cs="Arial"/>
          <w:lang w:val="fr-CA"/>
        </w:rPr>
        <w:t>, 2020 BCSC 575, 38 B.C.L.R. (6th) 144, a</w:t>
      </w:r>
      <w:r w:rsidR="007644E0">
        <w:rPr>
          <w:rFonts w:ascii="Arial" w:hAnsi="Arial" w:cs="Arial"/>
          <w:lang w:val="fr-CA"/>
        </w:rPr>
        <w:t>u</w:t>
      </w:r>
      <w:r w:rsidRPr="005C7CAC">
        <w:rPr>
          <w:rFonts w:ascii="Arial" w:hAnsi="Arial" w:cs="Arial"/>
          <w:lang w:val="fr-CA"/>
        </w:rPr>
        <w:t xml:space="preserve"> para. 51; </w:t>
      </w:r>
      <w:r w:rsidRPr="005C7CAC">
        <w:rPr>
          <w:rFonts w:ascii="Arial" w:hAnsi="Arial" w:cs="Arial"/>
          <w:i/>
          <w:iCs/>
          <w:lang w:val="fr-CA"/>
        </w:rPr>
        <w:t>C</w:t>
      </w:r>
      <w:r w:rsidR="007644E0">
        <w:rPr>
          <w:rFonts w:ascii="Arial" w:hAnsi="Arial" w:cs="Arial"/>
          <w:i/>
          <w:iCs/>
          <w:lang w:val="fr-CA"/>
        </w:rPr>
        <w:t>ode criminel</w:t>
      </w:r>
      <w:r w:rsidRPr="005C7CAC">
        <w:rPr>
          <w:rFonts w:ascii="Arial" w:hAnsi="Arial" w:cs="Arial"/>
          <w:lang w:val="fr-CA"/>
        </w:rPr>
        <w:t xml:space="preserve">, </w:t>
      </w:r>
      <w:r w:rsidR="007644E0">
        <w:rPr>
          <w:rFonts w:ascii="Arial" w:hAnsi="Arial" w:cs="Arial"/>
          <w:lang w:val="fr-CA"/>
        </w:rPr>
        <w:t>L.R.C</w:t>
      </w:r>
      <w:r w:rsidRPr="005C7CAC">
        <w:rPr>
          <w:rFonts w:ascii="Arial" w:hAnsi="Arial" w:cs="Arial"/>
          <w:lang w:val="fr-CA"/>
        </w:rPr>
        <w:t>. 1985, c</w:t>
      </w:r>
      <w:r w:rsidR="007644E0">
        <w:rPr>
          <w:rFonts w:ascii="Arial" w:hAnsi="Arial" w:cs="Arial"/>
          <w:lang w:val="fr-CA"/>
        </w:rPr>
        <w:t>h</w:t>
      </w:r>
      <w:r w:rsidRPr="005C7CAC">
        <w:rPr>
          <w:rFonts w:ascii="Arial" w:hAnsi="Arial" w:cs="Arial"/>
          <w:lang w:val="fr-CA"/>
        </w:rPr>
        <w:t xml:space="preserve">. C-46, </w:t>
      </w:r>
      <w:r w:rsidR="007644E0">
        <w:rPr>
          <w:rFonts w:ascii="Arial" w:hAnsi="Arial" w:cs="Arial"/>
          <w:lang w:val="fr-CA"/>
        </w:rPr>
        <w:t>al</w:t>
      </w:r>
      <w:r w:rsidRPr="005C7CAC">
        <w:rPr>
          <w:rFonts w:ascii="Arial" w:hAnsi="Arial" w:cs="Arial"/>
          <w:lang w:val="fr-CA"/>
        </w:rPr>
        <w:t>. 184(2)a).</w:t>
      </w:r>
    </w:p>
  </w:footnote>
  <w:footnote w:id="4">
    <w:p w14:paraId="466544DB" w14:textId="5F38914E" w:rsidR="006A7B1B" w:rsidRPr="005C7CAC" w:rsidRDefault="006A7B1B" w:rsidP="008C417F">
      <w:pPr>
        <w:pStyle w:val="AParaNumbering"/>
        <w:numPr>
          <w:ilvl w:val="0"/>
          <w:numId w:val="0"/>
        </w:numPr>
        <w:spacing w:line="240" w:lineRule="auto"/>
        <w:rPr>
          <w:lang w:val="fr-CA"/>
        </w:rPr>
      </w:pPr>
      <w:r w:rsidRPr="005C7CAC">
        <w:rPr>
          <w:rStyle w:val="FootnoteReference"/>
          <w:rFonts w:cs="Arial"/>
          <w:lang w:val="fr-CA"/>
        </w:rPr>
        <w:footnoteRef/>
      </w:r>
      <w:r w:rsidRPr="005C7CAC">
        <w:rPr>
          <w:lang w:val="fr-CA"/>
        </w:rPr>
        <w:t xml:space="preserve"> </w:t>
      </w:r>
      <w:r w:rsidR="00520FA1">
        <w:rPr>
          <w:sz w:val="20"/>
          <w:lang w:val="fr-CA"/>
        </w:rPr>
        <w:t xml:space="preserve">Voir les causes suivantes citées dans </w:t>
      </w:r>
      <w:r w:rsidRPr="005C7CAC">
        <w:rPr>
          <w:i/>
          <w:iCs/>
          <w:sz w:val="20"/>
          <w:lang w:val="fr-CA"/>
        </w:rPr>
        <w:t>Cook v Kang</w:t>
      </w:r>
      <w:r w:rsidRPr="005C7CAC">
        <w:rPr>
          <w:sz w:val="20"/>
          <w:lang w:val="fr-CA"/>
        </w:rPr>
        <w:t>, a</w:t>
      </w:r>
      <w:r w:rsidR="00520FA1">
        <w:rPr>
          <w:sz w:val="20"/>
          <w:lang w:val="fr-CA"/>
        </w:rPr>
        <w:t>u</w:t>
      </w:r>
      <w:r w:rsidRPr="005C7CAC">
        <w:rPr>
          <w:sz w:val="20"/>
          <w:lang w:val="fr-CA"/>
        </w:rPr>
        <w:t xml:space="preserve"> para. 51</w:t>
      </w:r>
      <w:r w:rsidR="00520FA1">
        <w:rPr>
          <w:sz w:val="20"/>
          <w:lang w:val="fr-CA"/>
        </w:rPr>
        <w:t xml:space="preserve"> </w:t>
      </w:r>
      <w:r w:rsidRPr="005C7CAC">
        <w:rPr>
          <w:sz w:val="20"/>
          <w:lang w:val="fr-CA"/>
        </w:rPr>
        <w:t xml:space="preserve">: </w:t>
      </w:r>
      <w:r w:rsidRPr="005C7CAC">
        <w:rPr>
          <w:i/>
          <w:iCs/>
          <w:sz w:val="20"/>
          <w:lang w:val="fr-CA"/>
        </w:rPr>
        <w:t>Evans v. Teamsters Local Union No. 31</w:t>
      </w:r>
      <w:r w:rsidRPr="005C7CAC">
        <w:rPr>
          <w:sz w:val="20"/>
          <w:lang w:val="fr-CA"/>
        </w:rPr>
        <w:t>, </w:t>
      </w:r>
      <w:hyperlink r:id="rId1" w:history="1">
        <w:r w:rsidRPr="005C7CAC">
          <w:rPr>
            <w:rStyle w:val="reflex3-alt"/>
            <w:sz w:val="20"/>
            <w:lang w:val="fr-CA"/>
          </w:rPr>
          <w:t>2006 YKCA 14</w:t>
        </w:r>
      </w:hyperlink>
      <w:r w:rsidRPr="005C7CAC">
        <w:rPr>
          <w:rStyle w:val="reflex3-block"/>
          <w:sz w:val="20"/>
          <w:lang w:val="fr-CA"/>
        </w:rPr>
        <w:t> a</w:t>
      </w:r>
      <w:r w:rsidR="00520FA1">
        <w:rPr>
          <w:rStyle w:val="reflex3-block"/>
          <w:sz w:val="20"/>
          <w:lang w:val="fr-CA"/>
        </w:rPr>
        <w:t>u</w:t>
      </w:r>
      <w:r w:rsidRPr="005C7CAC">
        <w:rPr>
          <w:rStyle w:val="reflex3-block"/>
          <w:sz w:val="20"/>
          <w:lang w:val="fr-CA"/>
        </w:rPr>
        <w:t xml:space="preserve"> para. </w:t>
      </w:r>
      <w:hyperlink r:id="rId2" w:anchor="par8" w:history="1">
        <w:r w:rsidRPr="005C7CAC">
          <w:rPr>
            <w:rStyle w:val="Hyperlink"/>
            <w:rFonts w:eastAsiaTheme="majorEastAsia"/>
            <w:color w:val="000000" w:themeColor="text1"/>
            <w:sz w:val="20"/>
            <w:u w:val="none"/>
            <w:lang w:val="fr-CA"/>
          </w:rPr>
          <w:t>8</w:t>
        </w:r>
      </w:hyperlink>
      <w:r w:rsidRPr="005C7CAC">
        <w:rPr>
          <w:sz w:val="20"/>
          <w:lang w:val="fr-CA"/>
        </w:rPr>
        <w:t>; </w:t>
      </w:r>
      <w:r w:rsidRPr="005C7CAC">
        <w:rPr>
          <w:i/>
          <w:iCs/>
          <w:sz w:val="20"/>
          <w:lang w:val="fr-CA"/>
        </w:rPr>
        <w:t>Palkovics v. Barta,</w:t>
      </w:r>
      <w:r w:rsidRPr="005C7CAC">
        <w:rPr>
          <w:sz w:val="20"/>
          <w:lang w:val="fr-CA"/>
        </w:rPr>
        <w:t xml:space="preserve"> 2012 BCSC 399, a</w:t>
      </w:r>
      <w:r w:rsidR="00520FA1">
        <w:rPr>
          <w:sz w:val="20"/>
          <w:lang w:val="fr-CA"/>
        </w:rPr>
        <w:t>ux</w:t>
      </w:r>
      <w:r w:rsidRPr="005C7CAC">
        <w:rPr>
          <w:sz w:val="20"/>
          <w:lang w:val="fr-CA"/>
        </w:rPr>
        <w:t xml:space="preserve"> paras. 51-54, 81; </w:t>
      </w:r>
      <w:r w:rsidRPr="005C7CAC">
        <w:rPr>
          <w:i/>
          <w:iCs/>
          <w:sz w:val="20"/>
          <w:lang w:val="fr-CA"/>
        </w:rPr>
        <w:t>Finch v. Finch</w:t>
      </w:r>
      <w:r w:rsidRPr="005C7CAC">
        <w:rPr>
          <w:sz w:val="20"/>
          <w:lang w:val="fr-CA"/>
        </w:rPr>
        <w:t>, </w:t>
      </w:r>
      <w:hyperlink r:id="rId3" w:history="1">
        <w:r w:rsidRPr="005C7CAC">
          <w:rPr>
            <w:rStyle w:val="reflex3-alt"/>
            <w:sz w:val="20"/>
            <w:lang w:val="fr-CA"/>
          </w:rPr>
          <w:t>2014 BCSC 653</w:t>
        </w:r>
      </w:hyperlink>
      <w:r w:rsidRPr="005C7CAC">
        <w:rPr>
          <w:rStyle w:val="reflex3-block"/>
          <w:sz w:val="20"/>
          <w:lang w:val="fr-CA"/>
        </w:rPr>
        <w:t> a</w:t>
      </w:r>
      <w:r w:rsidR="00520FA1">
        <w:rPr>
          <w:rStyle w:val="reflex3-block"/>
          <w:sz w:val="20"/>
          <w:lang w:val="fr-CA"/>
        </w:rPr>
        <w:t>u</w:t>
      </w:r>
      <w:r w:rsidRPr="005C7CAC">
        <w:rPr>
          <w:rStyle w:val="reflex3-block"/>
          <w:sz w:val="20"/>
          <w:lang w:val="fr-CA"/>
        </w:rPr>
        <w:t xml:space="preserve"> para. </w:t>
      </w:r>
      <w:hyperlink r:id="rId4" w:anchor="par62" w:history="1">
        <w:r w:rsidRPr="005C7CAC">
          <w:rPr>
            <w:rStyle w:val="Hyperlink"/>
            <w:rFonts w:eastAsiaTheme="majorEastAsia"/>
            <w:color w:val="000000" w:themeColor="text1"/>
            <w:sz w:val="20"/>
            <w:u w:val="none"/>
            <w:lang w:val="fr-CA"/>
          </w:rPr>
          <w:t>62</w:t>
        </w:r>
      </w:hyperlink>
      <w:r w:rsidRPr="005C7CAC">
        <w:rPr>
          <w:sz w:val="20"/>
          <w:lang w:val="fr-CA"/>
        </w:rPr>
        <w:t>; </w:t>
      </w:r>
      <w:r w:rsidRPr="005C7CAC">
        <w:rPr>
          <w:i/>
          <w:iCs/>
          <w:sz w:val="20"/>
          <w:lang w:val="fr-CA"/>
        </w:rPr>
        <w:t>Lam v. Chiu</w:t>
      </w:r>
      <w:r w:rsidRPr="005C7CAC">
        <w:rPr>
          <w:sz w:val="20"/>
          <w:lang w:val="fr-CA"/>
        </w:rPr>
        <w:t>, </w:t>
      </w:r>
      <w:hyperlink r:id="rId5" w:history="1">
        <w:r w:rsidRPr="005C7CAC">
          <w:rPr>
            <w:rStyle w:val="reflex3-alt"/>
            <w:sz w:val="20"/>
            <w:lang w:val="fr-CA"/>
          </w:rPr>
          <w:t>2012 BCSC 440</w:t>
        </w:r>
      </w:hyperlink>
      <w:r w:rsidRPr="005C7CAC">
        <w:rPr>
          <w:rStyle w:val="reflex3-alt"/>
          <w:sz w:val="20"/>
          <w:lang w:val="fr-CA"/>
        </w:rPr>
        <w:t>,</w:t>
      </w:r>
      <w:r w:rsidRPr="005C7CAC">
        <w:rPr>
          <w:rStyle w:val="reflex3-block"/>
          <w:sz w:val="20"/>
          <w:lang w:val="fr-CA"/>
        </w:rPr>
        <w:t> a</w:t>
      </w:r>
      <w:r w:rsidR="00520FA1">
        <w:rPr>
          <w:rStyle w:val="reflex3-block"/>
          <w:sz w:val="20"/>
          <w:lang w:val="fr-CA"/>
        </w:rPr>
        <w:t>ux</w:t>
      </w:r>
      <w:r w:rsidRPr="005C7CAC">
        <w:rPr>
          <w:rStyle w:val="reflex3-block"/>
          <w:sz w:val="20"/>
          <w:lang w:val="fr-CA"/>
        </w:rPr>
        <w:t xml:space="preserve"> paras. </w:t>
      </w:r>
      <w:hyperlink r:id="rId6" w:anchor="par20" w:history="1">
        <w:r w:rsidRPr="005C7CAC">
          <w:rPr>
            <w:rStyle w:val="Hyperlink"/>
            <w:rFonts w:eastAsiaTheme="majorEastAsia"/>
            <w:color w:val="000000" w:themeColor="text1"/>
            <w:sz w:val="20"/>
            <w:u w:val="none"/>
            <w:lang w:val="fr-CA"/>
          </w:rPr>
          <w:t>20-32</w:t>
        </w:r>
      </w:hyperlink>
      <w:r w:rsidRPr="005C7CAC">
        <w:rPr>
          <w:sz w:val="20"/>
          <w:lang w:val="fr-CA"/>
        </w:rPr>
        <w:t>.</w:t>
      </w:r>
      <w:r w:rsidRPr="005C7CAC">
        <w:rPr>
          <w:lang w:val="fr-CA"/>
        </w:rPr>
        <w:t xml:space="preserve"> </w:t>
      </w:r>
    </w:p>
    <w:p w14:paraId="3F86F6BE" w14:textId="360F531C" w:rsidR="006A7B1B" w:rsidRPr="005C7CAC" w:rsidRDefault="006A7B1B">
      <w:pPr>
        <w:pStyle w:val="FootnoteText"/>
        <w:rPr>
          <w:rFonts w:ascii="Arial" w:hAnsi="Arial" w:cs="Arial"/>
          <w:lang w:val="fr-CA"/>
        </w:rPr>
      </w:pPr>
    </w:p>
  </w:footnote>
  <w:footnote w:id="5">
    <w:p w14:paraId="0A012B4E" w14:textId="4BB9D203" w:rsidR="006A7B1B" w:rsidRPr="005C7CAC" w:rsidRDefault="006A7B1B">
      <w:pPr>
        <w:pStyle w:val="FootnoteText"/>
        <w:rPr>
          <w:rFonts w:ascii="Arial" w:hAnsi="Arial" w:cs="Arial"/>
          <w:lang w:val="fr-CA"/>
        </w:rPr>
      </w:pPr>
      <w:r w:rsidRPr="005C7CAC">
        <w:rPr>
          <w:rStyle w:val="FootnoteReference"/>
          <w:lang w:val="fr-CA"/>
        </w:rPr>
        <w:footnoteRef/>
      </w:r>
      <w:r w:rsidRPr="005C7CAC">
        <w:rPr>
          <w:lang w:val="fr-CA"/>
        </w:rPr>
        <w:t xml:space="preserve"> </w:t>
      </w:r>
      <w:r w:rsidR="005E1DFA">
        <w:rPr>
          <w:rFonts w:ascii="Arial" w:hAnsi="Arial" w:cs="Arial"/>
          <w:lang w:val="fr-CA"/>
        </w:rPr>
        <w:t xml:space="preserve">La règle procédurale </w:t>
      </w:r>
      <w:r w:rsidRPr="005C7CAC">
        <w:rPr>
          <w:rFonts w:ascii="Arial" w:hAnsi="Arial" w:cs="Arial"/>
          <w:lang w:val="fr-CA"/>
        </w:rPr>
        <w:t xml:space="preserve">15.2 </w:t>
      </w:r>
      <w:r w:rsidR="005E1DFA">
        <w:rPr>
          <w:rFonts w:ascii="Arial" w:hAnsi="Arial" w:cs="Arial"/>
          <w:lang w:val="fr-CA"/>
        </w:rPr>
        <w:t xml:space="preserve">prévoit </w:t>
      </w:r>
      <w:r w:rsidRPr="005C7CAC">
        <w:rPr>
          <w:rFonts w:ascii="Arial" w:hAnsi="Arial" w:cs="Arial"/>
          <w:lang w:val="fr-CA"/>
        </w:rPr>
        <w:t xml:space="preserve">: </w:t>
      </w:r>
    </w:p>
    <w:p w14:paraId="2E7F9A1C" w14:textId="0F065EA9" w:rsidR="006A7B1B" w:rsidRPr="005C7CAC" w:rsidRDefault="00B1472B" w:rsidP="00B1472B">
      <w:pPr>
        <w:pStyle w:val="CQuote"/>
        <w:rPr>
          <w:lang w:val="fr-CA"/>
        </w:rPr>
      </w:pPr>
      <w:r w:rsidRPr="00B1472B">
        <w:rPr>
          <w:sz w:val="20"/>
          <w:szCs w:val="20"/>
          <w:lang w:val="fr-CA"/>
        </w:rPr>
        <w:t>Le comité d’audience est chargé d’examiner les faits</w:t>
      </w:r>
      <w:r w:rsidR="005E1DFA">
        <w:rPr>
          <w:sz w:val="20"/>
          <w:szCs w:val="20"/>
          <w:lang w:val="fr-CA"/>
        </w:rPr>
        <w:t xml:space="preserve"> </w:t>
      </w:r>
      <w:r w:rsidRPr="00B1472B">
        <w:rPr>
          <w:sz w:val="20"/>
          <w:szCs w:val="20"/>
          <w:lang w:val="fr-CA"/>
        </w:rPr>
        <w:t>afin de décider s’il y a eu une inconduite judiciaire, et le</w:t>
      </w:r>
      <w:r w:rsidR="005E1DFA">
        <w:rPr>
          <w:sz w:val="20"/>
          <w:szCs w:val="20"/>
          <w:lang w:val="fr-CA"/>
        </w:rPr>
        <w:t xml:space="preserve"> </w:t>
      </w:r>
      <w:r w:rsidRPr="00B1472B">
        <w:rPr>
          <w:sz w:val="20"/>
          <w:szCs w:val="20"/>
          <w:lang w:val="fr-CA"/>
        </w:rPr>
        <w:t>cas échéant, de déterminer la ou les mesures</w:t>
      </w:r>
      <w:r w:rsidR="005E1DFA">
        <w:rPr>
          <w:sz w:val="20"/>
          <w:szCs w:val="20"/>
          <w:lang w:val="fr-CA"/>
        </w:rPr>
        <w:t xml:space="preserve"> </w:t>
      </w:r>
      <w:r w:rsidRPr="00B1472B">
        <w:rPr>
          <w:sz w:val="20"/>
          <w:szCs w:val="20"/>
          <w:lang w:val="fr-CA"/>
        </w:rPr>
        <w:t>appropriées pour préserver ou rétablir la confiance du</w:t>
      </w:r>
      <w:r w:rsidR="005E1DFA">
        <w:rPr>
          <w:sz w:val="20"/>
          <w:szCs w:val="20"/>
          <w:lang w:val="fr-CA"/>
        </w:rPr>
        <w:t xml:space="preserve"> </w:t>
      </w:r>
      <w:r w:rsidRPr="00B1472B">
        <w:rPr>
          <w:sz w:val="20"/>
          <w:szCs w:val="20"/>
          <w:lang w:val="fr-CA"/>
        </w:rPr>
        <w:t>public envers le système judiciaire</w:t>
      </w:r>
      <w:r w:rsidR="006A7B1B" w:rsidRPr="005C7CAC">
        <w:rPr>
          <w:sz w:val="20"/>
          <w:szCs w:val="20"/>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48A6" w14:textId="77777777" w:rsidR="00F549C5" w:rsidRDefault="00F54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EF3D" w14:textId="77777777" w:rsidR="00F549C5" w:rsidRDefault="00F54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F0FDD" w14:textId="77777777" w:rsidR="00F549C5" w:rsidRDefault="00F54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945"/>
    <w:multiLevelType w:val="multilevel"/>
    <w:tmpl w:val="CA5E0610"/>
    <w:lvl w:ilvl="0">
      <w:start w:val="6"/>
      <w:numFmt w:val="decimal"/>
      <w:lvlText w:val="%1."/>
      <w:lvlJc w:val="left"/>
      <w:pPr>
        <w:tabs>
          <w:tab w:val="num" w:pos="1800"/>
        </w:tabs>
        <w:ind w:left="1800" w:hanging="360"/>
      </w:pPr>
      <w:rPr>
        <w:rFonts w:hint="default"/>
      </w:rPr>
    </w:lvl>
    <w:lvl w:ilvl="1">
      <w:start w:val="1"/>
      <w:numFmt w:val="decimal"/>
      <w:lvlRestart w:val="0"/>
      <w:lvlText w:val="[%2]"/>
      <w:lvlJc w:val="left"/>
      <w:pPr>
        <w:tabs>
          <w:tab w:val="num" w:pos="540"/>
        </w:tabs>
        <w:ind w:left="18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15:restartNumberingAfterBreak="0">
    <w:nsid w:val="3F3C1C51"/>
    <w:multiLevelType w:val="hybridMultilevel"/>
    <w:tmpl w:val="22348A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F765D4B"/>
    <w:multiLevelType w:val="hybridMultilevel"/>
    <w:tmpl w:val="B254DFF6"/>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0AB31D7"/>
    <w:multiLevelType w:val="hybridMultilevel"/>
    <w:tmpl w:val="D96A3E3E"/>
    <w:lvl w:ilvl="0" w:tplc="26748E7E">
      <w:start w:val="1"/>
      <w:numFmt w:val="decimal"/>
      <w:pStyle w:val="AParaNumbering"/>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853953"/>
    <w:multiLevelType w:val="hybridMultilevel"/>
    <w:tmpl w:val="448AB60A"/>
    <w:lvl w:ilvl="0" w:tplc="733A1C48">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5E6B1C"/>
    <w:multiLevelType w:val="multilevel"/>
    <w:tmpl w:val="448E6B38"/>
    <w:lvl w:ilvl="0">
      <w:start w:val="1"/>
      <w:numFmt w:val="decimal"/>
      <w:pStyle w:val="ParagraphNumbering"/>
      <w:lvlText w:val="%1."/>
      <w:lvlJc w:val="left"/>
      <w:pPr>
        <w:tabs>
          <w:tab w:val="num" w:pos="360"/>
        </w:tabs>
        <w:ind w:left="0" w:firstLine="0"/>
      </w:pPr>
      <w:rPr>
        <w:rFonts w:ascii="CG Omega" w:hAnsi="CG Omega" w:hint="default"/>
        <w:b w:val="0"/>
        <w:i w:val="0"/>
        <w:caps w:val="0"/>
        <w:strike w:val="0"/>
        <w:dstrike w:val="0"/>
        <w:shadow w:val="0"/>
        <w:emboss w:val="0"/>
        <w:imprint w:val="0"/>
        <w:vanish w:val="0"/>
        <w:color w:val="auto"/>
        <w:sz w:val="24"/>
        <w:vertAlign w:val="baseline"/>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520"/>
        </w:tabs>
        <w:ind w:left="2160" w:firstLine="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54D955AE"/>
    <w:multiLevelType w:val="hybridMultilevel"/>
    <w:tmpl w:val="B5202A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9EF777A"/>
    <w:multiLevelType w:val="hybridMultilevel"/>
    <w:tmpl w:val="C1D0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F42D8"/>
    <w:multiLevelType w:val="hybridMultilevel"/>
    <w:tmpl w:val="EDC2AB1E"/>
    <w:lvl w:ilvl="0" w:tplc="A5FC6104">
      <w:start w:val="1"/>
      <w:numFmt w:val="decimal"/>
      <w:lvlText w:val="%1."/>
      <w:lvlJc w:val="left"/>
      <w:pPr>
        <w:ind w:left="1080" w:hanging="720"/>
      </w:pPr>
      <w:rPr>
        <w:rFonts w:hint="default"/>
      </w:rPr>
    </w:lvl>
    <w:lvl w:ilvl="1" w:tplc="336AFA68" w:tentative="1">
      <w:start w:val="1"/>
      <w:numFmt w:val="lowerLetter"/>
      <w:lvlText w:val="%2."/>
      <w:lvlJc w:val="left"/>
      <w:pPr>
        <w:ind w:left="1440" w:hanging="360"/>
      </w:pPr>
    </w:lvl>
    <w:lvl w:ilvl="2" w:tplc="F1DAB7A8" w:tentative="1">
      <w:start w:val="1"/>
      <w:numFmt w:val="lowerRoman"/>
      <w:lvlText w:val="%3."/>
      <w:lvlJc w:val="right"/>
      <w:pPr>
        <w:ind w:left="2160" w:hanging="180"/>
      </w:pPr>
    </w:lvl>
    <w:lvl w:ilvl="3" w:tplc="44EC7DE6" w:tentative="1">
      <w:start w:val="1"/>
      <w:numFmt w:val="decimal"/>
      <w:lvlText w:val="%4."/>
      <w:lvlJc w:val="left"/>
      <w:pPr>
        <w:ind w:left="2880" w:hanging="360"/>
      </w:pPr>
    </w:lvl>
    <w:lvl w:ilvl="4" w:tplc="87E842F4" w:tentative="1">
      <w:start w:val="1"/>
      <w:numFmt w:val="lowerLetter"/>
      <w:lvlText w:val="%5."/>
      <w:lvlJc w:val="left"/>
      <w:pPr>
        <w:ind w:left="3600" w:hanging="360"/>
      </w:pPr>
    </w:lvl>
    <w:lvl w:ilvl="5" w:tplc="09987E26" w:tentative="1">
      <w:start w:val="1"/>
      <w:numFmt w:val="lowerRoman"/>
      <w:lvlText w:val="%6."/>
      <w:lvlJc w:val="right"/>
      <w:pPr>
        <w:ind w:left="4320" w:hanging="180"/>
      </w:pPr>
    </w:lvl>
    <w:lvl w:ilvl="6" w:tplc="EFECE016" w:tentative="1">
      <w:start w:val="1"/>
      <w:numFmt w:val="decimal"/>
      <w:lvlText w:val="%7."/>
      <w:lvlJc w:val="left"/>
      <w:pPr>
        <w:ind w:left="5040" w:hanging="360"/>
      </w:pPr>
    </w:lvl>
    <w:lvl w:ilvl="7" w:tplc="533C80E6" w:tentative="1">
      <w:start w:val="1"/>
      <w:numFmt w:val="lowerLetter"/>
      <w:lvlText w:val="%8."/>
      <w:lvlJc w:val="left"/>
      <w:pPr>
        <w:ind w:left="5760" w:hanging="360"/>
      </w:pPr>
    </w:lvl>
    <w:lvl w:ilvl="8" w:tplc="723E508E" w:tentative="1">
      <w:start w:val="1"/>
      <w:numFmt w:val="lowerRoman"/>
      <w:lvlText w:val="%9."/>
      <w:lvlJc w:val="right"/>
      <w:pPr>
        <w:ind w:left="6480" w:hanging="180"/>
      </w:pPr>
    </w:lvl>
  </w:abstractNum>
  <w:abstractNum w:abstractNumId="9" w15:restartNumberingAfterBreak="0">
    <w:nsid w:val="72027B45"/>
    <w:multiLevelType w:val="hybridMultilevel"/>
    <w:tmpl w:val="1242DDBA"/>
    <w:lvl w:ilvl="0" w:tplc="418288EE">
      <w:start w:val="1"/>
      <w:numFmt w:val="decimal"/>
      <w:lvlText w:val="%1."/>
      <w:lvlJc w:val="left"/>
      <w:pPr>
        <w:ind w:left="720" w:hanging="360"/>
      </w:pPr>
      <w:rPr>
        <w:rFonts w:ascii="Times New Roman" w:eastAsia="Times New Roman" w:hAnsi="Times New Roman" w:cs="Times New Roman"/>
      </w:rPr>
    </w:lvl>
    <w:lvl w:ilvl="1" w:tplc="85162472">
      <w:start w:val="1"/>
      <w:numFmt w:val="lowerLetter"/>
      <w:lvlText w:val="%2."/>
      <w:lvlJc w:val="left"/>
      <w:pPr>
        <w:ind w:left="1440" w:hanging="360"/>
      </w:pPr>
    </w:lvl>
    <w:lvl w:ilvl="2" w:tplc="8F3C739E" w:tentative="1">
      <w:start w:val="1"/>
      <w:numFmt w:val="lowerRoman"/>
      <w:lvlText w:val="%3."/>
      <w:lvlJc w:val="right"/>
      <w:pPr>
        <w:ind w:left="2160" w:hanging="180"/>
      </w:pPr>
    </w:lvl>
    <w:lvl w:ilvl="3" w:tplc="14905784" w:tentative="1">
      <w:start w:val="1"/>
      <w:numFmt w:val="decimal"/>
      <w:lvlText w:val="%4."/>
      <w:lvlJc w:val="left"/>
      <w:pPr>
        <w:ind w:left="2880" w:hanging="360"/>
      </w:pPr>
    </w:lvl>
    <w:lvl w:ilvl="4" w:tplc="BDF28E02" w:tentative="1">
      <w:start w:val="1"/>
      <w:numFmt w:val="lowerLetter"/>
      <w:lvlText w:val="%5."/>
      <w:lvlJc w:val="left"/>
      <w:pPr>
        <w:ind w:left="3600" w:hanging="360"/>
      </w:pPr>
    </w:lvl>
    <w:lvl w:ilvl="5" w:tplc="869C9C06" w:tentative="1">
      <w:start w:val="1"/>
      <w:numFmt w:val="lowerRoman"/>
      <w:lvlText w:val="%6."/>
      <w:lvlJc w:val="right"/>
      <w:pPr>
        <w:ind w:left="4320" w:hanging="180"/>
      </w:pPr>
    </w:lvl>
    <w:lvl w:ilvl="6" w:tplc="1BD08298" w:tentative="1">
      <w:start w:val="1"/>
      <w:numFmt w:val="decimal"/>
      <w:lvlText w:val="%7."/>
      <w:lvlJc w:val="left"/>
      <w:pPr>
        <w:ind w:left="5040" w:hanging="360"/>
      </w:pPr>
    </w:lvl>
    <w:lvl w:ilvl="7" w:tplc="9B44F722" w:tentative="1">
      <w:start w:val="1"/>
      <w:numFmt w:val="lowerLetter"/>
      <w:lvlText w:val="%8."/>
      <w:lvlJc w:val="left"/>
      <w:pPr>
        <w:ind w:left="5760" w:hanging="360"/>
      </w:pPr>
    </w:lvl>
    <w:lvl w:ilvl="8" w:tplc="5E9E3D38" w:tentative="1">
      <w:start w:val="1"/>
      <w:numFmt w:val="lowerRoman"/>
      <w:lvlText w:val="%9."/>
      <w:lvlJc w:val="right"/>
      <w:pPr>
        <w:ind w:left="6480" w:hanging="180"/>
      </w:pPr>
    </w:lvl>
  </w:abstractNum>
  <w:abstractNum w:abstractNumId="10" w15:restartNumberingAfterBreak="0">
    <w:nsid w:val="76F90C4B"/>
    <w:multiLevelType w:val="hybridMultilevel"/>
    <w:tmpl w:val="FEBE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B30B6"/>
    <w:multiLevelType w:val="hybridMultilevel"/>
    <w:tmpl w:val="D1F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4"/>
  </w:num>
  <w:num w:numId="6">
    <w:abstractNumId w:val="6"/>
  </w:num>
  <w:num w:numId="7">
    <w:abstractNumId w:val="2"/>
  </w:num>
  <w:num w:numId="8">
    <w:abstractNumId w:val="10"/>
  </w:num>
  <w:num w:numId="9">
    <w:abstractNumId w:val="11"/>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64"/>
    <w:rsid w:val="0000308A"/>
    <w:rsid w:val="00005C36"/>
    <w:rsid w:val="000207F7"/>
    <w:rsid w:val="00027179"/>
    <w:rsid w:val="00030D71"/>
    <w:rsid w:val="0003357D"/>
    <w:rsid w:val="000339BC"/>
    <w:rsid w:val="0003447D"/>
    <w:rsid w:val="00041A3A"/>
    <w:rsid w:val="000500DB"/>
    <w:rsid w:val="00054C8E"/>
    <w:rsid w:val="0005683F"/>
    <w:rsid w:val="00062598"/>
    <w:rsid w:val="00063541"/>
    <w:rsid w:val="00063970"/>
    <w:rsid w:val="000647E7"/>
    <w:rsid w:val="0006612A"/>
    <w:rsid w:val="00070298"/>
    <w:rsid w:val="000737BF"/>
    <w:rsid w:val="000805F1"/>
    <w:rsid w:val="00081F57"/>
    <w:rsid w:val="0009301A"/>
    <w:rsid w:val="00093663"/>
    <w:rsid w:val="000A0538"/>
    <w:rsid w:val="000A43EB"/>
    <w:rsid w:val="000B7752"/>
    <w:rsid w:val="000C7B66"/>
    <w:rsid w:val="000D262B"/>
    <w:rsid w:val="000D31DB"/>
    <w:rsid w:val="000E2B4A"/>
    <w:rsid w:val="000E329F"/>
    <w:rsid w:val="000E6549"/>
    <w:rsid w:val="000F29A2"/>
    <w:rsid w:val="000F41F6"/>
    <w:rsid w:val="0010242E"/>
    <w:rsid w:val="00103A37"/>
    <w:rsid w:val="00113A1F"/>
    <w:rsid w:val="00113A60"/>
    <w:rsid w:val="0011457B"/>
    <w:rsid w:val="0012482F"/>
    <w:rsid w:val="00127AD0"/>
    <w:rsid w:val="001301B6"/>
    <w:rsid w:val="0013205F"/>
    <w:rsid w:val="00144996"/>
    <w:rsid w:val="00146865"/>
    <w:rsid w:val="001546C7"/>
    <w:rsid w:val="001676F2"/>
    <w:rsid w:val="00170A0B"/>
    <w:rsid w:val="001775DE"/>
    <w:rsid w:val="00180318"/>
    <w:rsid w:val="001824A4"/>
    <w:rsid w:val="00184387"/>
    <w:rsid w:val="001870E3"/>
    <w:rsid w:val="00190D7B"/>
    <w:rsid w:val="001916B2"/>
    <w:rsid w:val="00195065"/>
    <w:rsid w:val="001A0628"/>
    <w:rsid w:val="001A1708"/>
    <w:rsid w:val="001B0B14"/>
    <w:rsid w:val="001B3ACC"/>
    <w:rsid w:val="001B4C81"/>
    <w:rsid w:val="001C1BBB"/>
    <w:rsid w:val="001C3A3B"/>
    <w:rsid w:val="001D4A7F"/>
    <w:rsid w:val="001D4EC0"/>
    <w:rsid w:val="001D76B7"/>
    <w:rsid w:val="001E1843"/>
    <w:rsid w:val="001E5DFB"/>
    <w:rsid w:val="001E77F2"/>
    <w:rsid w:val="001F2C15"/>
    <w:rsid w:val="001F5B0B"/>
    <w:rsid w:val="00203A03"/>
    <w:rsid w:val="00210D14"/>
    <w:rsid w:val="002119AB"/>
    <w:rsid w:val="00216D50"/>
    <w:rsid w:val="00222609"/>
    <w:rsid w:val="00222A4D"/>
    <w:rsid w:val="002304BE"/>
    <w:rsid w:val="002325F0"/>
    <w:rsid w:val="002342A6"/>
    <w:rsid w:val="00240CEA"/>
    <w:rsid w:val="002468B6"/>
    <w:rsid w:val="00256F20"/>
    <w:rsid w:val="002665AD"/>
    <w:rsid w:val="002718AF"/>
    <w:rsid w:val="00272EFC"/>
    <w:rsid w:val="00276DEA"/>
    <w:rsid w:val="00281D35"/>
    <w:rsid w:val="00282B70"/>
    <w:rsid w:val="00284712"/>
    <w:rsid w:val="00290605"/>
    <w:rsid w:val="00297EBB"/>
    <w:rsid w:val="002A6B0C"/>
    <w:rsid w:val="002B1153"/>
    <w:rsid w:val="002B2EBC"/>
    <w:rsid w:val="002B309B"/>
    <w:rsid w:val="002B756F"/>
    <w:rsid w:val="002C01A9"/>
    <w:rsid w:val="002C3313"/>
    <w:rsid w:val="002C6A26"/>
    <w:rsid w:val="002D0B6E"/>
    <w:rsid w:val="002D7751"/>
    <w:rsid w:val="002E2A64"/>
    <w:rsid w:val="002E440B"/>
    <w:rsid w:val="002E7914"/>
    <w:rsid w:val="002F1238"/>
    <w:rsid w:val="002F29DB"/>
    <w:rsid w:val="00300E96"/>
    <w:rsid w:val="00303BE2"/>
    <w:rsid w:val="003046CB"/>
    <w:rsid w:val="00313E98"/>
    <w:rsid w:val="00320826"/>
    <w:rsid w:val="0032388C"/>
    <w:rsid w:val="00331317"/>
    <w:rsid w:val="0033134A"/>
    <w:rsid w:val="003315CD"/>
    <w:rsid w:val="00342FE0"/>
    <w:rsid w:val="00352503"/>
    <w:rsid w:val="00353D25"/>
    <w:rsid w:val="00354417"/>
    <w:rsid w:val="00354A36"/>
    <w:rsid w:val="003609CF"/>
    <w:rsid w:val="0036130C"/>
    <w:rsid w:val="00365D7C"/>
    <w:rsid w:val="00375C36"/>
    <w:rsid w:val="003822B3"/>
    <w:rsid w:val="00391069"/>
    <w:rsid w:val="0039252C"/>
    <w:rsid w:val="0039292C"/>
    <w:rsid w:val="003A0147"/>
    <w:rsid w:val="003A39C5"/>
    <w:rsid w:val="003A42B9"/>
    <w:rsid w:val="003A5580"/>
    <w:rsid w:val="003B0515"/>
    <w:rsid w:val="003B6C94"/>
    <w:rsid w:val="003C0C71"/>
    <w:rsid w:val="003C6E36"/>
    <w:rsid w:val="003D1DE3"/>
    <w:rsid w:val="003D595F"/>
    <w:rsid w:val="003D6017"/>
    <w:rsid w:val="003D6FFE"/>
    <w:rsid w:val="003E0923"/>
    <w:rsid w:val="003E200B"/>
    <w:rsid w:val="003E55E3"/>
    <w:rsid w:val="003F2D6B"/>
    <w:rsid w:val="003F3A5C"/>
    <w:rsid w:val="003F5B8E"/>
    <w:rsid w:val="003F5C47"/>
    <w:rsid w:val="0041292A"/>
    <w:rsid w:val="0041300A"/>
    <w:rsid w:val="0041484B"/>
    <w:rsid w:val="00423306"/>
    <w:rsid w:val="00426454"/>
    <w:rsid w:val="00437934"/>
    <w:rsid w:val="00441D69"/>
    <w:rsid w:val="00447DF0"/>
    <w:rsid w:val="0045036A"/>
    <w:rsid w:val="00452DFB"/>
    <w:rsid w:val="00460CAA"/>
    <w:rsid w:val="00460FC2"/>
    <w:rsid w:val="00462333"/>
    <w:rsid w:val="004658D3"/>
    <w:rsid w:val="00466FB8"/>
    <w:rsid w:val="00471AA5"/>
    <w:rsid w:val="0047250D"/>
    <w:rsid w:val="0047327C"/>
    <w:rsid w:val="00476268"/>
    <w:rsid w:val="00484699"/>
    <w:rsid w:val="00486321"/>
    <w:rsid w:val="00491744"/>
    <w:rsid w:val="00495D8B"/>
    <w:rsid w:val="0049724D"/>
    <w:rsid w:val="004A06F3"/>
    <w:rsid w:val="004A1570"/>
    <w:rsid w:val="004A4273"/>
    <w:rsid w:val="004A455E"/>
    <w:rsid w:val="004A562E"/>
    <w:rsid w:val="004A7929"/>
    <w:rsid w:val="004B5442"/>
    <w:rsid w:val="004D16B2"/>
    <w:rsid w:val="004D1DE1"/>
    <w:rsid w:val="004D20E8"/>
    <w:rsid w:val="004D4AD3"/>
    <w:rsid w:val="004D5C32"/>
    <w:rsid w:val="004E252A"/>
    <w:rsid w:val="004E56C2"/>
    <w:rsid w:val="004E5E6E"/>
    <w:rsid w:val="004F59DB"/>
    <w:rsid w:val="00501AB0"/>
    <w:rsid w:val="00503BD4"/>
    <w:rsid w:val="00511852"/>
    <w:rsid w:val="00513738"/>
    <w:rsid w:val="00513993"/>
    <w:rsid w:val="00514452"/>
    <w:rsid w:val="00520FA1"/>
    <w:rsid w:val="00524DFA"/>
    <w:rsid w:val="00526CB9"/>
    <w:rsid w:val="00532D63"/>
    <w:rsid w:val="005330F1"/>
    <w:rsid w:val="005350FD"/>
    <w:rsid w:val="005536F7"/>
    <w:rsid w:val="00554A93"/>
    <w:rsid w:val="00554C7E"/>
    <w:rsid w:val="00560382"/>
    <w:rsid w:val="005626C6"/>
    <w:rsid w:val="00566F6D"/>
    <w:rsid w:val="005674BE"/>
    <w:rsid w:val="005709A1"/>
    <w:rsid w:val="00574340"/>
    <w:rsid w:val="00575646"/>
    <w:rsid w:val="005844C4"/>
    <w:rsid w:val="0059759E"/>
    <w:rsid w:val="005A1954"/>
    <w:rsid w:val="005A272C"/>
    <w:rsid w:val="005A4D4E"/>
    <w:rsid w:val="005A7DB1"/>
    <w:rsid w:val="005B010C"/>
    <w:rsid w:val="005B55D3"/>
    <w:rsid w:val="005C00D6"/>
    <w:rsid w:val="005C7CAC"/>
    <w:rsid w:val="005D12D8"/>
    <w:rsid w:val="005D1A27"/>
    <w:rsid w:val="005D6223"/>
    <w:rsid w:val="005E1DFA"/>
    <w:rsid w:val="005E2083"/>
    <w:rsid w:val="005E386C"/>
    <w:rsid w:val="005E4BA2"/>
    <w:rsid w:val="005F0426"/>
    <w:rsid w:val="005F61BA"/>
    <w:rsid w:val="00605AD2"/>
    <w:rsid w:val="00615330"/>
    <w:rsid w:val="00621270"/>
    <w:rsid w:val="00630C01"/>
    <w:rsid w:val="00644782"/>
    <w:rsid w:val="00647805"/>
    <w:rsid w:val="00664AE5"/>
    <w:rsid w:val="0067050F"/>
    <w:rsid w:val="006726B5"/>
    <w:rsid w:val="00675FF3"/>
    <w:rsid w:val="00681DDE"/>
    <w:rsid w:val="00685AE2"/>
    <w:rsid w:val="00690D8B"/>
    <w:rsid w:val="0069329B"/>
    <w:rsid w:val="006933E1"/>
    <w:rsid w:val="00694469"/>
    <w:rsid w:val="0069769E"/>
    <w:rsid w:val="006A1C5D"/>
    <w:rsid w:val="006A475D"/>
    <w:rsid w:val="006A70A2"/>
    <w:rsid w:val="006A7B1B"/>
    <w:rsid w:val="006B0562"/>
    <w:rsid w:val="006B0E00"/>
    <w:rsid w:val="006B10EA"/>
    <w:rsid w:val="006C5464"/>
    <w:rsid w:val="006D2A17"/>
    <w:rsid w:val="006D72E3"/>
    <w:rsid w:val="006E1725"/>
    <w:rsid w:val="006E7035"/>
    <w:rsid w:val="006F697A"/>
    <w:rsid w:val="006F7DA0"/>
    <w:rsid w:val="007023D2"/>
    <w:rsid w:val="0070314D"/>
    <w:rsid w:val="00703AFA"/>
    <w:rsid w:val="007305A6"/>
    <w:rsid w:val="007318B7"/>
    <w:rsid w:val="00732587"/>
    <w:rsid w:val="00740350"/>
    <w:rsid w:val="007411C2"/>
    <w:rsid w:val="00744A43"/>
    <w:rsid w:val="00751452"/>
    <w:rsid w:val="00755A4D"/>
    <w:rsid w:val="00756E71"/>
    <w:rsid w:val="00762B34"/>
    <w:rsid w:val="00764413"/>
    <w:rsid w:val="007644E0"/>
    <w:rsid w:val="0076506F"/>
    <w:rsid w:val="007704F2"/>
    <w:rsid w:val="007724CE"/>
    <w:rsid w:val="0077255E"/>
    <w:rsid w:val="007742E8"/>
    <w:rsid w:val="00776352"/>
    <w:rsid w:val="00776AD7"/>
    <w:rsid w:val="007778A9"/>
    <w:rsid w:val="00782926"/>
    <w:rsid w:val="00782D11"/>
    <w:rsid w:val="00784D9A"/>
    <w:rsid w:val="007B2A50"/>
    <w:rsid w:val="007B5AD5"/>
    <w:rsid w:val="007B6D8D"/>
    <w:rsid w:val="007C02B3"/>
    <w:rsid w:val="007C1184"/>
    <w:rsid w:val="007C1AB6"/>
    <w:rsid w:val="007D1AFE"/>
    <w:rsid w:val="007D4180"/>
    <w:rsid w:val="007E404B"/>
    <w:rsid w:val="007E485A"/>
    <w:rsid w:val="007F4AD7"/>
    <w:rsid w:val="00817E0D"/>
    <w:rsid w:val="00821D69"/>
    <w:rsid w:val="008220C7"/>
    <w:rsid w:val="00822B47"/>
    <w:rsid w:val="0082448D"/>
    <w:rsid w:val="00827177"/>
    <w:rsid w:val="008318B9"/>
    <w:rsid w:val="00836B5F"/>
    <w:rsid w:val="008407FF"/>
    <w:rsid w:val="00846EEE"/>
    <w:rsid w:val="00852CD4"/>
    <w:rsid w:val="00864518"/>
    <w:rsid w:val="00865298"/>
    <w:rsid w:val="00867A2D"/>
    <w:rsid w:val="008711C9"/>
    <w:rsid w:val="0087485C"/>
    <w:rsid w:val="008777BD"/>
    <w:rsid w:val="00893D5B"/>
    <w:rsid w:val="008A1B5D"/>
    <w:rsid w:val="008A22DF"/>
    <w:rsid w:val="008A370F"/>
    <w:rsid w:val="008A4CE5"/>
    <w:rsid w:val="008A57AE"/>
    <w:rsid w:val="008A73BB"/>
    <w:rsid w:val="008A7535"/>
    <w:rsid w:val="008B476A"/>
    <w:rsid w:val="008C0B5A"/>
    <w:rsid w:val="008C1CFB"/>
    <w:rsid w:val="008C417F"/>
    <w:rsid w:val="008C5E46"/>
    <w:rsid w:val="008C61E1"/>
    <w:rsid w:val="008C7010"/>
    <w:rsid w:val="008D5A19"/>
    <w:rsid w:val="008D6EEB"/>
    <w:rsid w:val="008E26E0"/>
    <w:rsid w:val="008E36DD"/>
    <w:rsid w:val="008F1FE3"/>
    <w:rsid w:val="008F4C9A"/>
    <w:rsid w:val="008F51DB"/>
    <w:rsid w:val="008F5C69"/>
    <w:rsid w:val="008F6EAD"/>
    <w:rsid w:val="00907345"/>
    <w:rsid w:val="00910F5D"/>
    <w:rsid w:val="00911528"/>
    <w:rsid w:val="00912071"/>
    <w:rsid w:val="0091405B"/>
    <w:rsid w:val="00914784"/>
    <w:rsid w:val="00922C3E"/>
    <w:rsid w:val="00923FFD"/>
    <w:rsid w:val="00924E54"/>
    <w:rsid w:val="0092698F"/>
    <w:rsid w:val="0093624C"/>
    <w:rsid w:val="00942BED"/>
    <w:rsid w:val="00942F2F"/>
    <w:rsid w:val="009462DD"/>
    <w:rsid w:val="0095610E"/>
    <w:rsid w:val="00957AF4"/>
    <w:rsid w:val="009613E6"/>
    <w:rsid w:val="00967E90"/>
    <w:rsid w:val="00973419"/>
    <w:rsid w:val="00976ED3"/>
    <w:rsid w:val="00977EA6"/>
    <w:rsid w:val="00981F80"/>
    <w:rsid w:val="00983D32"/>
    <w:rsid w:val="00996845"/>
    <w:rsid w:val="009A438A"/>
    <w:rsid w:val="009B177B"/>
    <w:rsid w:val="009B3936"/>
    <w:rsid w:val="009B781B"/>
    <w:rsid w:val="009C482D"/>
    <w:rsid w:val="009D08C8"/>
    <w:rsid w:val="009D3532"/>
    <w:rsid w:val="009F6115"/>
    <w:rsid w:val="009F6F1C"/>
    <w:rsid w:val="00A004BE"/>
    <w:rsid w:val="00A071A8"/>
    <w:rsid w:val="00A10E2D"/>
    <w:rsid w:val="00A14FDE"/>
    <w:rsid w:val="00A15BCF"/>
    <w:rsid w:val="00A2597E"/>
    <w:rsid w:val="00A26FB3"/>
    <w:rsid w:val="00A302FE"/>
    <w:rsid w:val="00A31D00"/>
    <w:rsid w:val="00A359AF"/>
    <w:rsid w:val="00A42062"/>
    <w:rsid w:val="00A44970"/>
    <w:rsid w:val="00A4628A"/>
    <w:rsid w:val="00A5369B"/>
    <w:rsid w:val="00A5508C"/>
    <w:rsid w:val="00A566C9"/>
    <w:rsid w:val="00A605D1"/>
    <w:rsid w:val="00A612A8"/>
    <w:rsid w:val="00A66E5E"/>
    <w:rsid w:val="00A71C8C"/>
    <w:rsid w:val="00A72865"/>
    <w:rsid w:val="00A742F8"/>
    <w:rsid w:val="00A76486"/>
    <w:rsid w:val="00A80CA2"/>
    <w:rsid w:val="00A853CF"/>
    <w:rsid w:val="00A97EDE"/>
    <w:rsid w:val="00AA2A12"/>
    <w:rsid w:val="00AA58E5"/>
    <w:rsid w:val="00AA60E9"/>
    <w:rsid w:val="00AB114B"/>
    <w:rsid w:val="00AB11FC"/>
    <w:rsid w:val="00AB5BA7"/>
    <w:rsid w:val="00AC11DC"/>
    <w:rsid w:val="00AC1270"/>
    <w:rsid w:val="00AC5EE4"/>
    <w:rsid w:val="00AD7611"/>
    <w:rsid w:val="00AD7B37"/>
    <w:rsid w:val="00AE12F1"/>
    <w:rsid w:val="00AE168A"/>
    <w:rsid w:val="00AE17A5"/>
    <w:rsid w:val="00AE39FA"/>
    <w:rsid w:val="00AE62B7"/>
    <w:rsid w:val="00AE7F0A"/>
    <w:rsid w:val="00B02CB7"/>
    <w:rsid w:val="00B02E96"/>
    <w:rsid w:val="00B0533F"/>
    <w:rsid w:val="00B06C81"/>
    <w:rsid w:val="00B0715E"/>
    <w:rsid w:val="00B07390"/>
    <w:rsid w:val="00B136E8"/>
    <w:rsid w:val="00B1472B"/>
    <w:rsid w:val="00B15598"/>
    <w:rsid w:val="00B2127B"/>
    <w:rsid w:val="00B22995"/>
    <w:rsid w:val="00B22C78"/>
    <w:rsid w:val="00B23D50"/>
    <w:rsid w:val="00B274E4"/>
    <w:rsid w:val="00B33D98"/>
    <w:rsid w:val="00B401EB"/>
    <w:rsid w:val="00B42EC5"/>
    <w:rsid w:val="00B44D3A"/>
    <w:rsid w:val="00B4635F"/>
    <w:rsid w:val="00B5529E"/>
    <w:rsid w:val="00B55B4D"/>
    <w:rsid w:val="00B63A20"/>
    <w:rsid w:val="00B67C96"/>
    <w:rsid w:val="00B77D15"/>
    <w:rsid w:val="00B8545D"/>
    <w:rsid w:val="00B90CFB"/>
    <w:rsid w:val="00B940C5"/>
    <w:rsid w:val="00B96773"/>
    <w:rsid w:val="00BA0921"/>
    <w:rsid w:val="00BA7AED"/>
    <w:rsid w:val="00BB0EA4"/>
    <w:rsid w:val="00BB242A"/>
    <w:rsid w:val="00BB3AC3"/>
    <w:rsid w:val="00BB48A8"/>
    <w:rsid w:val="00BB5B8E"/>
    <w:rsid w:val="00BB5E85"/>
    <w:rsid w:val="00BC0CB7"/>
    <w:rsid w:val="00BC24F9"/>
    <w:rsid w:val="00BC62C5"/>
    <w:rsid w:val="00BD3FCC"/>
    <w:rsid w:val="00BE1610"/>
    <w:rsid w:val="00BE1F7B"/>
    <w:rsid w:val="00BF0E91"/>
    <w:rsid w:val="00BF5B6C"/>
    <w:rsid w:val="00BF7AE1"/>
    <w:rsid w:val="00C10281"/>
    <w:rsid w:val="00C23CB2"/>
    <w:rsid w:val="00C273D6"/>
    <w:rsid w:val="00C315F8"/>
    <w:rsid w:val="00C31FD1"/>
    <w:rsid w:val="00C331E4"/>
    <w:rsid w:val="00C356F2"/>
    <w:rsid w:val="00C35FB6"/>
    <w:rsid w:val="00C4601F"/>
    <w:rsid w:val="00C53018"/>
    <w:rsid w:val="00C541DE"/>
    <w:rsid w:val="00C70406"/>
    <w:rsid w:val="00C8261E"/>
    <w:rsid w:val="00C93053"/>
    <w:rsid w:val="00CA1DDC"/>
    <w:rsid w:val="00CA4E0A"/>
    <w:rsid w:val="00CB0C5B"/>
    <w:rsid w:val="00CB0F15"/>
    <w:rsid w:val="00CB14D5"/>
    <w:rsid w:val="00CB646F"/>
    <w:rsid w:val="00CB71F5"/>
    <w:rsid w:val="00CC3813"/>
    <w:rsid w:val="00CD0899"/>
    <w:rsid w:val="00CD183F"/>
    <w:rsid w:val="00CE00C1"/>
    <w:rsid w:val="00CE498E"/>
    <w:rsid w:val="00CE5871"/>
    <w:rsid w:val="00CF7067"/>
    <w:rsid w:val="00D0650D"/>
    <w:rsid w:val="00D16CB6"/>
    <w:rsid w:val="00D220AD"/>
    <w:rsid w:val="00D34102"/>
    <w:rsid w:val="00D50607"/>
    <w:rsid w:val="00D5667C"/>
    <w:rsid w:val="00D646D7"/>
    <w:rsid w:val="00D64A59"/>
    <w:rsid w:val="00D668A8"/>
    <w:rsid w:val="00D74860"/>
    <w:rsid w:val="00D80503"/>
    <w:rsid w:val="00D80629"/>
    <w:rsid w:val="00D845F3"/>
    <w:rsid w:val="00D91D78"/>
    <w:rsid w:val="00D96653"/>
    <w:rsid w:val="00DA1D22"/>
    <w:rsid w:val="00DA4D5D"/>
    <w:rsid w:val="00DA7BDB"/>
    <w:rsid w:val="00DB29A4"/>
    <w:rsid w:val="00DB5FA5"/>
    <w:rsid w:val="00DC1534"/>
    <w:rsid w:val="00DD0DAB"/>
    <w:rsid w:val="00DD2C8A"/>
    <w:rsid w:val="00DF13C8"/>
    <w:rsid w:val="00DF732C"/>
    <w:rsid w:val="00E11C8C"/>
    <w:rsid w:val="00E14347"/>
    <w:rsid w:val="00E163B7"/>
    <w:rsid w:val="00E214EC"/>
    <w:rsid w:val="00E21EC3"/>
    <w:rsid w:val="00E3252F"/>
    <w:rsid w:val="00E367E8"/>
    <w:rsid w:val="00E406F4"/>
    <w:rsid w:val="00E44317"/>
    <w:rsid w:val="00E53647"/>
    <w:rsid w:val="00E543FA"/>
    <w:rsid w:val="00E56F9D"/>
    <w:rsid w:val="00E613AB"/>
    <w:rsid w:val="00E73007"/>
    <w:rsid w:val="00E74778"/>
    <w:rsid w:val="00E83673"/>
    <w:rsid w:val="00E83BFA"/>
    <w:rsid w:val="00E85A4F"/>
    <w:rsid w:val="00E97DFF"/>
    <w:rsid w:val="00EA0664"/>
    <w:rsid w:val="00EA7046"/>
    <w:rsid w:val="00EA70B1"/>
    <w:rsid w:val="00EB00E3"/>
    <w:rsid w:val="00EB6BC5"/>
    <w:rsid w:val="00EC567B"/>
    <w:rsid w:val="00ED0DB8"/>
    <w:rsid w:val="00ED2BA3"/>
    <w:rsid w:val="00ED7380"/>
    <w:rsid w:val="00EE2F4D"/>
    <w:rsid w:val="00EE5DF0"/>
    <w:rsid w:val="00EE62A0"/>
    <w:rsid w:val="00EF3F9C"/>
    <w:rsid w:val="00F02C1C"/>
    <w:rsid w:val="00F030C8"/>
    <w:rsid w:val="00F12623"/>
    <w:rsid w:val="00F16911"/>
    <w:rsid w:val="00F24DE8"/>
    <w:rsid w:val="00F26DE5"/>
    <w:rsid w:val="00F3012E"/>
    <w:rsid w:val="00F35990"/>
    <w:rsid w:val="00F369E8"/>
    <w:rsid w:val="00F376D3"/>
    <w:rsid w:val="00F51254"/>
    <w:rsid w:val="00F533DC"/>
    <w:rsid w:val="00F5379F"/>
    <w:rsid w:val="00F549C5"/>
    <w:rsid w:val="00F54C90"/>
    <w:rsid w:val="00F569CF"/>
    <w:rsid w:val="00F57829"/>
    <w:rsid w:val="00F64384"/>
    <w:rsid w:val="00F660AF"/>
    <w:rsid w:val="00F70364"/>
    <w:rsid w:val="00F7324F"/>
    <w:rsid w:val="00F93B89"/>
    <w:rsid w:val="00F9405F"/>
    <w:rsid w:val="00F96EE8"/>
    <w:rsid w:val="00FA0B35"/>
    <w:rsid w:val="00FA103C"/>
    <w:rsid w:val="00FA1F73"/>
    <w:rsid w:val="00FB3243"/>
    <w:rsid w:val="00FB59A0"/>
    <w:rsid w:val="00FB6D65"/>
    <w:rsid w:val="00FB784B"/>
    <w:rsid w:val="00FC0D9F"/>
    <w:rsid w:val="00FC1220"/>
    <w:rsid w:val="00FD06E5"/>
    <w:rsid w:val="00FD69A6"/>
    <w:rsid w:val="00FE3A6D"/>
    <w:rsid w:val="00FE4C23"/>
    <w:rsid w:val="00FE4F39"/>
    <w:rsid w:val="00FF1CA8"/>
    <w:rsid w:val="00FF4D32"/>
    <w:rsid w:val="00FF6D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4CF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36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F7036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3D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qFormat/>
    <w:rsid w:val="00F70364"/>
    <w:pPr>
      <w:autoSpaceDE w:val="0"/>
      <w:autoSpaceDN w:val="0"/>
      <w:adjustRightInd w:val="0"/>
      <w:spacing w:after="0" w:line="240" w:lineRule="auto"/>
      <w:jc w:val="both"/>
    </w:pPr>
    <w:rPr>
      <w:rFonts w:ascii="Arial" w:eastAsia="Times New Roman" w:hAnsi="Arial" w:cs="Arial"/>
      <w:sz w:val="24"/>
      <w:szCs w:val="24"/>
      <w:lang w:val="en-US" w:eastAsia="en-CA"/>
    </w:rPr>
  </w:style>
  <w:style w:type="paragraph" w:styleId="ListParagraph">
    <w:name w:val="List Paragraph"/>
    <w:basedOn w:val="Normal"/>
    <w:qFormat/>
    <w:rsid w:val="00F70364"/>
    <w:pPr>
      <w:ind w:left="720"/>
      <w:contextualSpacing/>
    </w:pPr>
  </w:style>
  <w:style w:type="character" w:customStyle="1" w:styleId="Heading1Char">
    <w:name w:val="Heading 1 Char"/>
    <w:basedOn w:val="DefaultParagraphFont"/>
    <w:link w:val="Heading1"/>
    <w:uiPriority w:val="9"/>
    <w:rsid w:val="00F70364"/>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1676F2"/>
    <w:pPr>
      <w:tabs>
        <w:tab w:val="center" w:pos="4680"/>
        <w:tab w:val="right" w:pos="9360"/>
      </w:tabs>
    </w:pPr>
  </w:style>
  <w:style w:type="character" w:customStyle="1" w:styleId="HeaderChar">
    <w:name w:val="Header Char"/>
    <w:basedOn w:val="DefaultParagraphFont"/>
    <w:link w:val="Header"/>
    <w:uiPriority w:val="99"/>
    <w:rsid w:val="001676F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1676F2"/>
    <w:pPr>
      <w:tabs>
        <w:tab w:val="center" w:pos="4680"/>
        <w:tab w:val="right" w:pos="9360"/>
      </w:tabs>
    </w:pPr>
  </w:style>
  <w:style w:type="character" w:customStyle="1" w:styleId="FooterChar">
    <w:name w:val="Footer Char"/>
    <w:basedOn w:val="DefaultParagraphFont"/>
    <w:link w:val="Footer"/>
    <w:uiPriority w:val="99"/>
    <w:rsid w:val="001676F2"/>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1301B6"/>
    <w:pPr>
      <w:spacing w:after="0"/>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tofAppealforOntario">
    <w:name w:val="Court of Appeal for Ontario"/>
    <w:basedOn w:val="Normal"/>
    <w:semiHidden/>
    <w:qFormat/>
    <w:rsid w:val="007778A9"/>
    <w:pPr>
      <w:spacing w:after="360"/>
      <w:jc w:val="center"/>
    </w:pPr>
    <w:rPr>
      <w:rFonts w:ascii="Arial" w:hAnsi="Arial" w:cs="Arial"/>
      <w:sz w:val="30"/>
      <w:szCs w:val="24"/>
      <w:lang w:val="en-CA"/>
    </w:rPr>
  </w:style>
  <w:style w:type="paragraph" w:customStyle="1" w:styleId="Nameofcounsel">
    <w:name w:val="Name of counsel"/>
    <w:basedOn w:val="Normal"/>
    <w:semiHidden/>
    <w:qFormat/>
    <w:rsid w:val="007778A9"/>
    <w:pPr>
      <w:spacing w:before="240" w:after="240"/>
    </w:pPr>
    <w:rPr>
      <w:rFonts w:ascii="Arial" w:hAnsi="Arial" w:cs="Arial"/>
      <w:sz w:val="26"/>
      <w:szCs w:val="24"/>
      <w:lang w:val="en-CA"/>
    </w:rPr>
  </w:style>
  <w:style w:type="paragraph" w:customStyle="1" w:styleId="Heard">
    <w:name w:val="Heard"/>
    <w:basedOn w:val="Normal"/>
    <w:semiHidden/>
    <w:qFormat/>
    <w:rsid w:val="007778A9"/>
    <w:pPr>
      <w:spacing w:before="240" w:after="240"/>
    </w:pPr>
    <w:rPr>
      <w:rFonts w:ascii="Arial" w:hAnsi="Arial" w:cs="Arial"/>
      <w:sz w:val="26"/>
      <w:szCs w:val="24"/>
      <w:lang w:val="en-CA"/>
    </w:rPr>
  </w:style>
  <w:style w:type="paragraph" w:customStyle="1" w:styleId="Inthematterof">
    <w:name w:val="In the matter of"/>
    <w:basedOn w:val="Normal"/>
    <w:semiHidden/>
    <w:qFormat/>
    <w:rsid w:val="007778A9"/>
    <w:pPr>
      <w:jc w:val="center"/>
    </w:pPr>
    <w:rPr>
      <w:rFonts w:ascii="Arial" w:hAnsi="Arial" w:cs="Arial"/>
      <w:sz w:val="26"/>
      <w:szCs w:val="24"/>
      <w:lang w:val="en-CA"/>
    </w:rPr>
  </w:style>
  <w:style w:type="paragraph" w:customStyle="1" w:styleId="AParaNumbering">
    <w:name w:val="A. Para Numbering"/>
    <w:basedOn w:val="Normal"/>
    <w:link w:val="AParaNumberingChar"/>
    <w:autoRedefine/>
    <w:qFormat/>
    <w:rsid w:val="00A612A8"/>
    <w:pPr>
      <w:numPr>
        <w:numId w:val="11"/>
      </w:numPr>
      <w:spacing w:before="120" w:after="120" w:line="480" w:lineRule="auto"/>
      <w:ind w:left="0" w:firstLine="0"/>
      <w:jc w:val="both"/>
    </w:pPr>
    <w:rPr>
      <w:rFonts w:ascii="Arial" w:hAnsi="Arial"/>
      <w:color w:val="000000" w:themeColor="text1"/>
      <w:sz w:val="26"/>
      <w:shd w:val="clear" w:color="auto" w:fill="FFFFFF"/>
      <w:lang w:val="en-CA"/>
    </w:rPr>
  </w:style>
  <w:style w:type="paragraph" w:customStyle="1" w:styleId="CQuote">
    <w:name w:val="C. Quote"/>
    <w:basedOn w:val="Normal"/>
    <w:next w:val="AParaNumbering"/>
    <w:qFormat/>
    <w:rsid w:val="007778A9"/>
    <w:pPr>
      <w:tabs>
        <w:tab w:val="left" w:pos="2160"/>
      </w:tabs>
      <w:spacing w:before="120" w:after="240"/>
      <w:ind w:left="1440" w:right="1440"/>
      <w:jc w:val="both"/>
    </w:pPr>
    <w:rPr>
      <w:rFonts w:ascii="Arial" w:hAnsi="Arial" w:cs="Arial"/>
      <w:sz w:val="26"/>
      <w:szCs w:val="24"/>
      <w:lang w:val="en-CA"/>
    </w:rPr>
  </w:style>
  <w:style w:type="character" w:customStyle="1" w:styleId="AParaNumberingChar">
    <w:name w:val="A. Para Numbering Char"/>
    <w:basedOn w:val="DefaultParagraphFont"/>
    <w:link w:val="AParaNumbering"/>
    <w:rsid w:val="00A612A8"/>
    <w:rPr>
      <w:rFonts w:ascii="Arial" w:eastAsia="Times New Roman" w:hAnsi="Arial" w:cs="Times New Roman"/>
      <w:color w:val="000000" w:themeColor="text1"/>
      <w:sz w:val="26"/>
      <w:szCs w:val="20"/>
    </w:rPr>
  </w:style>
  <w:style w:type="paragraph" w:styleId="BalloonText">
    <w:name w:val="Balloon Text"/>
    <w:basedOn w:val="Normal"/>
    <w:link w:val="BalloonTextChar"/>
    <w:uiPriority w:val="99"/>
    <w:semiHidden/>
    <w:unhideWhenUsed/>
    <w:rsid w:val="00B55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29E"/>
    <w:rPr>
      <w:rFonts w:ascii="Segoe UI" w:eastAsia="Times New Roman" w:hAnsi="Segoe UI" w:cs="Segoe UI"/>
      <w:sz w:val="18"/>
      <w:szCs w:val="18"/>
      <w:lang w:val="en-US"/>
    </w:rPr>
  </w:style>
  <w:style w:type="paragraph" w:customStyle="1" w:styleId="xmsonormal">
    <w:name w:val="x_msonormal"/>
    <w:basedOn w:val="Normal"/>
    <w:rsid w:val="003E55E3"/>
    <w:rPr>
      <w:rFonts w:ascii="Calibri" w:eastAsiaTheme="minorHAnsi" w:hAnsi="Calibri" w:cs="Calibri"/>
      <w:sz w:val="22"/>
      <w:szCs w:val="22"/>
      <w:lang w:val="en-CA" w:eastAsia="en-CA"/>
    </w:rPr>
  </w:style>
  <w:style w:type="paragraph" w:styleId="FootnoteText">
    <w:name w:val="footnote text"/>
    <w:basedOn w:val="Normal"/>
    <w:link w:val="FootnoteTextChar"/>
    <w:uiPriority w:val="99"/>
    <w:semiHidden/>
    <w:unhideWhenUsed/>
    <w:rsid w:val="006B0E00"/>
    <w:rPr>
      <w:sz w:val="20"/>
    </w:rPr>
  </w:style>
  <w:style w:type="character" w:customStyle="1" w:styleId="FootnoteTextChar">
    <w:name w:val="Footnote Text Char"/>
    <w:basedOn w:val="DefaultParagraphFont"/>
    <w:link w:val="FootnoteText"/>
    <w:uiPriority w:val="99"/>
    <w:semiHidden/>
    <w:rsid w:val="006B0E0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B0E00"/>
    <w:rPr>
      <w:vertAlign w:val="superscript"/>
    </w:rPr>
  </w:style>
  <w:style w:type="character" w:customStyle="1" w:styleId="Heading2Char">
    <w:name w:val="Heading 2 Char"/>
    <w:basedOn w:val="DefaultParagraphFont"/>
    <w:link w:val="Heading2"/>
    <w:uiPriority w:val="9"/>
    <w:rsid w:val="00983D32"/>
    <w:rPr>
      <w:rFonts w:asciiTheme="majorHAnsi" w:eastAsiaTheme="majorEastAsia" w:hAnsiTheme="majorHAnsi" w:cstheme="majorBidi"/>
      <w:color w:val="365F91" w:themeColor="accent1" w:themeShade="BF"/>
      <w:sz w:val="26"/>
      <w:szCs w:val="26"/>
      <w:lang w:val="en-US"/>
    </w:rPr>
  </w:style>
  <w:style w:type="character" w:styleId="CommentReference">
    <w:name w:val="annotation reference"/>
    <w:basedOn w:val="DefaultParagraphFont"/>
    <w:uiPriority w:val="99"/>
    <w:semiHidden/>
    <w:unhideWhenUsed/>
    <w:rsid w:val="00E21EC3"/>
    <w:rPr>
      <w:sz w:val="16"/>
      <w:szCs w:val="16"/>
    </w:rPr>
  </w:style>
  <w:style w:type="paragraph" w:styleId="CommentText">
    <w:name w:val="annotation text"/>
    <w:basedOn w:val="Normal"/>
    <w:link w:val="CommentTextChar"/>
    <w:uiPriority w:val="99"/>
    <w:unhideWhenUsed/>
    <w:rsid w:val="00E21EC3"/>
    <w:rPr>
      <w:sz w:val="20"/>
    </w:rPr>
  </w:style>
  <w:style w:type="character" w:customStyle="1" w:styleId="CommentTextChar">
    <w:name w:val="Comment Text Char"/>
    <w:basedOn w:val="DefaultParagraphFont"/>
    <w:link w:val="CommentText"/>
    <w:uiPriority w:val="99"/>
    <w:rsid w:val="00E21EC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1EC3"/>
    <w:rPr>
      <w:b/>
      <w:bCs/>
    </w:rPr>
  </w:style>
  <w:style w:type="character" w:customStyle="1" w:styleId="CommentSubjectChar">
    <w:name w:val="Comment Subject Char"/>
    <w:basedOn w:val="CommentTextChar"/>
    <w:link w:val="CommentSubject"/>
    <w:uiPriority w:val="99"/>
    <w:semiHidden/>
    <w:rsid w:val="00E21EC3"/>
    <w:rPr>
      <w:rFonts w:ascii="Times New Roman" w:eastAsia="Times New Roman" w:hAnsi="Times New Roman" w:cs="Times New Roman"/>
      <w:b/>
      <w:bCs/>
      <w:sz w:val="20"/>
      <w:szCs w:val="20"/>
      <w:lang w:val="en-US"/>
    </w:rPr>
  </w:style>
  <w:style w:type="character" w:customStyle="1" w:styleId="ssbf">
    <w:name w:val="ss_bf"/>
    <w:basedOn w:val="DefaultParagraphFont"/>
    <w:rsid w:val="00093663"/>
  </w:style>
  <w:style w:type="paragraph" w:styleId="NormalWeb">
    <w:name w:val="Normal (Web)"/>
    <w:basedOn w:val="Normal"/>
    <w:uiPriority w:val="99"/>
    <w:unhideWhenUsed/>
    <w:rsid w:val="00093663"/>
    <w:pPr>
      <w:spacing w:before="100" w:beforeAutospacing="1" w:after="100" w:afterAutospacing="1"/>
    </w:pPr>
    <w:rPr>
      <w:szCs w:val="24"/>
    </w:rPr>
  </w:style>
  <w:style w:type="character" w:customStyle="1" w:styleId="reflex">
    <w:name w:val="reflex"/>
    <w:basedOn w:val="DefaultParagraphFont"/>
    <w:rsid w:val="00F57829"/>
  </w:style>
  <w:style w:type="character" w:customStyle="1" w:styleId="reflex3-block">
    <w:name w:val="reflex3-block"/>
    <w:basedOn w:val="DefaultParagraphFont"/>
    <w:rsid w:val="00F57829"/>
  </w:style>
  <w:style w:type="character" w:styleId="Hyperlink">
    <w:name w:val="Hyperlink"/>
    <w:basedOn w:val="DefaultParagraphFont"/>
    <w:uiPriority w:val="99"/>
    <w:unhideWhenUsed/>
    <w:rsid w:val="00F57829"/>
    <w:rPr>
      <w:color w:val="0000FF"/>
      <w:u w:val="single"/>
    </w:rPr>
  </w:style>
  <w:style w:type="character" w:customStyle="1" w:styleId="reflex3-alt">
    <w:name w:val="reflex3-alt"/>
    <w:basedOn w:val="DefaultParagraphFont"/>
    <w:rsid w:val="00F57829"/>
  </w:style>
  <w:style w:type="paragraph" w:customStyle="1" w:styleId="scjnormal">
    <w:name w:val="scjnormal"/>
    <w:basedOn w:val="Normal"/>
    <w:rsid w:val="00D91D78"/>
    <w:pPr>
      <w:spacing w:before="100" w:beforeAutospacing="1" w:after="100" w:afterAutospacing="1"/>
    </w:pPr>
    <w:rPr>
      <w:szCs w:val="24"/>
    </w:rPr>
  </w:style>
  <w:style w:type="paragraph" w:customStyle="1" w:styleId="ParagraphNumbering">
    <w:name w:val="Paragraph Numbering"/>
    <w:basedOn w:val="Normal"/>
    <w:rsid w:val="007C02B3"/>
    <w:pPr>
      <w:numPr>
        <w:numId w:val="12"/>
      </w:numPr>
      <w:tabs>
        <w:tab w:val="left" w:pos="720"/>
      </w:tabs>
      <w:spacing w:after="240" w:line="360" w:lineRule="auto"/>
      <w:jc w:val="both"/>
    </w:pPr>
    <w:rPr>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939248">
      <w:bodyDiv w:val="1"/>
      <w:marLeft w:val="0"/>
      <w:marRight w:val="0"/>
      <w:marTop w:val="0"/>
      <w:marBottom w:val="0"/>
      <w:divBdr>
        <w:top w:val="none" w:sz="0" w:space="0" w:color="auto"/>
        <w:left w:val="none" w:sz="0" w:space="0" w:color="auto"/>
        <w:bottom w:val="none" w:sz="0" w:space="0" w:color="auto"/>
        <w:right w:val="none" w:sz="0" w:space="0" w:color="auto"/>
      </w:divBdr>
    </w:div>
    <w:div w:id="68617329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80215373">
      <w:bodyDiv w:val="1"/>
      <w:marLeft w:val="0"/>
      <w:marRight w:val="0"/>
      <w:marTop w:val="0"/>
      <w:marBottom w:val="0"/>
      <w:divBdr>
        <w:top w:val="none" w:sz="0" w:space="0" w:color="auto"/>
        <w:left w:val="none" w:sz="0" w:space="0" w:color="auto"/>
        <w:bottom w:val="none" w:sz="0" w:space="0" w:color="auto"/>
        <w:right w:val="none" w:sz="0" w:space="0" w:color="auto"/>
      </w:divBdr>
    </w:div>
    <w:div w:id="10092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nlii.org/en/bc/bcsc/doc/2014/2014bcsc653/2014bcsc653.html" TargetMode="External"/><Relationship Id="rId2" Type="http://schemas.openxmlformats.org/officeDocument/2006/relationships/hyperlink" Target="https://www.canlii.org/en/yk/ykca/doc/2006/2006ykca14/2006ykca14.html" TargetMode="External"/><Relationship Id="rId1" Type="http://schemas.openxmlformats.org/officeDocument/2006/relationships/hyperlink" Target="https://www.canlii.org/en/yk/ykca/doc/2006/2006ykca14/2006ykca14.html" TargetMode="External"/><Relationship Id="rId6" Type="http://schemas.openxmlformats.org/officeDocument/2006/relationships/hyperlink" Target="https://www.canlii.org/en/bc/bcsc/doc/2012/2012bcsc440/2012bcsc440.html" TargetMode="External"/><Relationship Id="rId5" Type="http://schemas.openxmlformats.org/officeDocument/2006/relationships/hyperlink" Target="https://www.canlii.org/en/bc/bcsc/doc/2012/2012bcsc440/2012bcsc440.html" TargetMode="External"/><Relationship Id="rId4" Type="http://schemas.openxmlformats.org/officeDocument/2006/relationships/hyperlink" Target="https://www.canlii.org/en/bc/bcsc/doc/2014/2014bcsc653/2014bcsc6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2624</Words>
  <Characters>14957</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2021-01-14T14:24:00Z</dcterms:created>
  <dcterms:modified xsi:type="dcterms:W3CDTF">2021-01-14T14:24:00Z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2020-12-31T15:35:18.1218920Z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4e5c6b0b-b153-45a5-8691-bec729a86b8a</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