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2ED0" w14:textId="77777777" w:rsidR="007778A9" w:rsidRPr="009F6115" w:rsidRDefault="007778A9" w:rsidP="007778A9">
      <w:pPr>
        <w:pStyle w:val="CourtofAppealforOntario"/>
      </w:pPr>
      <w:r w:rsidRPr="009F6115">
        <w:rPr>
          <w:b/>
        </w:rPr>
        <w:t>ONTARIO JUDICIAL COUNCIL</w:t>
      </w:r>
    </w:p>
    <w:p w14:paraId="0713BA49" w14:textId="77777777" w:rsidR="007778A9" w:rsidRPr="009F6115" w:rsidRDefault="007778A9" w:rsidP="007778A9">
      <w:pPr>
        <w:pStyle w:val="Inthematterof"/>
        <w:rPr>
          <w:b/>
        </w:rPr>
      </w:pPr>
      <w:r w:rsidRPr="009F6115">
        <w:rPr>
          <w:b/>
        </w:rPr>
        <w:t xml:space="preserve">IN THE MATTER OF A HEARING UNDER SECTION 51.6 of the </w:t>
      </w:r>
    </w:p>
    <w:p w14:paraId="1ADE2909" w14:textId="77777777" w:rsidR="007778A9" w:rsidRPr="009F6115" w:rsidRDefault="007778A9" w:rsidP="007778A9">
      <w:pPr>
        <w:pStyle w:val="Inthematterof"/>
      </w:pPr>
      <w:r w:rsidRPr="009F6115">
        <w:rPr>
          <w:b/>
          <w:i/>
        </w:rPr>
        <w:t>COURTS OF JUSTICE ACT</w:t>
      </w:r>
      <w:r w:rsidRPr="009F6115">
        <w:rPr>
          <w:b/>
        </w:rPr>
        <w:t>, R.S.O. 1990, c. C. 43, as amended</w:t>
      </w:r>
      <w:r w:rsidRPr="009F6115">
        <w:t xml:space="preserve"> </w:t>
      </w:r>
    </w:p>
    <w:p w14:paraId="57D8FFAE" w14:textId="77777777" w:rsidR="007778A9" w:rsidRPr="009F6115" w:rsidRDefault="007778A9" w:rsidP="007778A9">
      <w:pPr>
        <w:pStyle w:val="Inthematterof"/>
      </w:pPr>
    </w:p>
    <w:p w14:paraId="3AD5A601" w14:textId="77777777" w:rsidR="007778A9" w:rsidRPr="009F6115" w:rsidRDefault="007778A9" w:rsidP="007778A9">
      <w:pPr>
        <w:pStyle w:val="Inthematterof"/>
        <w:rPr>
          <w:b/>
        </w:rPr>
      </w:pPr>
      <w:r w:rsidRPr="009F6115">
        <w:rPr>
          <w:b/>
        </w:rPr>
        <w:t xml:space="preserve">Concerning a Complaint about the Conduct of </w:t>
      </w:r>
    </w:p>
    <w:p w14:paraId="314E4E81" w14:textId="1ABEDAE2" w:rsidR="007778A9" w:rsidRPr="009F6115" w:rsidRDefault="007778A9" w:rsidP="007778A9">
      <w:pPr>
        <w:pStyle w:val="Inthematterof"/>
        <w:rPr>
          <w:b/>
        </w:rPr>
      </w:pPr>
      <w:r w:rsidRPr="009F6115">
        <w:rPr>
          <w:b/>
        </w:rPr>
        <w:t xml:space="preserve">the Honourable Justice Donald McLeod </w:t>
      </w:r>
    </w:p>
    <w:p w14:paraId="2426720C" w14:textId="77777777" w:rsidR="007778A9" w:rsidRPr="009F6115" w:rsidRDefault="007778A9" w:rsidP="007778A9">
      <w:pPr>
        <w:pStyle w:val="Inthematterof"/>
        <w:spacing w:line="480" w:lineRule="auto"/>
      </w:pPr>
    </w:p>
    <w:p w14:paraId="71F1FF43" w14:textId="77777777" w:rsidR="007778A9" w:rsidRPr="009F6115" w:rsidRDefault="007778A9" w:rsidP="007778A9">
      <w:pPr>
        <w:pStyle w:val="Nameofcounsel"/>
        <w:spacing w:before="0" w:after="0"/>
        <w:rPr>
          <w:b/>
        </w:rPr>
      </w:pPr>
      <w:r w:rsidRPr="009F6115">
        <w:rPr>
          <w:b/>
        </w:rPr>
        <w:t xml:space="preserve">Before: </w:t>
      </w:r>
    </w:p>
    <w:p w14:paraId="6BDAA36D" w14:textId="77777777" w:rsidR="007778A9" w:rsidRPr="009F6115" w:rsidRDefault="007778A9" w:rsidP="007778A9">
      <w:pPr>
        <w:pStyle w:val="Nameofcounsel"/>
        <w:spacing w:before="0" w:after="0"/>
        <w:rPr>
          <w:b/>
        </w:rPr>
      </w:pPr>
    </w:p>
    <w:p w14:paraId="3DBC70A1" w14:textId="07427C33" w:rsidR="007778A9" w:rsidRPr="009F6115" w:rsidRDefault="007778A9" w:rsidP="007778A9">
      <w:pPr>
        <w:pStyle w:val="Nameofcounsel"/>
        <w:spacing w:before="0" w:after="0"/>
      </w:pPr>
      <w:r w:rsidRPr="009F6115">
        <w:t>Justice Jane</w:t>
      </w:r>
      <w:r w:rsidR="00513993" w:rsidRPr="009F6115">
        <w:t>t</w:t>
      </w:r>
      <w:r w:rsidRPr="009F6115">
        <w:t xml:space="preserve"> Simmons, Chair</w:t>
      </w:r>
    </w:p>
    <w:p w14:paraId="013996DA" w14:textId="77777777" w:rsidR="007778A9" w:rsidRPr="009F6115" w:rsidRDefault="007778A9" w:rsidP="007778A9">
      <w:pPr>
        <w:pStyle w:val="Nameofcounsel"/>
        <w:spacing w:before="0" w:after="0"/>
      </w:pPr>
      <w:r w:rsidRPr="009F6115">
        <w:t>Court of Appeal for Ontario</w:t>
      </w:r>
    </w:p>
    <w:p w14:paraId="195CCBD1" w14:textId="77777777" w:rsidR="007778A9" w:rsidRPr="009F6115" w:rsidRDefault="007778A9" w:rsidP="007778A9">
      <w:pPr>
        <w:pStyle w:val="Nameofcounsel"/>
        <w:spacing w:before="0" w:after="0"/>
      </w:pPr>
    </w:p>
    <w:p w14:paraId="1803C142" w14:textId="1CA359F7" w:rsidR="007778A9" w:rsidRPr="009F6115" w:rsidRDefault="007778A9" w:rsidP="007778A9">
      <w:pPr>
        <w:pStyle w:val="Nameofcounsel"/>
        <w:spacing w:before="0" w:after="0"/>
      </w:pPr>
      <w:r w:rsidRPr="009F6115">
        <w:t>Justice Mich</w:t>
      </w:r>
      <w:r w:rsidR="00513993" w:rsidRPr="009F6115">
        <w:t>a</w:t>
      </w:r>
      <w:r w:rsidRPr="009F6115">
        <w:t xml:space="preserve">el </w:t>
      </w:r>
      <w:r w:rsidR="002C01A9" w:rsidRPr="009F6115">
        <w:t xml:space="preserve">J. </w:t>
      </w:r>
      <w:r w:rsidRPr="009F6115">
        <w:t>Epstein</w:t>
      </w:r>
    </w:p>
    <w:p w14:paraId="6319C605" w14:textId="77777777" w:rsidR="007778A9" w:rsidRPr="009F6115" w:rsidRDefault="007778A9" w:rsidP="007778A9">
      <w:pPr>
        <w:pStyle w:val="Nameofcounsel"/>
        <w:spacing w:before="0" w:after="0"/>
      </w:pPr>
      <w:r w:rsidRPr="009F6115">
        <w:t>Ontario Court of Justice</w:t>
      </w:r>
    </w:p>
    <w:p w14:paraId="6ECEA97C" w14:textId="77777777" w:rsidR="007778A9" w:rsidRPr="009F6115" w:rsidRDefault="007778A9" w:rsidP="007778A9">
      <w:pPr>
        <w:pStyle w:val="Nameofcounsel"/>
        <w:spacing w:before="0" w:after="0"/>
        <w:ind w:left="720"/>
      </w:pPr>
    </w:p>
    <w:p w14:paraId="0948DF5B" w14:textId="20F4DF5A" w:rsidR="007778A9" w:rsidRPr="009F6115" w:rsidRDefault="007778A9" w:rsidP="007778A9">
      <w:pPr>
        <w:pStyle w:val="Nameofcounsel"/>
        <w:spacing w:before="0" w:after="0"/>
      </w:pPr>
      <w:r w:rsidRPr="009F6115">
        <w:t xml:space="preserve">Mr. Malcolm </w:t>
      </w:r>
      <w:r w:rsidR="002C01A9" w:rsidRPr="009F6115">
        <w:t xml:space="preserve">M. </w:t>
      </w:r>
      <w:r w:rsidRPr="009F6115">
        <w:t>Mercer</w:t>
      </w:r>
    </w:p>
    <w:p w14:paraId="4BAD4959" w14:textId="77777777" w:rsidR="007778A9" w:rsidRPr="009F6115" w:rsidRDefault="007778A9" w:rsidP="007778A9">
      <w:pPr>
        <w:pStyle w:val="Nameofcounsel"/>
        <w:spacing w:before="0" w:after="0"/>
      </w:pPr>
      <w:r w:rsidRPr="009F6115">
        <w:t>Lawyer Member</w:t>
      </w:r>
    </w:p>
    <w:p w14:paraId="51E3CA60" w14:textId="77777777" w:rsidR="007778A9" w:rsidRPr="009F6115" w:rsidRDefault="007778A9" w:rsidP="007778A9">
      <w:pPr>
        <w:pStyle w:val="Nameofcounsel"/>
        <w:spacing w:before="0" w:after="0"/>
        <w:ind w:left="720"/>
      </w:pPr>
    </w:p>
    <w:p w14:paraId="2AD7A60F" w14:textId="2CDC5C1E" w:rsidR="007778A9" w:rsidRPr="009F6115" w:rsidRDefault="007778A9" w:rsidP="007778A9">
      <w:pPr>
        <w:pStyle w:val="Nameofcounsel"/>
        <w:spacing w:before="0" w:after="0"/>
      </w:pPr>
      <w:r w:rsidRPr="009F6115">
        <w:t>Mr. Victor Royce</w:t>
      </w:r>
    </w:p>
    <w:p w14:paraId="2E0A577B" w14:textId="77777777" w:rsidR="007778A9" w:rsidRPr="009F6115" w:rsidRDefault="007778A9" w:rsidP="007778A9">
      <w:pPr>
        <w:pStyle w:val="Nameofcounsel"/>
        <w:spacing w:before="0" w:after="0"/>
      </w:pPr>
      <w:r w:rsidRPr="009F6115">
        <w:t>Community Member</w:t>
      </w:r>
    </w:p>
    <w:p w14:paraId="5DCACED7" w14:textId="77777777" w:rsidR="007778A9" w:rsidRPr="009F6115" w:rsidRDefault="007778A9" w:rsidP="007778A9">
      <w:pPr>
        <w:pStyle w:val="Nameofcounsel"/>
        <w:spacing w:before="0" w:after="0"/>
        <w:ind w:firstLine="720"/>
        <w:rPr>
          <w:b/>
        </w:rPr>
      </w:pPr>
      <w:r w:rsidRPr="009F6115">
        <w:rPr>
          <w:b/>
        </w:rPr>
        <w:tab/>
      </w:r>
    </w:p>
    <w:p w14:paraId="486E010C" w14:textId="77777777" w:rsidR="007778A9" w:rsidRPr="009F6115" w:rsidRDefault="007778A9" w:rsidP="007778A9">
      <w:pPr>
        <w:pStyle w:val="Nameofcounsel"/>
        <w:rPr>
          <w:b/>
        </w:rPr>
      </w:pPr>
      <w:r w:rsidRPr="009F6115">
        <w:rPr>
          <w:b/>
        </w:rPr>
        <w:t>Hearing Panel of the Ontario Judicial Council</w:t>
      </w:r>
    </w:p>
    <w:p w14:paraId="3F2AF543" w14:textId="77777777" w:rsidR="007778A9" w:rsidRPr="009F6115" w:rsidRDefault="007778A9" w:rsidP="007778A9">
      <w:pPr>
        <w:pStyle w:val="Nameofcounsel"/>
      </w:pPr>
    </w:p>
    <w:p w14:paraId="6E0FE540" w14:textId="49F22B71" w:rsidR="007778A9" w:rsidRPr="009F6115" w:rsidRDefault="001E1843" w:rsidP="007778A9">
      <w:pPr>
        <w:pStyle w:val="Nameofcounsel"/>
        <w:jc w:val="center"/>
        <w:rPr>
          <w:b/>
          <w:sz w:val="32"/>
          <w:szCs w:val="32"/>
        </w:rPr>
      </w:pPr>
      <w:r w:rsidRPr="009F6115">
        <w:rPr>
          <w:b/>
          <w:sz w:val="32"/>
          <w:szCs w:val="32"/>
        </w:rPr>
        <w:t>REASONS FOR DECISION</w:t>
      </w:r>
    </w:p>
    <w:p w14:paraId="72DAC740" w14:textId="77777777" w:rsidR="007778A9" w:rsidRPr="009F6115" w:rsidRDefault="007778A9" w:rsidP="007778A9">
      <w:pPr>
        <w:pStyle w:val="Nameofcounsel"/>
        <w:rPr>
          <w:b/>
        </w:rPr>
      </w:pPr>
    </w:p>
    <w:p w14:paraId="4E1ADDF5" w14:textId="18A6624D" w:rsidR="007778A9" w:rsidRPr="009F6115" w:rsidRDefault="007778A9" w:rsidP="007778A9">
      <w:pPr>
        <w:pStyle w:val="Nameofcounsel"/>
        <w:rPr>
          <w:b/>
          <w:szCs w:val="26"/>
        </w:rPr>
      </w:pPr>
      <w:r w:rsidRPr="009F6115">
        <w:rPr>
          <w:b/>
          <w:szCs w:val="26"/>
        </w:rPr>
        <w:t>Counsel:</w:t>
      </w:r>
    </w:p>
    <w:p w14:paraId="77C1D5A5" w14:textId="778A3D87" w:rsidR="007778A9" w:rsidRPr="009F6115" w:rsidRDefault="00353D25" w:rsidP="007778A9">
      <w:pPr>
        <w:pStyle w:val="Nameofcounsel"/>
        <w:spacing w:before="0" w:after="0"/>
        <w:rPr>
          <w:szCs w:val="26"/>
        </w:rPr>
      </w:pPr>
      <w:r w:rsidRPr="009F6115">
        <w:rPr>
          <w:szCs w:val="26"/>
        </w:rPr>
        <w:t xml:space="preserve">Borden Ladner Gervais LLP: </w:t>
      </w:r>
      <w:r w:rsidR="007778A9" w:rsidRPr="009F6115">
        <w:rPr>
          <w:szCs w:val="26"/>
        </w:rPr>
        <w:t>Guy J. Pratte,</w:t>
      </w:r>
      <w:r w:rsidR="001E1843" w:rsidRPr="009F6115">
        <w:rPr>
          <w:szCs w:val="26"/>
        </w:rPr>
        <w:t xml:space="preserve"> </w:t>
      </w:r>
      <w:r w:rsidR="007778A9" w:rsidRPr="009F6115">
        <w:rPr>
          <w:szCs w:val="26"/>
        </w:rPr>
        <w:t>Nadia Effendi, Christine Muir</w:t>
      </w:r>
      <w:r w:rsidR="001E1843" w:rsidRPr="009F6115">
        <w:rPr>
          <w:szCs w:val="26"/>
        </w:rPr>
        <w:t>, Veronica Sjolin</w:t>
      </w:r>
      <w:r w:rsidR="003C6E36" w:rsidRPr="009F6115">
        <w:rPr>
          <w:szCs w:val="26"/>
        </w:rPr>
        <w:t>, Gr</w:t>
      </w:r>
      <w:r w:rsidR="002D7751" w:rsidRPr="009F6115">
        <w:rPr>
          <w:szCs w:val="26"/>
        </w:rPr>
        <w:t>aeme Hamilton</w:t>
      </w:r>
    </w:p>
    <w:p w14:paraId="622E0C62" w14:textId="148262B0" w:rsidR="007778A9" w:rsidRPr="009F6115" w:rsidRDefault="007778A9" w:rsidP="007778A9">
      <w:pPr>
        <w:pStyle w:val="Nameofcounsel"/>
        <w:spacing w:before="0" w:after="0"/>
        <w:rPr>
          <w:szCs w:val="26"/>
        </w:rPr>
      </w:pPr>
      <w:r w:rsidRPr="009F6115">
        <w:rPr>
          <w:szCs w:val="26"/>
        </w:rPr>
        <w:t xml:space="preserve">Presenting Counsel  </w:t>
      </w:r>
    </w:p>
    <w:p w14:paraId="1B9DE5BE" w14:textId="77777777" w:rsidR="007778A9" w:rsidRPr="009F6115" w:rsidRDefault="007778A9" w:rsidP="007778A9">
      <w:pPr>
        <w:pStyle w:val="Nameofcounsel"/>
        <w:spacing w:before="0" w:after="0"/>
        <w:rPr>
          <w:szCs w:val="26"/>
        </w:rPr>
      </w:pPr>
    </w:p>
    <w:p w14:paraId="755882FE" w14:textId="2B7C1395" w:rsidR="003B0515" w:rsidRPr="009F6115" w:rsidRDefault="003315CD" w:rsidP="007778A9">
      <w:pPr>
        <w:pStyle w:val="Nameofcounsel"/>
        <w:spacing w:before="0" w:after="0"/>
        <w:rPr>
          <w:szCs w:val="26"/>
        </w:rPr>
      </w:pPr>
      <w:r w:rsidRPr="009F6115">
        <w:rPr>
          <w:szCs w:val="26"/>
        </w:rPr>
        <w:t>Addario Law Group</w:t>
      </w:r>
      <w:r w:rsidR="003D6017" w:rsidRPr="009F6115">
        <w:rPr>
          <w:szCs w:val="26"/>
        </w:rPr>
        <w:t xml:space="preserve"> LLP: </w:t>
      </w:r>
      <w:r w:rsidR="007778A9" w:rsidRPr="009F6115">
        <w:rPr>
          <w:szCs w:val="26"/>
        </w:rPr>
        <w:t>Frank Addario</w:t>
      </w:r>
      <w:r w:rsidR="0005683F" w:rsidRPr="009F6115">
        <w:rPr>
          <w:szCs w:val="26"/>
        </w:rPr>
        <w:t xml:space="preserve">; Torys LLP: </w:t>
      </w:r>
      <w:r w:rsidR="002C01A9" w:rsidRPr="009F6115">
        <w:rPr>
          <w:szCs w:val="26"/>
        </w:rPr>
        <w:t xml:space="preserve">Sheila </w:t>
      </w:r>
      <w:r w:rsidR="00272EFC" w:rsidRPr="009F6115">
        <w:rPr>
          <w:szCs w:val="26"/>
        </w:rPr>
        <w:t xml:space="preserve">R. </w:t>
      </w:r>
      <w:r w:rsidR="002C01A9" w:rsidRPr="009F6115">
        <w:rPr>
          <w:szCs w:val="26"/>
        </w:rPr>
        <w:t>Block,</w:t>
      </w:r>
      <w:r w:rsidR="007778A9" w:rsidRPr="009F6115">
        <w:rPr>
          <w:szCs w:val="26"/>
        </w:rPr>
        <w:t xml:space="preserve"> </w:t>
      </w:r>
      <w:r w:rsidR="0005683F" w:rsidRPr="009F6115">
        <w:rPr>
          <w:szCs w:val="26"/>
        </w:rPr>
        <w:t xml:space="preserve">Irfan Kara, </w:t>
      </w:r>
      <w:r w:rsidR="00755A4D" w:rsidRPr="009F6115">
        <w:rPr>
          <w:szCs w:val="26"/>
        </w:rPr>
        <w:t>Craig Gilchrist</w:t>
      </w:r>
      <w:r w:rsidR="007C1184">
        <w:rPr>
          <w:szCs w:val="26"/>
        </w:rPr>
        <w:t>;</w:t>
      </w:r>
      <w:r w:rsidR="00621270" w:rsidRPr="009F6115">
        <w:rPr>
          <w:szCs w:val="26"/>
        </w:rPr>
        <w:t xml:space="preserve"> </w:t>
      </w:r>
      <w:r w:rsidR="0005683F" w:rsidRPr="009F6115">
        <w:rPr>
          <w:szCs w:val="26"/>
        </w:rPr>
        <w:t>Faisal Mirza</w:t>
      </w:r>
      <w:r w:rsidR="00621270" w:rsidRPr="009F6115">
        <w:rPr>
          <w:szCs w:val="26"/>
        </w:rPr>
        <w:t>; Gates Criminal Law:</w:t>
      </w:r>
      <w:r w:rsidR="00D96653" w:rsidRPr="009F6115">
        <w:rPr>
          <w:szCs w:val="26"/>
        </w:rPr>
        <w:t xml:space="preserve"> Kelly Gates</w:t>
      </w:r>
    </w:p>
    <w:p w14:paraId="349AC729" w14:textId="0D837820" w:rsidR="007778A9" w:rsidRPr="009F6115" w:rsidRDefault="007778A9" w:rsidP="007778A9">
      <w:pPr>
        <w:pStyle w:val="Nameofcounsel"/>
        <w:spacing w:before="0" w:after="0"/>
        <w:rPr>
          <w:szCs w:val="26"/>
        </w:rPr>
      </w:pPr>
      <w:r w:rsidRPr="009F6115">
        <w:rPr>
          <w:szCs w:val="26"/>
        </w:rPr>
        <w:t>Counsel for Justice</w:t>
      </w:r>
      <w:r w:rsidR="002E2A64" w:rsidRPr="009F6115">
        <w:rPr>
          <w:szCs w:val="26"/>
        </w:rPr>
        <w:t xml:space="preserve"> </w:t>
      </w:r>
      <w:r w:rsidRPr="009F6115">
        <w:rPr>
          <w:szCs w:val="26"/>
        </w:rPr>
        <w:t xml:space="preserve">McLeod </w:t>
      </w:r>
    </w:p>
    <w:p w14:paraId="30D73F9F" w14:textId="77777777" w:rsidR="007778A9" w:rsidRPr="009F6115" w:rsidRDefault="007778A9">
      <w:pPr>
        <w:spacing w:after="200" w:line="276" w:lineRule="auto"/>
        <w:rPr>
          <w:rFonts w:ascii="Arial" w:hAnsi="Arial" w:cs="Arial"/>
          <w:b/>
          <w:color w:val="000000"/>
        </w:rPr>
      </w:pPr>
      <w:r w:rsidRPr="009F6115">
        <w:rPr>
          <w:rFonts w:ascii="Arial" w:hAnsi="Arial" w:cs="Arial"/>
          <w:b/>
          <w:color w:val="000000"/>
        </w:rPr>
        <w:br w:type="page"/>
      </w:r>
    </w:p>
    <w:p w14:paraId="4CB0746D" w14:textId="744BD4F6" w:rsidR="00F70364" w:rsidRPr="009F6115" w:rsidRDefault="004A1570" w:rsidP="00F70364">
      <w:pPr>
        <w:keepNext/>
        <w:tabs>
          <w:tab w:val="left" w:pos="4890"/>
          <w:tab w:val="right" w:pos="9210"/>
        </w:tabs>
        <w:jc w:val="center"/>
        <w:outlineLvl w:val="5"/>
        <w:rPr>
          <w:rFonts w:ascii="Arial" w:hAnsi="Arial" w:cs="Arial"/>
          <w:b/>
          <w:bCs/>
          <w:sz w:val="28"/>
          <w:lang w:val="en-CA"/>
        </w:rPr>
      </w:pPr>
      <w:r w:rsidRPr="009F6115">
        <w:rPr>
          <w:rFonts w:ascii="Arial" w:hAnsi="Arial" w:cs="Arial"/>
          <w:b/>
          <w:bCs/>
          <w:sz w:val="28"/>
          <w:lang w:val="en-CA"/>
        </w:rPr>
        <w:lastRenderedPageBreak/>
        <w:t>REASONS FOR DECISION</w:t>
      </w:r>
    </w:p>
    <w:p w14:paraId="286F663F" w14:textId="77777777" w:rsidR="00F70364" w:rsidRPr="009F6115" w:rsidRDefault="00F70364" w:rsidP="00F70364">
      <w:pPr>
        <w:tabs>
          <w:tab w:val="left" w:pos="1290"/>
          <w:tab w:val="left" w:pos="2010"/>
          <w:tab w:val="left" w:pos="4749"/>
          <w:tab w:val="left" w:pos="5760"/>
          <w:tab w:val="left" w:pos="7770"/>
        </w:tabs>
        <w:spacing w:line="360" w:lineRule="atLeast"/>
        <w:jc w:val="both"/>
        <w:rPr>
          <w:rFonts w:ascii="Arial" w:hAnsi="Arial" w:cs="Arial"/>
          <w:lang w:val="en-CA"/>
        </w:rPr>
      </w:pPr>
    </w:p>
    <w:p w14:paraId="2F218888" w14:textId="03B63B05" w:rsidR="00942F2F" w:rsidRPr="009F6115" w:rsidRDefault="006B0E00" w:rsidP="00F54C90">
      <w:pPr>
        <w:pStyle w:val="AParaNumbering"/>
      </w:pPr>
      <w:r w:rsidRPr="009F6115">
        <w:t>These are reasons for a ruling made o</w:t>
      </w:r>
      <w:r w:rsidR="00976ED3" w:rsidRPr="009F6115">
        <w:t>n December 17, 2020</w:t>
      </w:r>
      <w:r w:rsidR="002E2A64" w:rsidRPr="009F6115">
        <w:t>. Th</w:t>
      </w:r>
      <w:r w:rsidR="00D845F3" w:rsidRPr="009F6115">
        <w:t>is</w:t>
      </w:r>
      <w:r w:rsidR="002E2A64" w:rsidRPr="009F6115">
        <w:t xml:space="preserve"> </w:t>
      </w:r>
      <w:r w:rsidR="006B10EA" w:rsidRPr="009F6115">
        <w:t>Panel</w:t>
      </w:r>
      <w:r w:rsidR="002E2A64" w:rsidRPr="009F6115">
        <w:t xml:space="preserve"> held</w:t>
      </w:r>
      <w:r w:rsidR="00976ED3" w:rsidRPr="009F6115">
        <w:t xml:space="preserve"> that a</w:t>
      </w:r>
      <w:r w:rsidR="007D4180" w:rsidRPr="009F6115">
        <w:t xml:space="preserve"> February 19, 2018</w:t>
      </w:r>
      <w:r w:rsidR="00976ED3" w:rsidRPr="009F6115">
        <w:t xml:space="preserve"> audio recordin</w:t>
      </w:r>
      <w:r w:rsidR="007D4180" w:rsidRPr="009F6115">
        <w:t>g</w:t>
      </w:r>
      <w:r w:rsidR="00F7324F" w:rsidRPr="009F6115">
        <w:t xml:space="preserve"> (the </w:t>
      </w:r>
      <w:r w:rsidR="0011457B" w:rsidRPr="009F6115">
        <w:t xml:space="preserve">“audio recording” </w:t>
      </w:r>
      <w:r w:rsidR="00560382" w:rsidRPr="009F6115">
        <w:t>or</w:t>
      </w:r>
      <w:r w:rsidR="0011457B" w:rsidRPr="009F6115">
        <w:t xml:space="preserve"> “recording”)</w:t>
      </w:r>
      <w:r w:rsidR="00976ED3" w:rsidRPr="009F6115">
        <w:t xml:space="preserve"> is admissible</w:t>
      </w:r>
      <w:r w:rsidR="005B55D3" w:rsidRPr="009F6115">
        <w:t xml:space="preserve"> at this hearing into a complaint against the conduct of Justice Donald Mc</w:t>
      </w:r>
      <w:r w:rsidR="00942F2F" w:rsidRPr="009F6115">
        <w:t>L</w:t>
      </w:r>
      <w:r w:rsidR="005B55D3" w:rsidRPr="009F6115">
        <w:t>eod</w:t>
      </w:r>
      <w:r w:rsidR="00976ED3" w:rsidRPr="009F6115">
        <w:t>.</w:t>
      </w:r>
    </w:p>
    <w:p w14:paraId="003A5A49" w14:textId="20FA29B2" w:rsidR="004B5442" w:rsidRPr="009F6115" w:rsidRDefault="004A4273" w:rsidP="00983D32">
      <w:pPr>
        <w:pStyle w:val="Heading2"/>
        <w:rPr>
          <w:rFonts w:ascii="Arial" w:hAnsi="Arial" w:cs="Arial"/>
          <w:b/>
          <w:bCs/>
          <w:color w:val="0D0D0D" w:themeColor="text1" w:themeTint="F2"/>
        </w:rPr>
      </w:pPr>
      <w:r w:rsidRPr="009F6115">
        <w:rPr>
          <w:rFonts w:ascii="Arial" w:hAnsi="Arial" w:cs="Arial"/>
          <w:b/>
          <w:bCs/>
          <w:color w:val="0D0D0D" w:themeColor="text1" w:themeTint="F2"/>
        </w:rPr>
        <w:t>Background</w:t>
      </w:r>
    </w:p>
    <w:p w14:paraId="74C135CC" w14:textId="0F875A61" w:rsidR="00E406F4" w:rsidRPr="009F6115" w:rsidRDefault="00E406F4" w:rsidP="00303BE2">
      <w:pPr>
        <w:pStyle w:val="AParaNumbering"/>
      </w:pPr>
      <w:r w:rsidRPr="009F6115">
        <w:t>Justice McLeod is a judge of the Ontario Court of Justice assigned to preside in the Central West Region</w:t>
      </w:r>
      <w:r w:rsidR="006B10EA" w:rsidRPr="009F6115">
        <w:t>, in Brampton</w:t>
      </w:r>
      <w:r w:rsidRPr="009F6115">
        <w:t>.</w:t>
      </w:r>
    </w:p>
    <w:p w14:paraId="41F95F68" w14:textId="5E4F8C70" w:rsidR="005536F7" w:rsidRPr="009F6115" w:rsidRDefault="007704F2" w:rsidP="00303BE2">
      <w:pPr>
        <w:pStyle w:val="AParaNumbering"/>
      </w:pPr>
      <w:r w:rsidRPr="009F6115">
        <w:t>The Particulars of the Compl</w:t>
      </w:r>
      <w:r w:rsidR="006B0E00" w:rsidRPr="009F6115">
        <w:t>ai</w:t>
      </w:r>
      <w:r w:rsidRPr="009F6115">
        <w:t>nt</w:t>
      </w:r>
      <w:r w:rsidR="006B0E00" w:rsidRPr="009F6115">
        <w:rPr>
          <w:rStyle w:val="FootnoteReference"/>
          <w:rFonts w:cs="Arial"/>
          <w:szCs w:val="26"/>
        </w:rPr>
        <w:footnoteReference w:id="1"/>
      </w:r>
      <w:r w:rsidRPr="009F6115">
        <w:t xml:space="preserve"> </w:t>
      </w:r>
      <w:r w:rsidR="004A455E" w:rsidRPr="009F6115">
        <w:t>(</w:t>
      </w:r>
      <w:r w:rsidR="0087485C" w:rsidRPr="009F6115">
        <w:t>“T</w:t>
      </w:r>
      <w:r w:rsidR="004A455E" w:rsidRPr="009F6115">
        <w:t>he</w:t>
      </w:r>
      <w:r w:rsidR="0087485C" w:rsidRPr="009F6115">
        <w:t xml:space="preserve"> </w:t>
      </w:r>
      <w:r w:rsidR="004A455E" w:rsidRPr="009F6115">
        <w:t xml:space="preserve">Particulars”) </w:t>
      </w:r>
      <w:r w:rsidRPr="009F6115">
        <w:t>concerning Justice McLeod’s conduct</w:t>
      </w:r>
      <w:r w:rsidR="003046CB" w:rsidRPr="009F6115">
        <w:t xml:space="preserve"> make four allegations. </w:t>
      </w:r>
      <w:r w:rsidR="005B55D3" w:rsidRPr="009F6115">
        <w:t>The February 19, 2018 audio recording is relevant to the first allegation</w:t>
      </w:r>
      <w:r w:rsidR="006B10EA" w:rsidRPr="009F6115">
        <w:t>:</w:t>
      </w:r>
      <w:r w:rsidR="005B55D3" w:rsidRPr="009F6115">
        <w:t xml:space="preserve"> namely,</w:t>
      </w:r>
      <w:r w:rsidR="003046CB" w:rsidRPr="009F6115">
        <w:t xml:space="preserve"> that Justice McLeod committed perjury and/or misled a previous Hearing Panel that dismissed a prior complaint about his conduct (the “First Complaint”</w:t>
      </w:r>
      <w:r w:rsidR="005536F7" w:rsidRPr="009F6115">
        <w:t xml:space="preserve">). </w:t>
      </w:r>
    </w:p>
    <w:p w14:paraId="124121D0" w14:textId="77777777" w:rsidR="00DD0DAB" w:rsidRPr="009F6115" w:rsidRDefault="005536F7" w:rsidP="00303BE2">
      <w:pPr>
        <w:pStyle w:val="AParaNumbering"/>
      </w:pPr>
      <w:r w:rsidRPr="009F6115">
        <w:t>The First Complaint arose</w:t>
      </w:r>
      <w:r w:rsidR="003046CB" w:rsidRPr="009F6115">
        <w:t xml:space="preserve"> from </w:t>
      </w:r>
      <w:r w:rsidRPr="009F6115">
        <w:t>Justice McLeod’s</w:t>
      </w:r>
      <w:r w:rsidR="003046CB" w:rsidRPr="009F6115">
        <w:t xml:space="preserve"> involvement in and leadership of an organization called the Federation of Black Canadians (the “FBC”)</w:t>
      </w:r>
      <w:r w:rsidRPr="009F6115">
        <w:t xml:space="preserve">. </w:t>
      </w:r>
    </w:p>
    <w:p w14:paraId="1FBCBD7F" w14:textId="0443FB4D" w:rsidR="00B0533F" w:rsidRPr="009F6115" w:rsidRDefault="00062598" w:rsidP="00303BE2">
      <w:pPr>
        <w:pStyle w:val="AParaNumbering"/>
      </w:pPr>
      <w:r w:rsidRPr="009F6115">
        <w:t>The Particulars assert that</w:t>
      </w:r>
      <w:r w:rsidR="00CD183F" w:rsidRPr="009F6115">
        <w:t>, d</w:t>
      </w:r>
      <w:r w:rsidR="005536F7" w:rsidRPr="009F6115">
        <w:t xml:space="preserve">uring the hearing of the First Complaint, Justice McLeod </w:t>
      </w:r>
      <w:r w:rsidR="00CB0F15" w:rsidRPr="009F6115">
        <w:t>“</w:t>
      </w:r>
      <w:r w:rsidR="005536F7" w:rsidRPr="009F6115">
        <w:t xml:space="preserve">gave evidence </w:t>
      </w:r>
      <w:r w:rsidR="005626C6" w:rsidRPr="009F6115">
        <w:t xml:space="preserve">…. </w:t>
      </w:r>
      <w:r w:rsidR="005536F7" w:rsidRPr="009F6115">
        <w:t xml:space="preserve">that he had removed himself from </w:t>
      </w:r>
      <w:r w:rsidR="00190D7B" w:rsidRPr="009F6115">
        <w:t>any i</w:t>
      </w:r>
      <w:r w:rsidR="005536F7" w:rsidRPr="009F6115">
        <w:t xml:space="preserve">nvolvement in </w:t>
      </w:r>
      <w:r w:rsidR="0093624C" w:rsidRPr="009F6115">
        <w:t>FBC’s</w:t>
      </w:r>
      <w:r w:rsidR="005536F7" w:rsidRPr="009F6115">
        <w:t xml:space="preserve"> advocacy </w:t>
      </w:r>
      <w:r w:rsidR="0093624C" w:rsidRPr="009F6115">
        <w:t>work relating to the deportation of a Somalian refugee</w:t>
      </w:r>
      <w:r w:rsidR="005E386C" w:rsidRPr="009F6115">
        <w:t xml:space="preserve"> named</w:t>
      </w:r>
      <w:r w:rsidR="0093624C" w:rsidRPr="009F6115">
        <w:t xml:space="preserve"> </w:t>
      </w:r>
      <w:r w:rsidR="0093624C" w:rsidRPr="009F6115">
        <w:lastRenderedPageBreak/>
        <w:t>Abdoulkader Abdi</w:t>
      </w:r>
      <w:r w:rsidR="005626C6" w:rsidRPr="009F6115">
        <w:t>”</w:t>
      </w:r>
      <w:r w:rsidR="007D4180" w:rsidRPr="009F6115">
        <w:t xml:space="preserve"> (the “Abdi case”)</w:t>
      </w:r>
      <w:r w:rsidR="0093624C" w:rsidRPr="009F6115">
        <w:t xml:space="preserve">. The Particulars </w:t>
      </w:r>
      <w:r w:rsidR="00462333" w:rsidRPr="009F6115">
        <w:t xml:space="preserve">also </w:t>
      </w:r>
      <w:r w:rsidR="00B0533F" w:rsidRPr="009F6115">
        <w:t>assert that</w:t>
      </w:r>
      <w:r w:rsidR="001916B2" w:rsidRPr="009F6115">
        <w:t>,</w:t>
      </w:r>
      <w:r w:rsidR="00B0533F" w:rsidRPr="009F6115">
        <w:t xml:space="preserve"> contrary to his evidence at the hearing of the First Complaint</w:t>
      </w:r>
      <w:r w:rsidR="0012482F" w:rsidRPr="009F6115">
        <w:t>,</w:t>
      </w:r>
      <w:r w:rsidR="00B0533F" w:rsidRPr="009F6115">
        <w:t xml:space="preserve"> Justice McLeod </w:t>
      </w:r>
      <w:r w:rsidR="00A26FB3" w:rsidRPr="009F6115">
        <w:t>“</w:t>
      </w:r>
      <w:r w:rsidR="00B0533F" w:rsidRPr="009F6115">
        <w:t>was involved in the FBC’s efforts in this regard, including arranging and/or participating in a meeting with the Min</w:t>
      </w:r>
      <w:r w:rsidR="0013205F" w:rsidRPr="009F6115">
        <w:t>i</w:t>
      </w:r>
      <w:r w:rsidR="00B0533F" w:rsidRPr="009F6115">
        <w:t>ster of Immigration, Refugees and Citizenship</w:t>
      </w:r>
      <w:r w:rsidR="00B07390" w:rsidRPr="009F6115">
        <w:t>, the Honourable Ahmed Hussen,</w:t>
      </w:r>
      <w:r w:rsidR="00B0533F" w:rsidRPr="009F6115">
        <w:t xml:space="preserve"> on behalf of the FBC.</w:t>
      </w:r>
      <w:r w:rsidR="00B07390" w:rsidRPr="009F6115">
        <w:t>”</w:t>
      </w:r>
      <w:r w:rsidR="00B0533F" w:rsidRPr="009F6115">
        <w:t xml:space="preserve"> </w:t>
      </w:r>
      <w:r w:rsidR="0093624C" w:rsidRPr="009F6115">
        <w:t xml:space="preserve">At this hearing, Presenting Counsel </w:t>
      </w:r>
      <w:r w:rsidR="00B0533F" w:rsidRPr="009F6115">
        <w:t xml:space="preserve">also </w:t>
      </w:r>
      <w:r w:rsidR="0093624C" w:rsidRPr="009F6115">
        <w:t>led evidence</w:t>
      </w:r>
      <w:r w:rsidR="00B0533F" w:rsidRPr="009F6115">
        <w:t xml:space="preserve"> </w:t>
      </w:r>
      <w:r w:rsidR="007E404B" w:rsidRPr="009F6115">
        <w:t>that</w:t>
      </w:r>
      <w:r w:rsidR="00B0533F" w:rsidRPr="009F6115">
        <w:t xml:space="preserve"> the FBC sent </w:t>
      </w:r>
      <w:r w:rsidR="007E404B" w:rsidRPr="009F6115">
        <w:t xml:space="preserve">a letter </w:t>
      </w:r>
      <w:r w:rsidR="00B0533F" w:rsidRPr="009F6115">
        <w:t>to the Minister on February 28, 2018</w:t>
      </w:r>
      <w:r w:rsidR="005B55D3" w:rsidRPr="009F6115">
        <w:t xml:space="preserve"> relating</w:t>
      </w:r>
      <w:r w:rsidR="00AD7611" w:rsidRPr="009F6115">
        <w:t>,</w:t>
      </w:r>
      <w:r w:rsidR="005B55D3" w:rsidRPr="009F6115">
        <w:t xml:space="preserve"> </w:t>
      </w:r>
      <w:r w:rsidR="00B2127B" w:rsidRPr="009F6115">
        <w:t>at least in part</w:t>
      </w:r>
      <w:r w:rsidR="00AD7611" w:rsidRPr="009F6115">
        <w:t xml:space="preserve">, </w:t>
      </w:r>
      <w:r w:rsidR="005B55D3" w:rsidRPr="009F6115">
        <w:t>to the Abdi case</w:t>
      </w:r>
      <w:r w:rsidR="00B0533F" w:rsidRPr="009F6115">
        <w:t>.</w:t>
      </w:r>
      <w:r w:rsidR="0093624C" w:rsidRPr="009F6115">
        <w:t xml:space="preserve"> </w:t>
      </w:r>
    </w:p>
    <w:p w14:paraId="1C514121" w14:textId="4C557410" w:rsidR="000805F1" w:rsidRPr="009F6115" w:rsidRDefault="00B0533F" w:rsidP="00303BE2">
      <w:pPr>
        <w:pStyle w:val="AParaNumbering"/>
      </w:pPr>
      <w:r w:rsidRPr="009F6115">
        <w:t>The</w:t>
      </w:r>
      <w:r w:rsidR="00AB11FC" w:rsidRPr="009F6115">
        <w:t xml:space="preserve"> audio recording </w:t>
      </w:r>
      <w:r w:rsidR="00AD7611" w:rsidRPr="009F6115">
        <w:t>memorializes</w:t>
      </w:r>
      <w:r w:rsidR="00764413" w:rsidRPr="009F6115">
        <w:t xml:space="preserve"> </w:t>
      </w:r>
      <w:r w:rsidR="00AB11FC" w:rsidRPr="009F6115">
        <w:t xml:space="preserve">a </w:t>
      </w:r>
      <w:r w:rsidR="005F61BA" w:rsidRPr="009F6115">
        <w:t xml:space="preserve">lengthy </w:t>
      </w:r>
      <w:r w:rsidR="00AB11FC" w:rsidRPr="009F6115">
        <w:t xml:space="preserve">telephone conversation between </w:t>
      </w:r>
      <w:r w:rsidRPr="009F6115">
        <w:t>Justice McLeod</w:t>
      </w:r>
      <w:r w:rsidR="00AB11FC" w:rsidRPr="009F6115">
        <w:t xml:space="preserve"> and </w:t>
      </w:r>
      <w:r w:rsidR="00353D25" w:rsidRPr="009F6115">
        <w:t>Professor</w:t>
      </w:r>
      <w:r w:rsidR="006F697A" w:rsidRPr="009F6115">
        <w:t xml:space="preserve"> </w:t>
      </w:r>
      <w:r w:rsidR="00AB11FC" w:rsidRPr="009F6115">
        <w:t xml:space="preserve">Idil Abdillahi, </w:t>
      </w:r>
      <w:r w:rsidR="000805F1" w:rsidRPr="009F6115">
        <w:t>that</w:t>
      </w:r>
      <w:r w:rsidR="00AB11FC" w:rsidRPr="009F6115">
        <w:t xml:space="preserve"> </w:t>
      </w:r>
      <w:r w:rsidR="005B55D3" w:rsidRPr="009F6115">
        <w:t>occurred</w:t>
      </w:r>
      <w:r w:rsidR="00AB11FC" w:rsidRPr="009F6115">
        <w:t xml:space="preserve"> </w:t>
      </w:r>
      <w:r w:rsidR="002B1153" w:rsidRPr="009F6115">
        <w:t>on February 19, 2018</w:t>
      </w:r>
      <w:r w:rsidR="00AB11FC" w:rsidRPr="009F6115">
        <w:t xml:space="preserve">. </w:t>
      </w:r>
      <w:r w:rsidR="00353D25" w:rsidRPr="009F6115">
        <w:t>Professor</w:t>
      </w:r>
      <w:r w:rsidR="00AB11FC" w:rsidRPr="009F6115">
        <w:t xml:space="preserve"> </w:t>
      </w:r>
      <w:r w:rsidR="002B309B" w:rsidRPr="009F6115">
        <w:t xml:space="preserve">Abdillahi </w:t>
      </w:r>
      <w:r w:rsidR="00AB11FC" w:rsidRPr="009F6115">
        <w:t xml:space="preserve">is a community activist and assistant professor at Ryerson University. </w:t>
      </w:r>
      <w:r w:rsidR="00503BD4" w:rsidRPr="009F6115">
        <w:t xml:space="preserve">Justice McLeod arranged the call through his sister, also a Ryerson professor, apparently to </w:t>
      </w:r>
      <w:r w:rsidR="000805F1" w:rsidRPr="009F6115">
        <w:t xml:space="preserve">discuss community reaction to </w:t>
      </w:r>
      <w:r w:rsidRPr="009F6115">
        <w:t>the FBC’s response (or lack of response) to the Abdi case</w:t>
      </w:r>
      <w:r w:rsidR="000805F1" w:rsidRPr="009F6115">
        <w:t xml:space="preserve">. </w:t>
      </w:r>
      <w:r w:rsidR="001D76B7" w:rsidRPr="009F6115">
        <w:t>In the recording</w:t>
      </w:r>
      <w:r w:rsidR="007704F2" w:rsidRPr="009F6115">
        <w:t xml:space="preserve">, </w:t>
      </w:r>
      <w:r w:rsidR="00353D25" w:rsidRPr="009F6115">
        <w:t>Professor</w:t>
      </w:r>
      <w:r w:rsidR="007704F2" w:rsidRPr="009F6115">
        <w:t xml:space="preserve"> Abdillahi and Justice McLeod</w:t>
      </w:r>
      <w:r w:rsidR="00A4628A" w:rsidRPr="009F6115">
        <w:t xml:space="preserve"> each</w:t>
      </w:r>
      <w:r w:rsidR="007704F2" w:rsidRPr="009F6115">
        <w:t xml:space="preserve"> refer to</w:t>
      </w:r>
      <w:r w:rsidR="00911528" w:rsidRPr="009F6115">
        <w:t>:</w:t>
      </w:r>
      <w:r w:rsidR="007704F2" w:rsidRPr="009F6115">
        <w:t xml:space="preserve"> </w:t>
      </w:r>
      <w:r w:rsidR="00A4628A" w:rsidRPr="009F6115">
        <w:t>Justice McLeod</w:t>
      </w:r>
      <w:r w:rsidR="007704F2" w:rsidRPr="009F6115">
        <w:t xml:space="preserve"> having </w:t>
      </w:r>
      <w:r w:rsidR="001D76B7" w:rsidRPr="009F6115">
        <w:t xml:space="preserve">had </w:t>
      </w:r>
      <w:r w:rsidR="007704F2" w:rsidRPr="009F6115">
        <w:t xml:space="preserve">a meeting with the Minister </w:t>
      </w:r>
      <w:r w:rsidR="00764413" w:rsidRPr="009F6115">
        <w:t>in January 2018</w:t>
      </w:r>
      <w:r w:rsidR="00A4628A" w:rsidRPr="009F6115">
        <w:t>;</w:t>
      </w:r>
      <w:r w:rsidR="007704F2" w:rsidRPr="009F6115">
        <w:t xml:space="preserve"> </w:t>
      </w:r>
      <w:r w:rsidR="00764413" w:rsidRPr="009F6115">
        <w:t>the prospect of a letter being sent to the Minister concerning the Abdi case</w:t>
      </w:r>
      <w:r w:rsidR="00A4628A" w:rsidRPr="009F6115">
        <w:t>;</w:t>
      </w:r>
      <w:r w:rsidR="007D4180" w:rsidRPr="009F6115">
        <w:t xml:space="preserve"> and </w:t>
      </w:r>
      <w:r w:rsidR="00A4628A" w:rsidRPr="009F6115">
        <w:t xml:space="preserve">the possibility of </w:t>
      </w:r>
      <w:r w:rsidR="00353D25" w:rsidRPr="009F6115">
        <w:t>Professor</w:t>
      </w:r>
      <w:r w:rsidR="0013205F" w:rsidRPr="009F6115">
        <w:t xml:space="preserve"> </w:t>
      </w:r>
      <w:r w:rsidR="007D4180" w:rsidRPr="009F6115">
        <w:t>Abdillahi contacting Mr. Abdi’s lawyer to obtain information that could assist the FBC</w:t>
      </w:r>
      <w:r w:rsidR="00764413" w:rsidRPr="009F6115">
        <w:t>.</w:t>
      </w:r>
    </w:p>
    <w:p w14:paraId="73286A14" w14:textId="4FC07559" w:rsidR="003E55E3" w:rsidRPr="009F6115" w:rsidRDefault="002B309B" w:rsidP="00303BE2">
      <w:pPr>
        <w:pStyle w:val="AParaNumbering"/>
      </w:pPr>
      <w:r w:rsidRPr="009F6115">
        <w:t xml:space="preserve">It is undisputed that </w:t>
      </w:r>
      <w:r w:rsidR="00353D25" w:rsidRPr="009F6115">
        <w:t>Professor</w:t>
      </w:r>
      <w:r w:rsidR="000805F1" w:rsidRPr="009F6115">
        <w:t xml:space="preserve"> Abdillahi</w:t>
      </w:r>
      <w:r w:rsidRPr="009F6115">
        <w:t xml:space="preserve"> recorded the telephone conversation without Justice McLeod’s knowledge or consent. In fact, as the recording reveals, she expressly agreed</w:t>
      </w:r>
      <w:r w:rsidR="005A1954" w:rsidRPr="009F6115">
        <w:t>, on</w:t>
      </w:r>
      <w:r w:rsidRPr="009F6115">
        <w:t xml:space="preserve"> </w:t>
      </w:r>
      <w:r w:rsidR="000805F1" w:rsidRPr="009F6115">
        <w:t>more than on</w:t>
      </w:r>
      <w:r w:rsidR="005A1954" w:rsidRPr="009F6115">
        <w:t>e occasion,</w:t>
      </w:r>
      <w:r w:rsidR="000805F1" w:rsidRPr="009F6115">
        <w:t xml:space="preserve"> </w:t>
      </w:r>
      <w:r w:rsidRPr="009F6115">
        <w:t xml:space="preserve">that the conversation was “off the record”. </w:t>
      </w:r>
      <w:r w:rsidR="00AE39FA" w:rsidRPr="009F6115">
        <w:t>Further</w:t>
      </w:r>
      <w:r w:rsidRPr="009F6115">
        <w:t xml:space="preserve">, not only did </w:t>
      </w:r>
      <w:r w:rsidR="00353D25" w:rsidRPr="009F6115">
        <w:t>Professor</w:t>
      </w:r>
      <w:r w:rsidR="005709A1" w:rsidRPr="009F6115">
        <w:t xml:space="preserve"> Abdillahi</w:t>
      </w:r>
      <w:r w:rsidRPr="009F6115">
        <w:t xml:space="preserve"> surrepti</w:t>
      </w:r>
      <w:r w:rsidR="00BF5B6C" w:rsidRPr="009F6115">
        <w:t>ti</w:t>
      </w:r>
      <w:r w:rsidRPr="009F6115">
        <w:t xml:space="preserve">ously record the </w:t>
      </w:r>
      <w:r w:rsidRPr="009F6115">
        <w:lastRenderedPageBreak/>
        <w:t xml:space="preserve">telephone conversation, she permitted at least one other person to listen in </w:t>
      </w:r>
      <w:r w:rsidR="00AE39FA" w:rsidRPr="009F6115">
        <w:t xml:space="preserve">on the conversation </w:t>
      </w:r>
      <w:r w:rsidR="005F61BA" w:rsidRPr="009F6115">
        <w:t xml:space="preserve">while </w:t>
      </w:r>
      <w:r w:rsidR="00AE39FA" w:rsidRPr="009F6115">
        <w:t>it</w:t>
      </w:r>
      <w:r w:rsidR="005F61BA" w:rsidRPr="009F6115">
        <w:t xml:space="preserve"> was taking place</w:t>
      </w:r>
      <w:r w:rsidRPr="009F6115">
        <w:t>, again, without Justice McLeod’s knowledge or consent.</w:t>
      </w:r>
      <w:r w:rsidR="00BB3AC3" w:rsidRPr="009F6115">
        <w:t xml:space="preserve"> </w:t>
      </w:r>
      <w:r w:rsidR="000805F1" w:rsidRPr="009F6115">
        <w:t>Finally</w:t>
      </w:r>
      <w:r w:rsidR="00BB3AC3" w:rsidRPr="009F6115">
        <w:t xml:space="preserve">, </w:t>
      </w:r>
      <w:r w:rsidR="00353D25" w:rsidRPr="009F6115">
        <w:t>Professor</w:t>
      </w:r>
      <w:r w:rsidR="00063541" w:rsidRPr="009F6115">
        <w:t xml:space="preserve"> Abdillahi</w:t>
      </w:r>
      <w:r w:rsidR="005F61BA" w:rsidRPr="009F6115">
        <w:t xml:space="preserve"> allowed</w:t>
      </w:r>
      <w:r w:rsidR="00BB3AC3" w:rsidRPr="009F6115">
        <w:t xml:space="preserve"> an </w:t>
      </w:r>
      <w:r w:rsidR="007D4180" w:rsidRPr="009F6115">
        <w:t xml:space="preserve">activist </w:t>
      </w:r>
      <w:r w:rsidR="00BB3AC3" w:rsidRPr="009F6115">
        <w:t xml:space="preserve">associate </w:t>
      </w:r>
      <w:r w:rsidR="005F61BA" w:rsidRPr="009F6115">
        <w:t xml:space="preserve">to listen to – or have – at least portions of the recording. That associate </w:t>
      </w:r>
      <w:r w:rsidR="007D4180" w:rsidRPr="009F6115">
        <w:t xml:space="preserve">later </w:t>
      </w:r>
      <w:r w:rsidR="00063541" w:rsidRPr="009F6115">
        <w:t>used the</w:t>
      </w:r>
      <w:r w:rsidR="00BB3AC3" w:rsidRPr="009F6115">
        <w:t xml:space="preserve"> c</w:t>
      </w:r>
      <w:r w:rsidR="005F61BA" w:rsidRPr="009F6115">
        <w:t>ontents of the call</w:t>
      </w:r>
      <w:r w:rsidR="00BB3AC3" w:rsidRPr="009F6115">
        <w:t xml:space="preserve"> </w:t>
      </w:r>
      <w:r w:rsidR="003D1DE3" w:rsidRPr="009F6115">
        <w:t xml:space="preserve">to </w:t>
      </w:r>
      <w:r w:rsidR="007D4180" w:rsidRPr="009F6115">
        <w:t>make comments on</w:t>
      </w:r>
      <w:r w:rsidR="00063541" w:rsidRPr="009F6115">
        <w:t xml:space="preserve"> social media </w:t>
      </w:r>
      <w:r w:rsidR="007D4180" w:rsidRPr="009F6115">
        <w:t xml:space="preserve">about </w:t>
      </w:r>
      <w:r w:rsidR="00063541" w:rsidRPr="009F6115">
        <w:t>both</w:t>
      </w:r>
      <w:r w:rsidR="00BB3AC3" w:rsidRPr="009F6115">
        <w:t xml:space="preserve"> Justice McLeod </w:t>
      </w:r>
      <w:r w:rsidR="00063541" w:rsidRPr="009F6115">
        <w:t>and</w:t>
      </w:r>
      <w:r w:rsidR="00BB3AC3" w:rsidRPr="009F6115">
        <w:t xml:space="preserve"> his sister,</w:t>
      </w:r>
      <w:r w:rsidR="00063541" w:rsidRPr="009F6115">
        <w:t xml:space="preserve"> through whom the call had been arranged. </w:t>
      </w:r>
    </w:p>
    <w:p w14:paraId="134BC45D" w14:textId="48A56595" w:rsidR="00BA0921" w:rsidRPr="009F6115" w:rsidRDefault="00BA0921" w:rsidP="00BA0921">
      <w:pPr>
        <w:pStyle w:val="Heading2"/>
        <w:rPr>
          <w:rFonts w:ascii="Arial" w:hAnsi="Arial" w:cs="Arial"/>
          <w:b/>
          <w:bCs/>
          <w:color w:val="0D0D0D" w:themeColor="text1" w:themeTint="F2"/>
        </w:rPr>
      </w:pPr>
      <w:r w:rsidRPr="009F6115">
        <w:rPr>
          <w:rFonts w:ascii="Arial" w:hAnsi="Arial" w:cs="Arial"/>
          <w:b/>
          <w:bCs/>
          <w:color w:val="0D0D0D" w:themeColor="text1" w:themeTint="F2"/>
        </w:rPr>
        <w:t>Justice McLeod’s Position on the Admissibility Issue</w:t>
      </w:r>
    </w:p>
    <w:p w14:paraId="0B106977" w14:textId="2562BAFD" w:rsidR="004A1570" w:rsidRPr="009F6115" w:rsidRDefault="002B309B" w:rsidP="00FF6DF1">
      <w:pPr>
        <w:pStyle w:val="AParaNumbering"/>
      </w:pPr>
      <w:r w:rsidRPr="009F6115">
        <w:t>Justice McLeod d</w:t>
      </w:r>
      <w:r w:rsidR="005F61BA" w:rsidRPr="009F6115">
        <w:t xml:space="preserve">oes </w:t>
      </w:r>
      <w:r w:rsidRPr="009F6115">
        <w:t xml:space="preserve">not dispute that </w:t>
      </w:r>
      <w:r w:rsidR="00353D25" w:rsidRPr="009F6115">
        <w:t>Professor</w:t>
      </w:r>
      <w:r w:rsidRPr="009F6115">
        <w:t xml:space="preserve"> Abdillahi’s </w:t>
      </w:r>
      <w:r w:rsidR="008A370F" w:rsidRPr="009F6115">
        <w:t>evidence</w:t>
      </w:r>
      <w:r w:rsidRPr="009F6115">
        <w:t xml:space="preserve"> satisfie</w:t>
      </w:r>
      <w:r w:rsidR="00063541" w:rsidRPr="009F6115">
        <w:t>s</w:t>
      </w:r>
      <w:r w:rsidRPr="009F6115">
        <w:t xml:space="preserve"> the </w:t>
      </w:r>
      <w:r w:rsidR="00BF5B6C" w:rsidRPr="009F6115">
        <w:t>low</w:t>
      </w:r>
      <w:r w:rsidRPr="009F6115">
        <w:t xml:space="preserve"> </w:t>
      </w:r>
      <w:r w:rsidR="00BF5B6C" w:rsidRPr="009F6115">
        <w:t xml:space="preserve">bar for establishing </w:t>
      </w:r>
      <w:r w:rsidRPr="009F6115">
        <w:t>threshold authenticity of the</w:t>
      </w:r>
      <w:r w:rsidR="00AE39FA" w:rsidRPr="009F6115">
        <w:t xml:space="preserve"> audio </w:t>
      </w:r>
      <w:r w:rsidRPr="009F6115">
        <w:t>recording</w:t>
      </w:r>
      <w:r w:rsidR="005709A1" w:rsidRPr="009F6115">
        <w:t xml:space="preserve"> sufficient to </w:t>
      </w:r>
      <w:r w:rsidR="00BF5B6C" w:rsidRPr="009F6115">
        <w:t xml:space="preserve">support </w:t>
      </w:r>
      <w:r w:rsidR="005709A1" w:rsidRPr="009F6115">
        <w:t>its admissibility</w:t>
      </w:r>
      <w:r w:rsidRPr="009F6115">
        <w:t xml:space="preserve">. However, </w:t>
      </w:r>
      <w:r w:rsidR="005709A1" w:rsidRPr="009F6115">
        <w:t>he argue</w:t>
      </w:r>
      <w:r w:rsidR="005F61BA" w:rsidRPr="009F6115">
        <w:t>s</w:t>
      </w:r>
      <w:r w:rsidR="005709A1" w:rsidRPr="009F6115">
        <w:t xml:space="preserve"> that</w:t>
      </w:r>
      <w:r w:rsidR="00BF5B6C" w:rsidRPr="009F6115">
        <w:t>, on the facts of this case,</w:t>
      </w:r>
      <w:r w:rsidR="005709A1" w:rsidRPr="009F6115">
        <w:t xml:space="preserve"> the potential prejudicial effect of admitting the recording outweigh</w:t>
      </w:r>
      <w:r w:rsidR="005F61BA" w:rsidRPr="009F6115">
        <w:t>s</w:t>
      </w:r>
      <w:r w:rsidR="005709A1" w:rsidRPr="009F6115">
        <w:t xml:space="preserve"> its probative value such that we should </w:t>
      </w:r>
      <w:r w:rsidR="00063541" w:rsidRPr="009F6115">
        <w:t xml:space="preserve">invoke </w:t>
      </w:r>
      <w:r w:rsidR="005709A1" w:rsidRPr="009F6115">
        <w:t xml:space="preserve">our residual discretion to decline to admit it. </w:t>
      </w:r>
    </w:p>
    <w:p w14:paraId="15B3CFC8" w14:textId="77777777" w:rsidR="008318B9" w:rsidRPr="009F6115" w:rsidRDefault="008D6EEB" w:rsidP="008318B9">
      <w:pPr>
        <w:pStyle w:val="AParaNumbering"/>
      </w:pPr>
      <w:r w:rsidRPr="009F6115">
        <w:t>Justice McLeod’s argument rest</w:t>
      </w:r>
      <w:r w:rsidR="00063541" w:rsidRPr="009F6115">
        <w:t>s</w:t>
      </w:r>
      <w:r w:rsidRPr="009F6115">
        <w:t xml:space="preserve"> on </w:t>
      </w:r>
      <w:r w:rsidR="00764413" w:rsidRPr="009F6115">
        <w:t>four</w:t>
      </w:r>
      <w:r w:rsidRPr="009F6115">
        <w:t xml:space="preserve"> main pillars. First, </w:t>
      </w:r>
      <w:r w:rsidR="008F5C69" w:rsidRPr="009F6115">
        <w:t xml:space="preserve">he submits that </w:t>
      </w:r>
      <w:r w:rsidR="00353D25" w:rsidRPr="009F6115">
        <w:t>Professor</w:t>
      </w:r>
      <w:r w:rsidR="00AE39FA" w:rsidRPr="009F6115">
        <w:t xml:space="preserve"> Abdillahi’s </w:t>
      </w:r>
      <w:r w:rsidR="007D4180" w:rsidRPr="009F6115">
        <w:t xml:space="preserve">extreme </w:t>
      </w:r>
      <w:r w:rsidR="00AE39FA" w:rsidRPr="009F6115">
        <w:t>dishonest</w:t>
      </w:r>
      <w:r w:rsidR="007D4180" w:rsidRPr="009F6115">
        <w:t xml:space="preserve">y </w:t>
      </w:r>
      <w:r w:rsidR="00AE39FA" w:rsidRPr="009F6115">
        <w:t xml:space="preserve">before, during and after the February 19, 2018 telephone conversation should lead </w:t>
      </w:r>
      <w:r w:rsidR="00864518" w:rsidRPr="009F6115">
        <w:t xml:space="preserve">this </w:t>
      </w:r>
      <w:r w:rsidR="00C70406" w:rsidRPr="009F6115">
        <w:t>P</w:t>
      </w:r>
      <w:r w:rsidR="00864518" w:rsidRPr="009F6115">
        <w:t>anel</w:t>
      </w:r>
      <w:r w:rsidR="00AE39FA" w:rsidRPr="009F6115">
        <w:t xml:space="preserve"> to dis</w:t>
      </w:r>
      <w:r w:rsidR="00FE3A6D" w:rsidRPr="009F6115">
        <w:t>as</w:t>
      </w:r>
      <w:r w:rsidR="00AE39FA" w:rsidRPr="009F6115">
        <w:t xml:space="preserve">sociate </w:t>
      </w:r>
      <w:r w:rsidR="00864518" w:rsidRPr="009F6115">
        <w:t>itself</w:t>
      </w:r>
      <w:r w:rsidR="00AE39FA" w:rsidRPr="009F6115">
        <w:t xml:space="preserve"> from the audio recording.</w:t>
      </w:r>
      <w:r w:rsidR="00764413" w:rsidRPr="009F6115">
        <w:t xml:space="preserve"> </w:t>
      </w:r>
    </w:p>
    <w:p w14:paraId="05DD39F6" w14:textId="34435229" w:rsidR="00644782" w:rsidRPr="009F6115" w:rsidRDefault="00353D25" w:rsidP="008318B9">
      <w:pPr>
        <w:pStyle w:val="AParaNumbering"/>
      </w:pPr>
      <w:r w:rsidRPr="009F6115">
        <w:t>Professor</w:t>
      </w:r>
      <w:r w:rsidR="00AE39FA" w:rsidRPr="009F6115">
        <w:t xml:space="preserve"> Abdillahi’s con</w:t>
      </w:r>
      <w:r w:rsidR="007D4180" w:rsidRPr="009F6115">
        <w:t>du</w:t>
      </w:r>
      <w:r w:rsidR="00AE39FA" w:rsidRPr="009F6115">
        <w:t xml:space="preserve">ct was dishonest in three ways, says Justice McLeod. </w:t>
      </w:r>
      <w:r w:rsidR="0082448D" w:rsidRPr="009F6115">
        <w:t>First, s</w:t>
      </w:r>
      <w:r w:rsidR="00AE39FA" w:rsidRPr="009F6115">
        <w:t>he lied about the conversation being off the record. S</w:t>
      </w:r>
      <w:r w:rsidR="0082448D" w:rsidRPr="009F6115">
        <w:t>econd, s</w:t>
      </w:r>
      <w:r w:rsidR="00AE39FA" w:rsidRPr="009F6115">
        <w:t xml:space="preserve">he deceived Justice McLeod by permitting eavesdropping by other(s). </w:t>
      </w:r>
      <w:r w:rsidR="002D0B6E" w:rsidRPr="009F6115">
        <w:t xml:space="preserve">Third, </w:t>
      </w:r>
      <w:r w:rsidR="001F2C15" w:rsidRPr="009F6115">
        <w:t xml:space="preserve">as evidenced by her </w:t>
      </w:r>
      <w:r w:rsidR="00BE1F7B" w:rsidRPr="009F6115">
        <w:t xml:space="preserve">subsequent </w:t>
      </w:r>
      <w:r w:rsidR="00081F57" w:rsidRPr="009F6115">
        <w:t xml:space="preserve">anonymous participation in the unauthorized use of </w:t>
      </w:r>
      <w:r w:rsidR="00081F57" w:rsidRPr="009F6115">
        <w:lastRenderedPageBreak/>
        <w:t>the recording to publicly embarrass Justice McLeod and his family</w:t>
      </w:r>
      <w:r w:rsidR="00D5667C" w:rsidRPr="009F6115">
        <w:t xml:space="preserve">, her purpose </w:t>
      </w:r>
      <w:r w:rsidR="0047250D" w:rsidRPr="009F6115">
        <w:t>in surreptitiously recording the conversation was never about her own pro</w:t>
      </w:r>
      <w:r w:rsidR="00690D8B" w:rsidRPr="009F6115">
        <w:t>tection</w:t>
      </w:r>
      <w:r w:rsidR="00907345" w:rsidRPr="009F6115">
        <w:t xml:space="preserve"> as she claims</w:t>
      </w:r>
      <w:r w:rsidR="00690D8B" w:rsidRPr="009F6115">
        <w:t>.</w:t>
      </w:r>
    </w:p>
    <w:p w14:paraId="5C77A1BA" w14:textId="56DF8927" w:rsidR="00615330" w:rsidRPr="009F6115" w:rsidRDefault="00484699" w:rsidP="00FF6DF1">
      <w:pPr>
        <w:pStyle w:val="AParaNumbering"/>
      </w:pPr>
      <w:r w:rsidRPr="009F6115">
        <w:t xml:space="preserve">Further, </w:t>
      </w:r>
      <w:r w:rsidR="00644782" w:rsidRPr="009F6115">
        <w:t>Justic</w:t>
      </w:r>
      <w:r w:rsidR="00146865" w:rsidRPr="009F6115">
        <w:t>e</w:t>
      </w:r>
      <w:r w:rsidR="00644782" w:rsidRPr="009F6115">
        <w:t xml:space="preserve"> McLeod submits </w:t>
      </w:r>
      <w:r w:rsidRPr="009F6115">
        <w:t>such</w:t>
      </w:r>
      <w:r w:rsidR="007D4180" w:rsidRPr="009F6115">
        <w:t xml:space="preserve"> dishonesty was premeditated</w:t>
      </w:r>
      <w:r w:rsidR="00AE62B7" w:rsidRPr="009F6115">
        <w:t>, prolonged</w:t>
      </w:r>
      <w:r w:rsidR="007D4180" w:rsidRPr="009F6115">
        <w:t xml:space="preserve"> and extreme. </w:t>
      </w:r>
      <w:r w:rsidR="00353D25" w:rsidRPr="009F6115">
        <w:t>Professor</w:t>
      </w:r>
      <w:r w:rsidR="00644782" w:rsidRPr="009F6115">
        <w:t xml:space="preserve"> Abdillahi </w:t>
      </w:r>
      <w:r w:rsidR="007D4180" w:rsidRPr="009F6115">
        <w:t xml:space="preserve">set up the recording and the potential for eavesdropping before commencing the call. </w:t>
      </w:r>
      <w:r w:rsidRPr="009F6115">
        <w:t xml:space="preserve">She persisted in this </w:t>
      </w:r>
      <w:r w:rsidR="00615330" w:rsidRPr="009F6115">
        <w:t xml:space="preserve">surreptitious </w:t>
      </w:r>
      <w:r w:rsidRPr="009F6115">
        <w:t>conduct even after giving assurance</w:t>
      </w:r>
      <w:r w:rsidR="00D0650D" w:rsidRPr="009F6115">
        <w:t>s</w:t>
      </w:r>
      <w:r w:rsidRPr="009F6115">
        <w:t xml:space="preserve"> that the </w:t>
      </w:r>
      <w:r w:rsidR="00EA70B1" w:rsidRPr="009F6115">
        <w:t xml:space="preserve">conversation </w:t>
      </w:r>
      <w:r w:rsidRPr="009F6115">
        <w:t xml:space="preserve">was confidential. </w:t>
      </w:r>
      <w:r w:rsidR="00C31FD1" w:rsidRPr="009F6115">
        <w:t>And s</w:t>
      </w:r>
      <w:r w:rsidR="001B4C81" w:rsidRPr="009F6115">
        <w:t>he participated in the subsequent</w:t>
      </w:r>
      <w:r w:rsidR="006726B5" w:rsidRPr="009F6115">
        <w:t xml:space="preserve"> public use </w:t>
      </w:r>
      <w:r w:rsidR="000A0538" w:rsidRPr="009F6115">
        <w:t xml:space="preserve">of </w:t>
      </w:r>
      <w:r w:rsidR="004F59DB" w:rsidRPr="009F6115">
        <w:t>the recording</w:t>
      </w:r>
      <w:r w:rsidR="00782926" w:rsidRPr="009F6115">
        <w:t>, when</w:t>
      </w:r>
      <w:r w:rsidR="00827177" w:rsidRPr="009F6115">
        <w:t xml:space="preserve"> she knew </w:t>
      </w:r>
      <w:r w:rsidR="00782926" w:rsidRPr="009F6115">
        <w:t xml:space="preserve">the conversation </w:t>
      </w:r>
      <w:r w:rsidR="00423306" w:rsidRPr="009F6115">
        <w:t xml:space="preserve">recorded </w:t>
      </w:r>
      <w:r w:rsidR="00827177" w:rsidRPr="009F6115">
        <w:t>was intended to be confidential.</w:t>
      </w:r>
      <w:r w:rsidR="001B4C81" w:rsidRPr="009F6115">
        <w:t xml:space="preserve"> </w:t>
      </w:r>
    </w:p>
    <w:p w14:paraId="55CD6B06" w14:textId="4E4A2401" w:rsidR="00AE39FA" w:rsidRPr="009F6115" w:rsidRDefault="00484699" w:rsidP="00FF6DF1">
      <w:pPr>
        <w:pStyle w:val="AParaNumbering"/>
      </w:pPr>
      <w:r w:rsidRPr="009F6115">
        <w:t>Because</w:t>
      </w:r>
      <w:r w:rsidR="00AE39FA" w:rsidRPr="009F6115">
        <w:t xml:space="preserve"> integrity is a core principle of </w:t>
      </w:r>
      <w:r w:rsidR="005C00D6" w:rsidRPr="009F6115">
        <w:t>the</w:t>
      </w:r>
      <w:r w:rsidR="009A438A" w:rsidRPr="009F6115">
        <w:t xml:space="preserve"> </w:t>
      </w:r>
      <w:r w:rsidR="00170A0B" w:rsidRPr="009F6115">
        <w:t>judicial system</w:t>
      </w:r>
      <w:r w:rsidR="009A438A" w:rsidRPr="009F6115">
        <w:t xml:space="preserve"> and </w:t>
      </w:r>
      <w:r w:rsidR="00AE39FA" w:rsidRPr="009F6115">
        <w:t xml:space="preserve">foundational </w:t>
      </w:r>
      <w:r w:rsidR="00685AE2" w:rsidRPr="009F6115">
        <w:t xml:space="preserve">to </w:t>
      </w:r>
      <w:r w:rsidR="00A302FE" w:rsidRPr="009F6115">
        <w:t xml:space="preserve">the Judicial Council, </w:t>
      </w:r>
      <w:r w:rsidR="00685AE2" w:rsidRPr="009F6115">
        <w:t xml:space="preserve">a forum </w:t>
      </w:r>
      <w:r w:rsidR="00EB6BC5" w:rsidRPr="009F6115">
        <w:t xml:space="preserve">designed to uphold public trust </w:t>
      </w:r>
      <w:r w:rsidR="00A302FE" w:rsidRPr="009F6115">
        <w:t>in the judiciary</w:t>
      </w:r>
      <w:r w:rsidR="005B55D3" w:rsidRPr="009F6115">
        <w:t xml:space="preserve">, </w:t>
      </w:r>
      <w:r w:rsidR="00615330" w:rsidRPr="009F6115">
        <w:t xml:space="preserve">Justice McLeod submits that </w:t>
      </w:r>
      <w:r w:rsidR="005B55D3" w:rsidRPr="009F6115">
        <w:t xml:space="preserve">such extreme dishonesty should lead this </w:t>
      </w:r>
      <w:r w:rsidR="00C70406" w:rsidRPr="009F6115">
        <w:t>P</w:t>
      </w:r>
      <w:r w:rsidR="005B55D3" w:rsidRPr="009F6115">
        <w:t xml:space="preserve">anel </w:t>
      </w:r>
      <w:r w:rsidR="00437934" w:rsidRPr="009F6115">
        <w:t xml:space="preserve">of the Judicial Council </w:t>
      </w:r>
      <w:r w:rsidR="005B55D3" w:rsidRPr="009F6115">
        <w:t>to disassociate itself from the recording.</w:t>
      </w:r>
    </w:p>
    <w:p w14:paraId="281E3094" w14:textId="4C74E3FF" w:rsidR="008A22DF" w:rsidRPr="009F6115" w:rsidRDefault="00437934" w:rsidP="00FF6DF1">
      <w:pPr>
        <w:pStyle w:val="AParaNumbering"/>
      </w:pPr>
      <w:r w:rsidRPr="009F6115">
        <w:t xml:space="preserve">The second pillar of Justice McLeod’s </w:t>
      </w:r>
      <w:r w:rsidR="00A80CA2" w:rsidRPr="009F6115">
        <w:t>argument is that</w:t>
      </w:r>
      <w:r w:rsidR="00AE39FA" w:rsidRPr="009F6115">
        <w:t xml:space="preserve"> </w:t>
      </w:r>
      <w:r w:rsidR="00353D25" w:rsidRPr="009F6115">
        <w:t>Professor</w:t>
      </w:r>
      <w:r w:rsidR="00426454" w:rsidRPr="009F6115">
        <w:t xml:space="preserve"> Abdillah’s manipulative behaviour on the call, together with inaudibles and gaps </w:t>
      </w:r>
      <w:r w:rsidR="007023D2" w:rsidRPr="009F6115">
        <w:t>in the recording</w:t>
      </w:r>
      <w:r w:rsidR="00426454" w:rsidRPr="009F6115">
        <w:t>, taint</w:t>
      </w:r>
      <w:r w:rsidR="00113A60" w:rsidRPr="009F6115">
        <w:t xml:space="preserve"> </w:t>
      </w:r>
      <w:r w:rsidR="007023D2" w:rsidRPr="009F6115">
        <w:t>the reliability of the recording</w:t>
      </w:r>
      <w:r w:rsidR="001D76B7" w:rsidRPr="009F6115">
        <w:t xml:space="preserve">. </w:t>
      </w:r>
      <w:r w:rsidR="00F3012E" w:rsidRPr="009F6115">
        <w:t>Moreover</w:t>
      </w:r>
      <w:r w:rsidR="00CA4E0A" w:rsidRPr="009F6115">
        <w:t xml:space="preserve">, </w:t>
      </w:r>
      <w:r w:rsidR="00353D25" w:rsidRPr="009F6115">
        <w:t>Professor</w:t>
      </w:r>
      <w:r w:rsidR="00CA4E0A" w:rsidRPr="009F6115">
        <w:t xml:space="preserve"> Abdillahi’s manipulative behaviour</w:t>
      </w:r>
      <w:r w:rsidR="002468B6" w:rsidRPr="009F6115">
        <w:t>,</w:t>
      </w:r>
      <w:r w:rsidR="00CA4E0A" w:rsidRPr="009F6115">
        <w:t xml:space="preserve"> as exemplified on the call</w:t>
      </w:r>
      <w:r w:rsidR="00354A36" w:rsidRPr="009F6115">
        <w:t>,</w:t>
      </w:r>
      <w:r w:rsidR="001D76B7" w:rsidRPr="009F6115">
        <w:t xml:space="preserve"> is said to bely</w:t>
      </w:r>
      <w:r w:rsidR="00CA4E0A" w:rsidRPr="009F6115">
        <w:t xml:space="preserve"> </w:t>
      </w:r>
      <w:r w:rsidR="00503BD4" w:rsidRPr="009F6115">
        <w:t>her</w:t>
      </w:r>
      <w:r w:rsidR="00CA4E0A" w:rsidRPr="009F6115">
        <w:t xml:space="preserve"> </w:t>
      </w:r>
      <w:r w:rsidR="00503BD4" w:rsidRPr="009F6115">
        <w:t xml:space="preserve">purported </w:t>
      </w:r>
      <w:r w:rsidR="00CA4E0A" w:rsidRPr="009F6115">
        <w:t>justification</w:t>
      </w:r>
      <w:r w:rsidR="00503BD4" w:rsidRPr="009F6115">
        <w:t>s</w:t>
      </w:r>
      <w:r w:rsidR="000805F1" w:rsidRPr="009F6115">
        <w:t xml:space="preserve"> for </w:t>
      </w:r>
      <w:r w:rsidR="00A742F8" w:rsidRPr="009F6115">
        <w:t>engaging in</w:t>
      </w:r>
      <w:r w:rsidR="000805F1" w:rsidRPr="009F6115">
        <w:t xml:space="preserve"> surreptitious recording</w:t>
      </w:r>
      <w:r w:rsidR="00CA4E0A" w:rsidRPr="009F6115">
        <w:t xml:space="preserve">. </w:t>
      </w:r>
    </w:p>
    <w:p w14:paraId="08471602" w14:textId="3D31D87D" w:rsidR="008A370F" w:rsidRPr="009F6115" w:rsidRDefault="00503BD4" w:rsidP="00FF6DF1">
      <w:pPr>
        <w:pStyle w:val="AParaNumbering"/>
      </w:pPr>
      <w:r w:rsidRPr="009F6115">
        <w:t xml:space="preserve">Although </w:t>
      </w:r>
      <w:r w:rsidR="00353D25" w:rsidRPr="009F6115">
        <w:t>Professor</w:t>
      </w:r>
      <w:r w:rsidRPr="009F6115">
        <w:t xml:space="preserve"> Abdillahi claims to have recorded the call to protect herself from the judge, </w:t>
      </w:r>
      <w:r w:rsidR="00A31D00" w:rsidRPr="009F6115">
        <w:t xml:space="preserve">he asserts that </w:t>
      </w:r>
      <w:r w:rsidR="000805F1" w:rsidRPr="009F6115">
        <w:t xml:space="preserve">she </w:t>
      </w:r>
      <w:r w:rsidR="00B02E96" w:rsidRPr="009F6115">
        <w:t>obviously manipulated the conversation using a variety of technique</w:t>
      </w:r>
      <w:r w:rsidR="00CE5871" w:rsidRPr="009F6115">
        <w:t xml:space="preserve">s, demonstrating that she ultimately intended the </w:t>
      </w:r>
      <w:r w:rsidR="00CE5871" w:rsidRPr="009F6115">
        <w:lastRenderedPageBreak/>
        <w:t>recording for use</w:t>
      </w:r>
      <w:r w:rsidR="002B756F" w:rsidRPr="009F6115">
        <w:t>,</w:t>
      </w:r>
      <w:r w:rsidR="00CE5871" w:rsidRPr="009F6115">
        <w:t xml:space="preserve"> not as a shield</w:t>
      </w:r>
      <w:r w:rsidR="002B756F" w:rsidRPr="009F6115">
        <w:t>,</w:t>
      </w:r>
      <w:r w:rsidR="00CE5871" w:rsidRPr="009F6115">
        <w:t xml:space="preserve"> but as a sword</w:t>
      </w:r>
      <w:r w:rsidR="00B02E96" w:rsidRPr="009F6115">
        <w:t xml:space="preserve">. These </w:t>
      </w:r>
      <w:r w:rsidR="00F3012E" w:rsidRPr="009F6115">
        <w:t>t</w:t>
      </w:r>
      <w:r w:rsidR="008A22DF" w:rsidRPr="009F6115">
        <w:t xml:space="preserve">echniques </w:t>
      </w:r>
      <w:r w:rsidR="00F3012E" w:rsidRPr="009F6115">
        <w:t>i</w:t>
      </w:r>
      <w:r w:rsidR="00B02E96" w:rsidRPr="009F6115">
        <w:t>ncluded</w:t>
      </w:r>
      <w:r w:rsidR="00CE5871" w:rsidRPr="009F6115">
        <w:t>:</w:t>
      </w:r>
      <w:r w:rsidR="00B02E96" w:rsidRPr="009F6115">
        <w:t xml:space="preserve"> </w:t>
      </w:r>
      <w:r w:rsidR="00F3012E" w:rsidRPr="009F6115">
        <w:t xml:space="preserve">i) </w:t>
      </w:r>
      <w:r w:rsidR="00B02E96" w:rsidRPr="009F6115">
        <w:t xml:space="preserve">inflammatory statements designed to incite a response </w:t>
      </w:r>
      <w:r w:rsidR="005A1954" w:rsidRPr="009F6115">
        <w:t>(</w:t>
      </w:r>
      <w:r w:rsidR="00B02E96" w:rsidRPr="009F6115">
        <w:t xml:space="preserve">for example, </w:t>
      </w:r>
      <w:r w:rsidR="00CB14D5" w:rsidRPr="009F6115">
        <w:t>“</w:t>
      </w:r>
      <w:r w:rsidR="00B02E96" w:rsidRPr="009F6115">
        <w:t>this [the FBC website] looks like a goddam</w:t>
      </w:r>
      <w:r w:rsidR="001D76B7" w:rsidRPr="009F6115">
        <w:t>n</w:t>
      </w:r>
      <w:r w:rsidR="00B02E96" w:rsidRPr="009F6115">
        <w:t xml:space="preserve"> sham</w:t>
      </w:r>
      <w:r w:rsidR="00B96773" w:rsidRPr="009F6115">
        <w:t>”</w:t>
      </w:r>
      <w:r w:rsidR="0033134A" w:rsidRPr="009F6115">
        <w:t>;</w:t>
      </w:r>
      <w:r w:rsidR="008318B9" w:rsidRPr="009F6115">
        <w:t xml:space="preserve"> </w:t>
      </w:r>
      <w:r w:rsidR="00F369E8" w:rsidRPr="009F6115">
        <w:t>“</w:t>
      </w:r>
      <w:r w:rsidR="00ED7380" w:rsidRPr="009F6115">
        <w:t xml:space="preserve">the person at the head </w:t>
      </w:r>
      <w:r w:rsidR="00B136E8" w:rsidRPr="009F6115">
        <w:t>of [the FBC] is</w:t>
      </w:r>
      <w:r w:rsidR="0033134A" w:rsidRPr="009F6115">
        <w:t xml:space="preserve"> a dam</w:t>
      </w:r>
      <w:r w:rsidR="001D76B7" w:rsidRPr="009F6115">
        <w:t>n</w:t>
      </w:r>
      <w:r w:rsidR="0033134A" w:rsidRPr="009F6115">
        <w:t xml:space="preserve"> judge</w:t>
      </w:r>
      <w:r w:rsidR="00C10281" w:rsidRPr="009F6115">
        <w:t>; right?</w:t>
      </w:r>
      <w:r w:rsidR="0012482F" w:rsidRPr="009F6115">
        <w:t>”</w:t>
      </w:r>
      <w:r w:rsidR="005A1954" w:rsidRPr="009F6115">
        <w:t>)</w:t>
      </w:r>
      <w:r w:rsidR="00F3012E" w:rsidRPr="009F6115">
        <w:t>;</w:t>
      </w:r>
      <w:r w:rsidR="00B02E96" w:rsidRPr="009F6115">
        <w:t xml:space="preserve"> and </w:t>
      </w:r>
      <w:r w:rsidR="00F3012E" w:rsidRPr="009F6115">
        <w:t xml:space="preserve">ii) </w:t>
      </w:r>
      <w:r w:rsidR="00B02E96" w:rsidRPr="009F6115">
        <w:t>probin</w:t>
      </w:r>
      <w:r w:rsidR="0033134A" w:rsidRPr="009F6115">
        <w:t xml:space="preserve">g, </w:t>
      </w:r>
      <w:r w:rsidR="00B02E96" w:rsidRPr="009F6115">
        <w:t>obviously prepared</w:t>
      </w:r>
      <w:r w:rsidR="0033134A" w:rsidRPr="009F6115">
        <w:t xml:space="preserve"> and sometimes leading</w:t>
      </w:r>
      <w:r w:rsidR="00B02E96" w:rsidRPr="009F6115">
        <w:t xml:space="preserve"> questioning aimed at eliciting information</w:t>
      </w:r>
      <w:r w:rsidR="0033134A" w:rsidRPr="009F6115">
        <w:t xml:space="preserve"> that might reflect badly on the organization or the judge (</w:t>
      </w:r>
      <w:r w:rsidR="008A370F" w:rsidRPr="009F6115">
        <w:t xml:space="preserve">for example, </w:t>
      </w:r>
      <w:r w:rsidR="0033134A" w:rsidRPr="009F6115">
        <w:t xml:space="preserve">questions about </w:t>
      </w:r>
      <w:r w:rsidR="008A370F" w:rsidRPr="009F6115">
        <w:t xml:space="preserve">the FBC’s </w:t>
      </w:r>
      <w:r w:rsidR="0033134A" w:rsidRPr="009F6115">
        <w:t>connections to the Liberal party; whether the FBC received government money; the involvement of a federal government minister’s wife</w:t>
      </w:r>
      <w:r w:rsidR="008A370F" w:rsidRPr="009F6115">
        <w:t xml:space="preserve"> in the FBC</w:t>
      </w:r>
      <w:r w:rsidR="0033134A" w:rsidRPr="009F6115">
        <w:t xml:space="preserve">; </w:t>
      </w:r>
      <w:r w:rsidR="005A1954" w:rsidRPr="009F6115">
        <w:t>the propriety of political involvement and donations</w:t>
      </w:r>
      <w:r w:rsidR="00D16CB6" w:rsidRPr="009F6115">
        <w:t xml:space="preserve"> to a political</w:t>
      </w:r>
      <w:r w:rsidR="005A1954" w:rsidRPr="009F6115">
        <w:t xml:space="preserve"> </w:t>
      </w:r>
      <w:r w:rsidR="00F12623" w:rsidRPr="009F6115">
        <w:t xml:space="preserve">party </w:t>
      </w:r>
      <w:r w:rsidR="005A1954" w:rsidRPr="009F6115">
        <w:t>by a judge</w:t>
      </w:r>
      <w:r w:rsidR="00574340" w:rsidRPr="009F6115">
        <w:t>;</w:t>
      </w:r>
      <w:r w:rsidR="005A1954" w:rsidRPr="009F6115">
        <w:t xml:space="preserve"> and concerning who </w:t>
      </w:r>
      <w:r w:rsidR="00D16CB6" w:rsidRPr="009F6115">
        <w:t>at</w:t>
      </w:r>
      <w:r w:rsidR="005A1954" w:rsidRPr="009F6115">
        <w:t xml:space="preserve"> the FBC </w:t>
      </w:r>
      <w:r w:rsidR="00F12623" w:rsidRPr="009F6115">
        <w:t xml:space="preserve">might have </w:t>
      </w:r>
      <w:r w:rsidR="005A1954" w:rsidRPr="009F6115">
        <w:t xml:space="preserve">made </w:t>
      </w:r>
      <w:r w:rsidR="0003447D" w:rsidRPr="009F6115">
        <w:t>political</w:t>
      </w:r>
      <w:r w:rsidR="005A1954" w:rsidRPr="009F6115">
        <w:t xml:space="preserve"> donations)</w:t>
      </w:r>
      <w:r w:rsidR="000805F1" w:rsidRPr="009F6115">
        <w:t>.</w:t>
      </w:r>
      <w:r w:rsidR="00CA4E0A" w:rsidRPr="009F6115">
        <w:t xml:space="preserve">  </w:t>
      </w:r>
      <w:r w:rsidR="008A370F" w:rsidRPr="009F6115">
        <w:t xml:space="preserve">This questioning culminated in a more conciliatory discussion </w:t>
      </w:r>
      <w:r w:rsidR="00A14FDE" w:rsidRPr="009F6115">
        <w:t>during the latter part</w:t>
      </w:r>
      <w:r w:rsidR="008A370F" w:rsidRPr="009F6115">
        <w:t xml:space="preserve"> of the approximately 2 hour and 40</w:t>
      </w:r>
      <w:r w:rsidR="00615330" w:rsidRPr="009F6115">
        <w:t>-</w:t>
      </w:r>
      <w:r w:rsidR="008A370F" w:rsidRPr="009F6115">
        <w:t>minute c</w:t>
      </w:r>
      <w:r w:rsidR="00113A60" w:rsidRPr="009F6115">
        <w:t>onversat</w:t>
      </w:r>
      <w:r w:rsidR="00615330" w:rsidRPr="009F6115">
        <w:t>i</w:t>
      </w:r>
      <w:r w:rsidR="00113A60" w:rsidRPr="009F6115">
        <w:t>on</w:t>
      </w:r>
      <w:r w:rsidR="008A370F" w:rsidRPr="009F6115">
        <w:t xml:space="preserve"> in which </w:t>
      </w:r>
      <w:r w:rsidR="00353D25" w:rsidRPr="009F6115">
        <w:t>Professor</w:t>
      </w:r>
      <w:r w:rsidR="008A370F" w:rsidRPr="009F6115">
        <w:t xml:space="preserve"> Abdillahi made suggestions to Justice McLeod about how the FBC </w:t>
      </w:r>
      <w:r w:rsidR="0003447D" w:rsidRPr="009F6115">
        <w:t xml:space="preserve">should </w:t>
      </w:r>
      <w:r w:rsidR="00615330" w:rsidRPr="009F6115">
        <w:t>go forward</w:t>
      </w:r>
      <w:r w:rsidR="008A370F" w:rsidRPr="009F6115">
        <w:t>. It is these suggestions, and more particularly Justice McLeod’s responses to them, that form the primary basis for the alleged relevance of the recording.</w:t>
      </w:r>
      <w:r w:rsidR="00EB00E3" w:rsidRPr="009F6115">
        <w:t xml:space="preserve"> </w:t>
      </w:r>
    </w:p>
    <w:p w14:paraId="43ED8C61" w14:textId="0A2F6BC9" w:rsidR="00113A60" w:rsidRPr="009F6115" w:rsidRDefault="00281D35" w:rsidP="00FF6DF1">
      <w:pPr>
        <w:pStyle w:val="AParaNumbering"/>
      </w:pPr>
      <w:r w:rsidRPr="009F6115">
        <w:t xml:space="preserve">Finally, Justice McLeod points to two gaps </w:t>
      </w:r>
      <w:r w:rsidR="00484699" w:rsidRPr="009F6115">
        <w:t xml:space="preserve">and various inaudibles </w:t>
      </w:r>
      <w:r w:rsidRPr="009F6115">
        <w:t>in the recording as being significant to its reliability. First, the recording appears to end abruptly without capturing the conclusion of the conversation. A submission may be made that the preceding conversation points to Justice McLeod having agreed t</w:t>
      </w:r>
      <w:r w:rsidR="00DF13C8" w:rsidRPr="009F6115">
        <w:t>hat the FBC would write a letter to the Minister concerning the Abdi case</w:t>
      </w:r>
      <w:r w:rsidRPr="009F6115">
        <w:t xml:space="preserve">. However, </w:t>
      </w:r>
      <w:r w:rsidR="00353D25" w:rsidRPr="009F6115">
        <w:t>Professor</w:t>
      </w:r>
      <w:r w:rsidRPr="009F6115">
        <w:t xml:space="preserve"> Abdillahi was unable to provide any explanation for this gap – </w:t>
      </w:r>
      <w:r w:rsidRPr="009F6115">
        <w:lastRenderedPageBreak/>
        <w:t xml:space="preserve">a gap that occurs at </w:t>
      </w:r>
      <w:r w:rsidR="001D76B7" w:rsidRPr="009F6115">
        <w:t xml:space="preserve">what is said to be </w:t>
      </w:r>
      <w:r w:rsidRPr="009F6115">
        <w:t>a critical point in the conversation</w:t>
      </w:r>
      <w:r w:rsidR="006E1725" w:rsidRPr="009F6115">
        <w:t xml:space="preserve"> – </w:t>
      </w:r>
      <w:r w:rsidRPr="009F6115">
        <w:t>therefore depriving th</w:t>
      </w:r>
      <w:r w:rsidR="00B90CFB" w:rsidRPr="009F6115">
        <w:t>is</w:t>
      </w:r>
      <w:r w:rsidRPr="009F6115">
        <w:t xml:space="preserve"> </w:t>
      </w:r>
      <w:r w:rsidR="0012482F" w:rsidRPr="009F6115">
        <w:t>P</w:t>
      </w:r>
      <w:r w:rsidRPr="009F6115">
        <w:t xml:space="preserve">anel of important context for assessing the </w:t>
      </w:r>
      <w:r w:rsidR="00113A60" w:rsidRPr="009F6115">
        <w:t xml:space="preserve">ultimate value of the recording. </w:t>
      </w:r>
    </w:p>
    <w:p w14:paraId="14CF8FCA" w14:textId="5846A967" w:rsidR="00281D35" w:rsidRPr="009F6115" w:rsidRDefault="00113A60" w:rsidP="00FF6DF1">
      <w:pPr>
        <w:pStyle w:val="AParaNumbering"/>
      </w:pPr>
      <w:r w:rsidRPr="009F6115">
        <w:t>An earlier gap in the call (about 50 missing seconds between 2 hours</w:t>
      </w:r>
      <w:r w:rsidR="002B756F" w:rsidRPr="009F6115">
        <w:t>,</w:t>
      </w:r>
      <w:r w:rsidRPr="009F6115">
        <w:t xml:space="preserve"> 10 minutes</w:t>
      </w:r>
      <w:r w:rsidR="006E1725" w:rsidRPr="009F6115">
        <w:t xml:space="preserve"> and</w:t>
      </w:r>
      <w:r w:rsidRPr="009F6115">
        <w:t xml:space="preserve"> 12 seconds into the call </w:t>
      </w:r>
      <w:r w:rsidR="002B756F" w:rsidRPr="009F6115">
        <w:t xml:space="preserve">and </w:t>
      </w:r>
      <w:r w:rsidRPr="009F6115">
        <w:t>2 hours</w:t>
      </w:r>
      <w:r w:rsidR="002B756F" w:rsidRPr="009F6115">
        <w:t>,</w:t>
      </w:r>
      <w:r w:rsidRPr="009F6115">
        <w:t xml:space="preserve"> 11 minutes </w:t>
      </w:r>
      <w:r w:rsidR="006E1725" w:rsidRPr="009F6115">
        <w:t xml:space="preserve">and </w:t>
      </w:r>
      <w:r w:rsidRPr="009F6115">
        <w:t>02 seconds)</w:t>
      </w:r>
      <w:r w:rsidR="00281D35" w:rsidRPr="009F6115">
        <w:t xml:space="preserve"> </w:t>
      </w:r>
      <w:r w:rsidR="001D76B7" w:rsidRPr="009F6115">
        <w:t>may be</w:t>
      </w:r>
      <w:r w:rsidRPr="009F6115">
        <w:t xml:space="preserve"> explained by </w:t>
      </w:r>
      <w:r w:rsidR="00353D25" w:rsidRPr="009F6115">
        <w:t>Professor</w:t>
      </w:r>
      <w:r w:rsidRPr="009F6115">
        <w:t xml:space="preserve"> Abdillahi’s evidence that she walked away from her computer (the device making the recording). Nonetheless, the gap demonstrates that the recording is incomplete, creating an obvious risk to the </w:t>
      </w:r>
      <w:r w:rsidR="00D646D7" w:rsidRPr="009F6115">
        <w:t>P</w:t>
      </w:r>
      <w:r w:rsidRPr="009F6115">
        <w:t>anel’s ability to evaluate the recording.</w:t>
      </w:r>
    </w:p>
    <w:p w14:paraId="2B824CB5" w14:textId="12C5E9E2" w:rsidR="00A66E5E" w:rsidRPr="009F6115" w:rsidRDefault="00A66E5E" w:rsidP="00FF6DF1">
      <w:pPr>
        <w:pStyle w:val="AParaNumbering"/>
      </w:pPr>
      <w:r w:rsidRPr="009F6115">
        <w:t xml:space="preserve">Although </w:t>
      </w:r>
      <w:r w:rsidR="00EE2F4D" w:rsidRPr="009F6115">
        <w:t>Justice McLeod a</w:t>
      </w:r>
      <w:r w:rsidR="00784D9A" w:rsidRPr="009F6115">
        <w:t xml:space="preserve">cknowledges that </w:t>
      </w:r>
      <w:r w:rsidRPr="009F6115">
        <w:t xml:space="preserve">some inaudibles in the recording are inconsequential, </w:t>
      </w:r>
      <w:r w:rsidR="00784D9A" w:rsidRPr="009F6115">
        <w:t xml:space="preserve">he says </w:t>
      </w:r>
      <w:r w:rsidRPr="009F6115">
        <w:t xml:space="preserve">others occur in </w:t>
      </w:r>
      <w:r w:rsidR="00C541DE" w:rsidRPr="009F6115">
        <w:t xml:space="preserve">the </w:t>
      </w:r>
      <w:r w:rsidRPr="009F6115">
        <w:t>most relevant portions of the recording, demonstrating again the incompleteness of the recording</w:t>
      </w:r>
      <w:r w:rsidR="00A5369B" w:rsidRPr="009F6115">
        <w:t>: for example, inaudibles noted at pages 161</w:t>
      </w:r>
      <w:r w:rsidR="007724CE" w:rsidRPr="009F6115">
        <w:t xml:space="preserve"> </w:t>
      </w:r>
      <w:r w:rsidR="0041300A" w:rsidRPr="009F6115">
        <w:t xml:space="preserve">– </w:t>
      </w:r>
      <w:r w:rsidR="007724CE" w:rsidRPr="009F6115">
        <w:t>164</w:t>
      </w:r>
      <w:r w:rsidR="00A5369B" w:rsidRPr="009F6115">
        <w:t xml:space="preserve"> of the transcript of the recording</w:t>
      </w:r>
      <w:r w:rsidR="00822B47" w:rsidRPr="009F6115">
        <w:t>.</w:t>
      </w:r>
      <w:r w:rsidR="00A5369B" w:rsidRPr="009F6115">
        <w:rPr>
          <w:rStyle w:val="FootnoteReference"/>
          <w:rFonts w:cs="Arial"/>
          <w:szCs w:val="26"/>
        </w:rPr>
        <w:footnoteReference w:id="2"/>
      </w:r>
    </w:p>
    <w:p w14:paraId="442CDC5C" w14:textId="797B9F72" w:rsidR="00EB00E3" w:rsidRPr="009F6115" w:rsidRDefault="008A370F" w:rsidP="00FF6DF1">
      <w:pPr>
        <w:pStyle w:val="AParaNumbering"/>
      </w:pPr>
      <w:r w:rsidRPr="009F6115">
        <w:t xml:space="preserve">The </w:t>
      </w:r>
      <w:r w:rsidR="005B55D3" w:rsidRPr="009F6115">
        <w:t xml:space="preserve">third </w:t>
      </w:r>
      <w:r w:rsidRPr="009F6115">
        <w:t>pillar of Justice McLeod’s argument is that</w:t>
      </w:r>
      <w:r w:rsidR="00426454" w:rsidRPr="009F6115">
        <w:t xml:space="preserve"> public policy</w:t>
      </w:r>
      <w:r w:rsidR="00BB3AC3" w:rsidRPr="009F6115">
        <w:t xml:space="preserve"> favours excluding the call from evidence </w:t>
      </w:r>
      <w:r w:rsidR="00BF5B6C" w:rsidRPr="009F6115">
        <w:t xml:space="preserve">both </w:t>
      </w:r>
      <w:r w:rsidR="00BB3AC3" w:rsidRPr="009F6115">
        <w:t>to</w:t>
      </w:r>
      <w:r w:rsidR="007023D2" w:rsidRPr="009F6115">
        <w:t xml:space="preserve"> denounce the </w:t>
      </w:r>
      <w:r w:rsidR="00BF5B6C" w:rsidRPr="009F6115">
        <w:t xml:space="preserve">practice of </w:t>
      </w:r>
      <w:r w:rsidR="007023D2" w:rsidRPr="009F6115">
        <w:t>unjustified surrepti</w:t>
      </w:r>
      <w:r w:rsidR="00675FF3" w:rsidRPr="009F6115">
        <w:t>t</w:t>
      </w:r>
      <w:r w:rsidR="007023D2" w:rsidRPr="009F6115">
        <w:t>ious recording</w:t>
      </w:r>
      <w:r w:rsidR="00BF5B6C" w:rsidRPr="009F6115">
        <w:t xml:space="preserve"> and to preserve the integrity of this proceeding. </w:t>
      </w:r>
    </w:p>
    <w:p w14:paraId="63733E3B" w14:textId="29DDB4C7" w:rsidR="008A370F" w:rsidRPr="009F6115" w:rsidRDefault="00BF5B6C" w:rsidP="00FF6DF1">
      <w:pPr>
        <w:pStyle w:val="AParaNumbering"/>
      </w:pPr>
      <w:r w:rsidRPr="009F6115">
        <w:t>W</w:t>
      </w:r>
      <w:r w:rsidR="007023D2" w:rsidRPr="009F6115">
        <w:t>hile not illegal,</w:t>
      </w:r>
      <w:r w:rsidRPr="009F6115">
        <w:t xml:space="preserve"> </w:t>
      </w:r>
      <w:r w:rsidR="00113A60" w:rsidRPr="009F6115">
        <w:t xml:space="preserve">the practice of </w:t>
      </w:r>
      <w:r w:rsidRPr="009F6115">
        <w:t>surrepti</w:t>
      </w:r>
      <w:r w:rsidR="00675FF3" w:rsidRPr="009F6115">
        <w:t>t</w:t>
      </w:r>
      <w:r w:rsidRPr="009F6115">
        <w:t xml:space="preserve">ious recording </w:t>
      </w:r>
      <w:r w:rsidR="007023D2" w:rsidRPr="009F6115">
        <w:t>has been described in emerging caselaw as odious</w:t>
      </w:r>
      <w:r w:rsidR="00D220AD" w:rsidRPr="009F6115">
        <w:t>, and to be discouraged</w:t>
      </w:r>
      <w:r w:rsidR="004D20E8" w:rsidRPr="009F6115">
        <w:t>:</w:t>
      </w:r>
      <w:r w:rsidR="008A4CE5" w:rsidRPr="009F6115">
        <w:t xml:space="preserve"> </w:t>
      </w:r>
      <w:r w:rsidR="008A4CE5" w:rsidRPr="009F6115">
        <w:rPr>
          <w:i/>
          <w:iCs/>
        </w:rPr>
        <w:t>Seddon v. Seddon</w:t>
      </w:r>
      <w:r w:rsidR="008A4CE5" w:rsidRPr="009F6115">
        <w:t>,</w:t>
      </w:r>
      <w:r w:rsidR="00452DFB" w:rsidRPr="009F6115">
        <w:t xml:space="preserve"> [1994] B.C.J. No. 1729,</w:t>
      </w:r>
      <w:r w:rsidR="008A4CE5" w:rsidRPr="009F6115">
        <w:t xml:space="preserve"> at para. 25</w:t>
      </w:r>
      <w:r w:rsidR="004658D3" w:rsidRPr="009F6115">
        <w:t xml:space="preserve">; see also </w:t>
      </w:r>
      <w:r w:rsidR="004658D3" w:rsidRPr="009F6115">
        <w:rPr>
          <w:i/>
          <w:iCs/>
        </w:rPr>
        <w:t>Sordi v. Sordi</w:t>
      </w:r>
      <w:r w:rsidR="00D74860" w:rsidRPr="009F6115">
        <w:t>, 2011 ONCA</w:t>
      </w:r>
      <w:r w:rsidR="00093663" w:rsidRPr="009F6115">
        <w:t xml:space="preserve"> 665, 283 O.A.C. </w:t>
      </w:r>
      <w:r w:rsidR="00093663" w:rsidRPr="009F6115">
        <w:lastRenderedPageBreak/>
        <w:t xml:space="preserve">287, </w:t>
      </w:r>
      <w:r w:rsidR="00D74860" w:rsidRPr="009F6115">
        <w:t>at para. 12</w:t>
      </w:r>
      <w:r w:rsidR="007023D2" w:rsidRPr="009F6115">
        <w:t xml:space="preserve">. </w:t>
      </w:r>
      <w:r w:rsidR="005E4BA2" w:rsidRPr="009F6115">
        <w:t>Further, t</w:t>
      </w:r>
      <w:r w:rsidR="00DA7BDB" w:rsidRPr="009F6115">
        <w:t xml:space="preserve">he practice violates privacy rights and respect for dignity. </w:t>
      </w:r>
      <w:r w:rsidRPr="009F6115">
        <w:t xml:space="preserve">Here, the </w:t>
      </w:r>
      <w:r w:rsidR="00BB3AC3" w:rsidRPr="009F6115">
        <w:t xml:space="preserve">recording </w:t>
      </w:r>
      <w:r w:rsidRPr="009F6115">
        <w:t>was not only surrepti</w:t>
      </w:r>
      <w:r w:rsidR="00675FF3" w:rsidRPr="009F6115">
        <w:t>t</w:t>
      </w:r>
      <w:r w:rsidRPr="009F6115">
        <w:t xml:space="preserve">ious, </w:t>
      </w:r>
      <w:r w:rsidR="003A5580" w:rsidRPr="009F6115">
        <w:t>but</w:t>
      </w:r>
      <w:r w:rsidR="00CC3813" w:rsidRPr="009F6115">
        <w:t xml:space="preserve"> also</w:t>
      </w:r>
      <w:r w:rsidR="00675FF3" w:rsidRPr="009F6115">
        <w:t xml:space="preserve"> premeditated</w:t>
      </w:r>
      <w:r w:rsidR="00524DFA" w:rsidRPr="009F6115">
        <w:t xml:space="preserve">. </w:t>
      </w:r>
      <w:r w:rsidR="000207F7" w:rsidRPr="009F6115">
        <w:t>T</w:t>
      </w:r>
      <w:r w:rsidR="0047327C" w:rsidRPr="009F6115">
        <w:t>he scheming and dish</w:t>
      </w:r>
      <w:r w:rsidR="007411C2" w:rsidRPr="009F6115">
        <w:t xml:space="preserve">onest conduct </w:t>
      </w:r>
      <w:r w:rsidR="00675FF3" w:rsidRPr="009F6115">
        <w:t xml:space="preserve">continued even in the face of </w:t>
      </w:r>
      <w:r w:rsidR="00BB3AC3" w:rsidRPr="009F6115">
        <w:t>assurance</w:t>
      </w:r>
      <w:r w:rsidR="00675FF3" w:rsidRPr="009F6115">
        <w:t>s</w:t>
      </w:r>
      <w:r w:rsidR="00BB3AC3" w:rsidRPr="009F6115">
        <w:t xml:space="preserve"> of</w:t>
      </w:r>
      <w:r w:rsidR="00675FF3" w:rsidRPr="009F6115">
        <w:t xml:space="preserve"> the</w:t>
      </w:r>
      <w:r w:rsidR="00BB3AC3" w:rsidRPr="009F6115">
        <w:t xml:space="preserve"> confidentiality</w:t>
      </w:r>
      <w:r w:rsidR="00675FF3" w:rsidRPr="009F6115">
        <w:t xml:space="preserve"> of the conversation</w:t>
      </w:r>
      <w:r w:rsidR="00BB3AC3" w:rsidRPr="009F6115">
        <w:t xml:space="preserve">.  </w:t>
      </w:r>
      <w:r w:rsidR="00EB00E3" w:rsidRPr="009F6115">
        <w:t xml:space="preserve">Particularly in light of </w:t>
      </w:r>
      <w:r w:rsidR="00353D25" w:rsidRPr="009F6115">
        <w:t>Professor</w:t>
      </w:r>
      <w:r w:rsidR="00EB00E3" w:rsidRPr="009F6115">
        <w:t xml:space="preserve"> Abdillahi’s manipulation of the conversation</w:t>
      </w:r>
      <w:r w:rsidR="00732587" w:rsidRPr="009F6115">
        <w:t xml:space="preserve">, </w:t>
      </w:r>
      <w:r w:rsidR="001D76B7" w:rsidRPr="009F6115">
        <w:t xml:space="preserve">it is said that </w:t>
      </w:r>
      <w:r w:rsidR="004D16B2" w:rsidRPr="009F6115">
        <w:t xml:space="preserve">the </w:t>
      </w:r>
      <w:r w:rsidR="001D76B7" w:rsidRPr="009F6115">
        <w:t>P</w:t>
      </w:r>
      <w:r w:rsidR="004D16B2" w:rsidRPr="009F6115">
        <w:t>anel should be concerned about the long</w:t>
      </w:r>
      <w:r w:rsidR="007411C2" w:rsidRPr="009F6115">
        <w:t>-</w:t>
      </w:r>
      <w:r w:rsidR="004D16B2" w:rsidRPr="009F6115">
        <w:t>term consequences of admitting this type of evidence in</w:t>
      </w:r>
      <w:r w:rsidR="007411C2" w:rsidRPr="009F6115">
        <w:t xml:space="preserve"> a</w:t>
      </w:r>
      <w:r w:rsidR="004D16B2" w:rsidRPr="009F6115">
        <w:t xml:space="preserve"> forum </w:t>
      </w:r>
      <w:r w:rsidR="007F4AD7" w:rsidRPr="009F6115">
        <w:t>designed to ensure public confi</w:t>
      </w:r>
      <w:r w:rsidR="007411C2" w:rsidRPr="009F6115">
        <w:t xml:space="preserve">dence in the administration of justice. </w:t>
      </w:r>
      <w:r w:rsidR="00F660AF" w:rsidRPr="009F6115">
        <w:t>Moreover, s</w:t>
      </w:r>
      <w:r w:rsidR="001C3A3B" w:rsidRPr="009F6115">
        <w:t>u</w:t>
      </w:r>
      <w:r w:rsidR="00486321" w:rsidRPr="009F6115">
        <w:t>rreptitious recording is not only dec</w:t>
      </w:r>
      <w:r w:rsidR="00A44970" w:rsidRPr="009F6115">
        <w:t>eitful and self-serving, it has the potential to mislead, or at least complicate the task of</w:t>
      </w:r>
      <w:r w:rsidR="00524DFA" w:rsidRPr="009F6115">
        <w:t>,</w:t>
      </w:r>
      <w:r w:rsidR="00A44970" w:rsidRPr="009F6115">
        <w:t xml:space="preserve"> the</w:t>
      </w:r>
      <w:r w:rsidR="00524DFA" w:rsidRPr="009F6115">
        <w:t xml:space="preserve"> trier of fact</w:t>
      </w:r>
      <w:r w:rsidR="008F6EAD" w:rsidRPr="009F6115">
        <w:t xml:space="preserve">: </w:t>
      </w:r>
      <w:r w:rsidR="00575646" w:rsidRPr="009F6115">
        <w:rPr>
          <w:i/>
          <w:iCs/>
        </w:rPr>
        <w:t>Paftali v. Paftali</w:t>
      </w:r>
      <w:r w:rsidR="00575646" w:rsidRPr="009F6115">
        <w:t>, 2020 ONSC 5325, at para. 63</w:t>
      </w:r>
      <w:r w:rsidR="0077255E" w:rsidRPr="009F6115">
        <w:t xml:space="preserve">; </w:t>
      </w:r>
      <w:r w:rsidR="0077255E" w:rsidRPr="009F6115">
        <w:rPr>
          <w:i/>
          <w:iCs/>
        </w:rPr>
        <w:t>R. v. Parsons</w:t>
      </w:r>
      <w:r w:rsidR="008C1CFB" w:rsidRPr="009F6115">
        <w:t xml:space="preserve">, </w:t>
      </w:r>
      <w:r w:rsidR="00A566C9" w:rsidRPr="009F6115">
        <w:t>2017</w:t>
      </w:r>
      <w:r w:rsidR="00093663" w:rsidRPr="009F6115">
        <w:t xml:space="preserve"> NLTD(G) 160,</w:t>
      </w:r>
      <w:r w:rsidR="00A566C9" w:rsidRPr="009F6115">
        <w:t xml:space="preserve"> </w:t>
      </w:r>
      <w:r w:rsidR="008C1CFB" w:rsidRPr="009F6115">
        <w:t>at para 41</w:t>
      </w:r>
      <w:r w:rsidR="00575646" w:rsidRPr="009F6115">
        <w:t>.</w:t>
      </w:r>
    </w:p>
    <w:p w14:paraId="707A6BD0" w14:textId="1201B92E" w:rsidR="003E55E3" w:rsidRPr="009F6115" w:rsidRDefault="008A22DF" w:rsidP="00FF6DF1">
      <w:pPr>
        <w:pStyle w:val="AParaNumbering"/>
      </w:pPr>
      <w:r w:rsidRPr="009F6115">
        <w:t>F</w:t>
      </w:r>
      <w:r w:rsidR="00E543FA" w:rsidRPr="009F6115">
        <w:t>inally, the f</w:t>
      </w:r>
      <w:r w:rsidRPr="009F6115">
        <w:t>ourth</w:t>
      </w:r>
      <w:r w:rsidR="00E543FA" w:rsidRPr="009F6115">
        <w:t xml:space="preserve"> pillar of Justice McLeod’s argument is that</w:t>
      </w:r>
      <w:r w:rsidR="005F61BA" w:rsidRPr="009F6115">
        <w:t xml:space="preserve"> the probative value of the evidence </w:t>
      </w:r>
      <w:r w:rsidRPr="009F6115">
        <w:t xml:space="preserve">is minimal. The Notice of Hearing </w:t>
      </w:r>
      <w:r w:rsidR="002304BE" w:rsidRPr="009F6115">
        <w:t>is dated</w:t>
      </w:r>
      <w:r w:rsidRPr="009F6115">
        <w:t xml:space="preserve"> February 2020</w:t>
      </w:r>
      <w:r w:rsidR="00F3012E" w:rsidRPr="009F6115">
        <w:t>, meaning that a preliminary investigation had been completed and a hearing ordered</w:t>
      </w:r>
      <w:r w:rsidRPr="009F6115">
        <w:t xml:space="preserve">. Presenting </w:t>
      </w:r>
      <w:r w:rsidR="00D646D7" w:rsidRPr="009F6115">
        <w:t>C</w:t>
      </w:r>
      <w:r w:rsidRPr="009F6115">
        <w:t xml:space="preserve">ounsel did not obtain the audio recording until several months later, in June 2020. Presenting </w:t>
      </w:r>
      <w:r w:rsidR="00D646D7" w:rsidRPr="009F6115">
        <w:t>C</w:t>
      </w:r>
      <w:r w:rsidRPr="009F6115">
        <w:t>ounsel’s case can clearly proceed without the evidence of the audio recording</w:t>
      </w:r>
      <w:r w:rsidR="00F3012E" w:rsidRPr="009F6115">
        <w:t>, which relies for its relevance on inferences to be drawn from a manipulated conversation.</w:t>
      </w:r>
      <w:r w:rsidR="00041A3A" w:rsidRPr="009F6115">
        <w:t xml:space="preserve"> At best, the audio recording pro</w:t>
      </w:r>
      <w:r w:rsidR="00776352" w:rsidRPr="009F6115">
        <w:t xml:space="preserve">vides only circumstantial evidence that is tainted </w:t>
      </w:r>
      <w:r w:rsidR="007C1AB6" w:rsidRPr="009F6115">
        <w:t xml:space="preserve">both </w:t>
      </w:r>
      <w:r w:rsidR="00554A93" w:rsidRPr="009F6115">
        <w:t xml:space="preserve">by </w:t>
      </w:r>
      <w:r w:rsidR="007C1AB6" w:rsidRPr="009F6115">
        <w:t>d</w:t>
      </w:r>
      <w:r w:rsidR="00BC0CB7" w:rsidRPr="009F6115">
        <w:t>eceit and reliability concerns.</w:t>
      </w:r>
      <w:r w:rsidR="00F3012E" w:rsidRPr="009F6115">
        <w:t xml:space="preserve"> </w:t>
      </w:r>
      <w:r w:rsidRPr="009F6115">
        <w:t xml:space="preserve"> </w:t>
      </w:r>
    </w:p>
    <w:p w14:paraId="7A9B27F4" w14:textId="2F602ECB" w:rsidR="00D64A59" w:rsidRPr="009F6115" w:rsidRDefault="00D64A59" w:rsidP="00FF6DF1">
      <w:pPr>
        <w:pStyle w:val="AParaNumbering"/>
      </w:pPr>
      <w:r w:rsidRPr="009F6115">
        <w:t>We did not accept these submissions for several reasons.</w:t>
      </w:r>
    </w:p>
    <w:p w14:paraId="17EFDFA4" w14:textId="49DB2164" w:rsidR="00D64A59" w:rsidRPr="009F6115" w:rsidRDefault="00D64A59" w:rsidP="00FF6DF1">
      <w:pPr>
        <w:pStyle w:val="AParaNumbering"/>
      </w:pPr>
      <w:r w:rsidRPr="009F6115">
        <w:lastRenderedPageBreak/>
        <w:t>As a starting point</w:t>
      </w:r>
      <w:r w:rsidR="00D646D7" w:rsidRPr="009F6115">
        <w:t>,</w:t>
      </w:r>
      <w:r w:rsidRPr="009F6115">
        <w:t xml:space="preserve"> we note that the evidence was not obtained illegally</w:t>
      </w:r>
      <w:r w:rsidR="00924E54" w:rsidRPr="009F6115">
        <w:t>;</w:t>
      </w:r>
      <w:r w:rsidR="00BB48A8" w:rsidRPr="009F6115">
        <w:rPr>
          <w:rStyle w:val="FootnoteReference"/>
          <w:rFonts w:cs="Arial"/>
          <w:szCs w:val="26"/>
        </w:rPr>
        <w:footnoteReference w:id="3"/>
      </w:r>
      <w:r w:rsidRPr="009F6115">
        <w:t xml:space="preserve"> that courts have admitted evidence of surreptitious recordings in a variety of circumstances</w:t>
      </w:r>
      <w:r w:rsidR="00924E54" w:rsidRPr="009F6115">
        <w:t>;</w:t>
      </w:r>
      <w:r w:rsidR="00460FC2" w:rsidRPr="009F6115">
        <w:rPr>
          <w:rStyle w:val="FootnoteReference"/>
          <w:rFonts w:cs="Arial"/>
          <w:szCs w:val="26"/>
        </w:rPr>
        <w:footnoteReference w:id="4"/>
      </w:r>
      <w:r w:rsidRPr="009F6115">
        <w:t xml:space="preserve"> and that this situation does not fall within any </w:t>
      </w:r>
      <w:r w:rsidR="008A1B5D" w:rsidRPr="009F6115">
        <w:t xml:space="preserve">of the </w:t>
      </w:r>
      <w:r w:rsidRPr="009F6115">
        <w:t>categories of cases where</w:t>
      </w:r>
      <w:r w:rsidR="008A1B5D" w:rsidRPr="009F6115">
        <w:t>, to date,</w:t>
      </w:r>
      <w:r w:rsidRPr="009F6115">
        <w:t xml:space="preserve"> courts </w:t>
      </w:r>
      <w:r w:rsidR="008A7535" w:rsidRPr="009F6115">
        <w:t xml:space="preserve">or tribunals </w:t>
      </w:r>
      <w:r w:rsidRPr="009F6115">
        <w:t>have excluded this type</w:t>
      </w:r>
      <w:r w:rsidR="008A7535" w:rsidRPr="009F6115">
        <w:t xml:space="preserve"> of</w:t>
      </w:r>
      <w:r w:rsidRPr="009F6115">
        <w:t xml:space="preserve"> evidence</w:t>
      </w:r>
      <w:r w:rsidR="00A42062" w:rsidRPr="009F6115">
        <w:t xml:space="preserve"> (</w:t>
      </w:r>
      <w:r w:rsidR="00FB59A0" w:rsidRPr="009F6115">
        <w:t>for example,</w:t>
      </w:r>
      <w:r w:rsidR="00A42062" w:rsidRPr="009F6115">
        <w:t xml:space="preserve"> family law cases,</w:t>
      </w:r>
      <w:r w:rsidR="00180318" w:rsidRPr="009F6115">
        <w:t xml:space="preserve"> as exemplified by Justice McLeod’s authorit</w:t>
      </w:r>
      <w:r w:rsidR="000F41F6" w:rsidRPr="009F6115">
        <w:t>ies</w:t>
      </w:r>
      <w:r w:rsidR="00441D69" w:rsidRPr="009F6115">
        <w:t>;</w:t>
      </w:r>
      <w:r w:rsidR="00A42062" w:rsidRPr="009F6115">
        <w:t xml:space="preserve"> and cases </w:t>
      </w:r>
      <w:r w:rsidR="00BE1610" w:rsidRPr="009F6115">
        <w:t>invol</w:t>
      </w:r>
      <w:r w:rsidR="00FB59A0" w:rsidRPr="009F6115">
        <w:t>ving</w:t>
      </w:r>
      <w:r w:rsidR="00BE1610" w:rsidRPr="009F6115">
        <w:t xml:space="preserve"> intrusions on</w:t>
      </w:r>
      <w:r w:rsidR="00A42062" w:rsidRPr="009F6115">
        <w:t xml:space="preserve"> deliberative secrecy</w:t>
      </w:r>
      <w:r w:rsidR="000F41F6" w:rsidRPr="009F6115">
        <w:t xml:space="preserve">, e.g. </w:t>
      </w:r>
      <w:r w:rsidR="000F41F6" w:rsidRPr="009F6115">
        <w:rPr>
          <w:i/>
          <w:iCs/>
        </w:rPr>
        <w:t>Taylor v. WSIB,</w:t>
      </w:r>
      <w:r w:rsidR="000F41F6" w:rsidRPr="009F6115">
        <w:t xml:space="preserve"> 2017 ONSC 1223</w:t>
      </w:r>
      <w:r w:rsidR="00C356F2" w:rsidRPr="009F6115">
        <w:t>, at paras. 61-64, aff’d 2018 ONCA 108, at para. 19, leave to appeal to S.C.C. refused, 38980 (April 16, 2020)</w:t>
      </w:r>
      <w:r w:rsidR="00BE1610" w:rsidRPr="009F6115">
        <w:t>)</w:t>
      </w:r>
      <w:r w:rsidRPr="009F6115">
        <w:t xml:space="preserve">. </w:t>
      </w:r>
    </w:p>
    <w:p w14:paraId="555460E2" w14:textId="5F8F4CD0" w:rsidR="00D64A59" w:rsidRPr="009F6115" w:rsidRDefault="00D64A59" w:rsidP="00FF6DF1">
      <w:pPr>
        <w:pStyle w:val="AParaNumbering"/>
      </w:pPr>
      <w:r w:rsidRPr="009F6115">
        <w:t>Second, we observe that the audio recording, which is approximat</w:t>
      </w:r>
      <w:r w:rsidR="00CF7067" w:rsidRPr="009F6115">
        <w:t xml:space="preserve">ely 2 hours and 40 minutes in duration, is real evidence – and therefore the best evidence – of the conversation that took place between </w:t>
      </w:r>
      <w:r w:rsidR="00353D25" w:rsidRPr="009F6115">
        <w:t>Professor</w:t>
      </w:r>
      <w:r w:rsidR="000F29A2" w:rsidRPr="009F6115">
        <w:t xml:space="preserve"> </w:t>
      </w:r>
      <w:r w:rsidR="00CF7067" w:rsidRPr="009F6115">
        <w:t>Abdillahi and Justice McLeod on February 19, 2018. Although not made at the hearing, Justice McLeod</w:t>
      </w:r>
      <w:r w:rsidR="00821D69" w:rsidRPr="009F6115">
        <w:t>’s</w:t>
      </w:r>
      <w:r w:rsidR="00CF7067" w:rsidRPr="009F6115">
        <w:t xml:space="preserve"> statements on that date are admissible for the truth of their contents as a recognized exception to the hearsay rule</w:t>
      </w:r>
      <w:bookmarkStart w:id="0" w:name="_Hlk60231910"/>
      <w:r w:rsidR="00CF7067" w:rsidRPr="009F6115">
        <w:t xml:space="preserve">. </w:t>
      </w:r>
      <w:bookmarkEnd w:id="0"/>
    </w:p>
    <w:p w14:paraId="3285A064" w14:textId="5465FA21" w:rsidR="0095610E" w:rsidRPr="009F6115" w:rsidRDefault="00CF7067" w:rsidP="00FF6DF1">
      <w:pPr>
        <w:pStyle w:val="AParaNumbering"/>
      </w:pPr>
      <w:r w:rsidRPr="009F6115">
        <w:t xml:space="preserve">Third, even accepting that </w:t>
      </w:r>
      <w:r w:rsidR="00353D25" w:rsidRPr="009F6115">
        <w:t>Professor</w:t>
      </w:r>
      <w:r w:rsidR="00F57829" w:rsidRPr="009F6115">
        <w:t xml:space="preserve"> </w:t>
      </w:r>
      <w:r w:rsidRPr="009F6115">
        <w:t xml:space="preserve">Abdillahi had an agenda in participating in the conversation and that there are certain gaps and inaudibles in the recording, </w:t>
      </w:r>
      <w:r w:rsidR="00E613AB" w:rsidRPr="009F6115">
        <w:t xml:space="preserve">except where a court or tribunal might exercise its residual discretion to exclude </w:t>
      </w:r>
      <w:r w:rsidR="00E613AB" w:rsidRPr="009F6115">
        <w:lastRenderedPageBreak/>
        <w:t xml:space="preserve">evidence, </w:t>
      </w:r>
      <w:r w:rsidRPr="009F6115">
        <w:t xml:space="preserve">those matters </w:t>
      </w:r>
      <w:r w:rsidR="001D4EC0" w:rsidRPr="009F6115">
        <w:t xml:space="preserve">generally </w:t>
      </w:r>
      <w:r w:rsidRPr="009F6115">
        <w:t>go to the weight of the evidence and not its admissibility</w:t>
      </w:r>
      <w:r w:rsidR="00D34102" w:rsidRPr="009F6115">
        <w:t xml:space="preserve">: </w:t>
      </w:r>
      <w:r w:rsidR="00D34102" w:rsidRPr="009F6115">
        <w:rPr>
          <w:i/>
          <w:iCs/>
        </w:rPr>
        <w:t>R. v. Parsons</w:t>
      </w:r>
      <w:r w:rsidR="00331317" w:rsidRPr="009F6115">
        <w:t>, (1977) 17 O.R. (2</w:t>
      </w:r>
      <w:r w:rsidR="00063970" w:rsidRPr="009F6115">
        <w:t>d) 465 (C.A.)</w:t>
      </w:r>
      <w:r w:rsidR="00F57829" w:rsidRPr="009F6115">
        <w:t xml:space="preserve">, aff’d </w:t>
      </w:r>
      <w:r w:rsidR="00D91D78" w:rsidRPr="009F6115">
        <w:rPr>
          <w:i/>
          <w:iCs/>
        </w:rPr>
        <w:t xml:space="preserve">Charette v. R. </w:t>
      </w:r>
      <w:r w:rsidR="00D91D78" w:rsidRPr="009F6115">
        <w:t>[1980] 1 SCR 785</w:t>
      </w:r>
      <w:r w:rsidRPr="009F6115">
        <w:t xml:space="preserve">. </w:t>
      </w:r>
      <w:r w:rsidR="00D34102" w:rsidRPr="009F6115">
        <w:t>Here, while</w:t>
      </w:r>
      <w:r w:rsidRPr="009F6115">
        <w:t xml:space="preserve"> not complete, the audio recording is a substantially complete record of a lengthy conversation in which Justice McLeod discusses</w:t>
      </w:r>
      <w:r w:rsidR="00D91D78" w:rsidRPr="009F6115">
        <w:t>,</w:t>
      </w:r>
      <w:r w:rsidRPr="009F6115">
        <w:t xml:space="preserve"> </w:t>
      </w:r>
      <w:r w:rsidR="00AD7B37" w:rsidRPr="009F6115">
        <w:t>among other things</w:t>
      </w:r>
      <w:r w:rsidR="00D91D78" w:rsidRPr="009F6115">
        <w:t>,</w:t>
      </w:r>
      <w:r w:rsidR="00AD7B37" w:rsidRPr="009F6115">
        <w:t xml:space="preserve"> the possibility of the FBC sending a letter to the Minister</w:t>
      </w:r>
      <w:r w:rsidR="00AA58E5" w:rsidRPr="009F6115">
        <w:t xml:space="preserve"> concerning the Abdi case and </w:t>
      </w:r>
      <w:r w:rsidR="00353D25" w:rsidRPr="009F6115">
        <w:t>Professor</w:t>
      </w:r>
      <w:r w:rsidR="00AA58E5" w:rsidRPr="009F6115">
        <w:t xml:space="preserve"> Abdillahi contacting Mr. Abdi’s lawyer to obtain certain information. </w:t>
      </w:r>
      <w:r w:rsidR="00AD7B37" w:rsidRPr="009F6115">
        <w:t xml:space="preserve"> Whether th</w:t>
      </w:r>
      <w:r w:rsidR="00DD2C8A" w:rsidRPr="009F6115">
        <w:t>e</w:t>
      </w:r>
      <w:r w:rsidR="00AD7B37" w:rsidRPr="009F6115">
        <w:t xml:space="preserve"> discussion relates to the letter that was</w:t>
      </w:r>
      <w:r w:rsidR="001D76B7" w:rsidRPr="009F6115">
        <w:t xml:space="preserve"> actually</w:t>
      </w:r>
      <w:r w:rsidR="00AD7B37" w:rsidRPr="009F6115">
        <w:t xml:space="preserve"> sent</w:t>
      </w:r>
      <w:r w:rsidR="00B42EC5" w:rsidRPr="009F6115">
        <w:t>;</w:t>
      </w:r>
      <w:r w:rsidR="00AD7B37" w:rsidRPr="009F6115">
        <w:t xml:space="preserve"> whether </w:t>
      </w:r>
      <w:r w:rsidR="00284712" w:rsidRPr="009F6115">
        <w:t xml:space="preserve">and why </w:t>
      </w:r>
      <w:r w:rsidR="00AD7B37" w:rsidRPr="009F6115">
        <w:t xml:space="preserve">Justice McLeod took </w:t>
      </w:r>
      <w:r w:rsidR="00B42EC5" w:rsidRPr="009F6115">
        <w:t>any</w:t>
      </w:r>
      <w:r w:rsidR="00AD7B37" w:rsidRPr="009F6115">
        <w:t xml:space="preserve"> information </w:t>
      </w:r>
      <w:r w:rsidR="002119AB" w:rsidRPr="009F6115">
        <w:t>obtained</w:t>
      </w:r>
      <w:r w:rsidR="00CE00C1" w:rsidRPr="009F6115">
        <w:t xml:space="preserve"> from Mr. Abdi’s lawyer</w:t>
      </w:r>
      <w:r w:rsidR="00AD7B37" w:rsidRPr="009F6115">
        <w:t xml:space="preserve"> to the FBC</w:t>
      </w:r>
      <w:r w:rsidR="00B42EC5" w:rsidRPr="009F6115">
        <w:t>;</w:t>
      </w:r>
      <w:r w:rsidR="00AA58E5" w:rsidRPr="009F6115">
        <w:t xml:space="preserve"> and</w:t>
      </w:r>
      <w:r w:rsidR="00484699" w:rsidRPr="009F6115">
        <w:t xml:space="preserve"> </w:t>
      </w:r>
      <w:r w:rsidR="000D262B" w:rsidRPr="009F6115">
        <w:t xml:space="preserve">how any of </w:t>
      </w:r>
      <w:r w:rsidR="0095610E" w:rsidRPr="009F6115">
        <w:t>t</w:t>
      </w:r>
      <w:r w:rsidR="000D262B" w:rsidRPr="009F6115">
        <w:t xml:space="preserve">his </w:t>
      </w:r>
      <w:r w:rsidR="0095610E" w:rsidRPr="009F6115">
        <w:t xml:space="preserve">alleged </w:t>
      </w:r>
      <w:r w:rsidR="000D262B" w:rsidRPr="009F6115">
        <w:t>conduct</w:t>
      </w:r>
      <w:r w:rsidR="00AA58E5" w:rsidRPr="009F6115">
        <w:t xml:space="preserve"> relate</w:t>
      </w:r>
      <w:r w:rsidR="000D262B" w:rsidRPr="009F6115">
        <w:t>s</w:t>
      </w:r>
      <w:r w:rsidR="00AA58E5" w:rsidRPr="009F6115">
        <w:t xml:space="preserve"> to his evidence </w:t>
      </w:r>
      <w:r w:rsidR="00C4601F" w:rsidRPr="009F6115">
        <w:t>at the hearing of the</w:t>
      </w:r>
      <w:r w:rsidR="00AA58E5" w:rsidRPr="009F6115">
        <w:t xml:space="preserve"> First Complaint are issues Justice McLeod can address in his evidence. The same can be said for</w:t>
      </w:r>
      <w:r w:rsidR="00AD7B37" w:rsidRPr="009F6115">
        <w:t xml:space="preserve"> what happened during the gaps and inaudibles</w:t>
      </w:r>
      <w:r w:rsidR="00C273D6" w:rsidRPr="009F6115">
        <w:t xml:space="preserve"> in the recording</w:t>
      </w:r>
      <w:r w:rsidR="00AA58E5" w:rsidRPr="009F6115">
        <w:t>.</w:t>
      </w:r>
      <w:r w:rsidR="00AD7B37" w:rsidRPr="009F6115">
        <w:t xml:space="preserve"> </w:t>
      </w:r>
    </w:p>
    <w:p w14:paraId="7147E83E" w14:textId="7280EADE" w:rsidR="00CF7067" w:rsidRPr="009F6115" w:rsidRDefault="0095610E" w:rsidP="00FF6DF1">
      <w:pPr>
        <w:pStyle w:val="AParaNumbering"/>
      </w:pPr>
      <w:r w:rsidRPr="009F6115">
        <w:t>We conclude that, o</w:t>
      </w:r>
      <w:r w:rsidR="00203A03" w:rsidRPr="009F6115">
        <w:t>n the facts of this case</w:t>
      </w:r>
      <w:r w:rsidR="00AD7B37" w:rsidRPr="009F6115">
        <w:t xml:space="preserve">, the </w:t>
      </w:r>
      <w:r w:rsidR="00203A03" w:rsidRPr="009F6115">
        <w:t>issues</w:t>
      </w:r>
      <w:r w:rsidR="00AD7B37" w:rsidRPr="009F6115">
        <w:t xml:space="preserve"> Justice McLeod has identified as affecting the reliability of the recording are not so significant as to deprive it of </w:t>
      </w:r>
      <w:r w:rsidR="00B22995" w:rsidRPr="009F6115">
        <w:t xml:space="preserve">sufficient </w:t>
      </w:r>
      <w:r w:rsidR="00AD7B37" w:rsidRPr="009F6115">
        <w:t>probative value</w:t>
      </w:r>
      <w:r w:rsidR="00216D50" w:rsidRPr="009F6115">
        <w:t xml:space="preserve"> to render it inadmissible.</w:t>
      </w:r>
    </w:p>
    <w:p w14:paraId="237A97C7" w14:textId="58D3550E" w:rsidR="004D4AD3" w:rsidRPr="009F6115" w:rsidRDefault="00AD7B37" w:rsidP="00FF6DF1">
      <w:pPr>
        <w:pStyle w:val="AParaNumbering"/>
      </w:pPr>
      <w:r w:rsidRPr="009F6115">
        <w:t xml:space="preserve">Fourth, </w:t>
      </w:r>
      <w:r w:rsidR="00B274E4" w:rsidRPr="009F6115">
        <w:t xml:space="preserve">it is unclear from the recording why Justice McLeod asked that </w:t>
      </w:r>
      <w:r w:rsidR="00195065" w:rsidRPr="009F6115">
        <w:t>the conversation</w:t>
      </w:r>
      <w:r w:rsidR="008C417F" w:rsidRPr="009F6115">
        <w:t xml:space="preserve"> </w:t>
      </w:r>
      <w:r w:rsidR="00195065" w:rsidRPr="009F6115">
        <w:t xml:space="preserve"> be “off the record” or precisely what </w:t>
      </w:r>
      <w:r w:rsidR="008A57AE" w:rsidRPr="009F6115">
        <w:t>that agreement meant</w:t>
      </w:r>
      <w:r w:rsidR="00030D71" w:rsidRPr="009F6115">
        <w:t>. Personal information was not discuss</w:t>
      </w:r>
      <w:r w:rsidR="008A57AE" w:rsidRPr="009F6115">
        <w:t xml:space="preserve">ed. </w:t>
      </w:r>
      <w:r w:rsidR="00C23CB2" w:rsidRPr="009F6115">
        <w:t xml:space="preserve">Moreover, there is some evidence before this </w:t>
      </w:r>
      <w:r w:rsidR="00D646D7" w:rsidRPr="009F6115">
        <w:t>P</w:t>
      </w:r>
      <w:r w:rsidR="00C23CB2" w:rsidRPr="009F6115">
        <w:t xml:space="preserve">anel that Justice McLeod </w:t>
      </w:r>
      <w:r w:rsidR="001A1708" w:rsidRPr="009F6115">
        <w:t xml:space="preserve">did not </w:t>
      </w:r>
      <w:r w:rsidR="006E7035" w:rsidRPr="009F6115">
        <w:t>keep</w:t>
      </w:r>
      <w:r w:rsidR="00BD3FCC" w:rsidRPr="009F6115">
        <w:t xml:space="preserve"> the fact of the conversation</w:t>
      </w:r>
      <w:r w:rsidR="006E7035" w:rsidRPr="009F6115">
        <w:t xml:space="preserve"> confidential</w:t>
      </w:r>
      <w:r w:rsidR="00BD3FCC" w:rsidRPr="009F6115">
        <w:t xml:space="preserve"> and may not have </w:t>
      </w:r>
      <w:r w:rsidR="00297EBB" w:rsidRPr="009F6115">
        <w:t>kept</w:t>
      </w:r>
      <w:r w:rsidR="006E7035" w:rsidRPr="009F6115">
        <w:t xml:space="preserve"> the content confidential</w:t>
      </w:r>
      <w:r w:rsidR="00495D8B" w:rsidRPr="009F6115">
        <w:t xml:space="preserve">: see </w:t>
      </w:r>
      <w:r w:rsidR="003F3A5C" w:rsidRPr="009F6115">
        <w:t xml:space="preserve">Document 66, Joint Document Brief, </w:t>
      </w:r>
      <w:r w:rsidR="00B15598" w:rsidRPr="009F6115">
        <w:t>p.443</w:t>
      </w:r>
      <w:r w:rsidR="001D4A7F" w:rsidRPr="009F6115">
        <w:t>, February 19, 2018 message at 6:32 p.m</w:t>
      </w:r>
      <w:r w:rsidR="00AB5BA7" w:rsidRPr="009F6115">
        <w:t xml:space="preserve">. Justice McLeod will have a </w:t>
      </w:r>
      <w:r w:rsidR="00AB5BA7" w:rsidRPr="009F6115">
        <w:lastRenderedPageBreak/>
        <w:t xml:space="preserve">full opportunity to </w:t>
      </w:r>
      <w:r w:rsidR="00297EBB" w:rsidRPr="009F6115">
        <w:t>address</w:t>
      </w:r>
      <w:r w:rsidR="00AB5BA7" w:rsidRPr="009F6115">
        <w:t xml:space="preserve"> these matters in his evidence </w:t>
      </w:r>
      <w:r w:rsidR="001775DE" w:rsidRPr="009F6115">
        <w:t>and his explanation may ultimately affect the weight to be afforded to the audio recording.</w:t>
      </w:r>
    </w:p>
    <w:p w14:paraId="6D511E47" w14:textId="76149538" w:rsidR="00AD7B37" w:rsidRPr="009F6115" w:rsidRDefault="00495D8B" w:rsidP="00FF6DF1">
      <w:pPr>
        <w:pStyle w:val="AParaNumbering"/>
      </w:pPr>
      <w:r w:rsidRPr="009F6115">
        <w:t xml:space="preserve">Fifth, </w:t>
      </w:r>
      <w:r w:rsidR="00AD7B37" w:rsidRPr="009F6115">
        <w:t xml:space="preserve">and perhaps most </w:t>
      </w:r>
      <w:r w:rsidR="00981F80" w:rsidRPr="009F6115">
        <w:t>important</w:t>
      </w:r>
      <w:r w:rsidR="00AD7B37" w:rsidRPr="009F6115">
        <w:t xml:space="preserve">, the nature of this proceeding demands that </w:t>
      </w:r>
      <w:r w:rsidR="00AA58E5" w:rsidRPr="009F6115">
        <w:t>the audio recording be admitted</w:t>
      </w:r>
      <w:r w:rsidR="00AD7B37" w:rsidRPr="009F6115">
        <w:t xml:space="preserve">. </w:t>
      </w:r>
      <w:r w:rsidR="00922C3E" w:rsidRPr="009F6115">
        <w:t>The</w:t>
      </w:r>
      <w:r w:rsidR="00AD7B37" w:rsidRPr="009F6115">
        <w:t xml:space="preserve"> purpose of this proceeding is remedial. Its aim is </w:t>
      </w:r>
      <w:r w:rsidR="00D91D78" w:rsidRPr="009F6115">
        <w:t xml:space="preserve">to restore </w:t>
      </w:r>
      <w:r w:rsidR="00AA58E5" w:rsidRPr="009F6115">
        <w:t xml:space="preserve">public confidence in the </w:t>
      </w:r>
      <w:r w:rsidR="00D646D7" w:rsidRPr="009F6115">
        <w:t xml:space="preserve">judiciary and in the </w:t>
      </w:r>
      <w:r w:rsidR="00AA58E5" w:rsidRPr="009F6115">
        <w:t>administration of justice</w:t>
      </w:r>
      <w:r w:rsidR="00BC24F9" w:rsidRPr="009F6115">
        <w:t>: Ontario Judicial Council</w:t>
      </w:r>
      <w:r w:rsidR="008711C9" w:rsidRPr="009F6115">
        <w:t>,</w:t>
      </w:r>
      <w:r w:rsidR="00BC24F9" w:rsidRPr="009F6115">
        <w:t xml:space="preserve"> </w:t>
      </w:r>
      <w:r w:rsidR="008711C9" w:rsidRPr="009F6115">
        <w:t>“</w:t>
      </w:r>
      <w:r w:rsidR="00BC24F9" w:rsidRPr="009F6115">
        <w:t>Procedures Document</w:t>
      </w:r>
      <w:r w:rsidR="008711C9" w:rsidRPr="009F6115">
        <w:t xml:space="preserve">” (September 2020), </w:t>
      </w:r>
      <w:r w:rsidR="00B55B4D" w:rsidRPr="009F6115">
        <w:t>Procedural Rules</w:t>
      </w:r>
      <w:r w:rsidR="008711C9" w:rsidRPr="009F6115">
        <w:t xml:space="preserve"> 15.1 and 15.2</w:t>
      </w:r>
      <w:r w:rsidR="00822B47" w:rsidRPr="009F6115">
        <w:t>.</w:t>
      </w:r>
      <w:r w:rsidR="00A605D1" w:rsidRPr="009F6115">
        <w:rPr>
          <w:rStyle w:val="FootnoteReference"/>
          <w:rFonts w:cs="Arial"/>
          <w:szCs w:val="26"/>
        </w:rPr>
        <w:footnoteReference w:id="5"/>
      </w:r>
      <w:r w:rsidR="00AA58E5" w:rsidRPr="009F6115">
        <w:t xml:space="preserve"> Whatever the provenance of the audio recording,</w:t>
      </w:r>
      <w:r w:rsidR="00615330" w:rsidRPr="009F6115">
        <w:t xml:space="preserve">  </w:t>
      </w:r>
      <w:r w:rsidR="00476268" w:rsidRPr="009F6115">
        <w:t xml:space="preserve">its threshold </w:t>
      </w:r>
      <w:r w:rsidR="00615330" w:rsidRPr="009F6115">
        <w:t>a</w:t>
      </w:r>
      <w:r w:rsidR="00476268" w:rsidRPr="009F6115">
        <w:t>u</w:t>
      </w:r>
      <w:r w:rsidR="00615330" w:rsidRPr="009F6115">
        <w:t>thenticity is not challenged, and it contains real evidence relevant to the first allegation. In these circumstances, public</w:t>
      </w:r>
      <w:r w:rsidR="00AA58E5" w:rsidRPr="009F6115">
        <w:t xml:space="preserve"> confidence could not </w:t>
      </w:r>
      <w:r w:rsidR="00846EEE" w:rsidRPr="009F6115">
        <w:t xml:space="preserve">be </w:t>
      </w:r>
      <w:r w:rsidR="00AA58E5" w:rsidRPr="009F6115">
        <w:t>restored if the audio recording were ruled inadmissible. Persons attending proceedings over which Justice McLeod might pr</w:t>
      </w:r>
      <w:r w:rsidR="007D4180" w:rsidRPr="009F6115">
        <w:t>eside</w:t>
      </w:r>
      <w:r w:rsidR="00AA58E5" w:rsidRPr="009F6115">
        <w:t xml:space="preserve"> </w:t>
      </w:r>
      <w:r w:rsidR="00484699" w:rsidRPr="009F6115">
        <w:t xml:space="preserve">– </w:t>
      </w:r>
      <w:r w:rsidR="007D4180" w:rsidRPr="009F6115">
        <w:t>and the public at large</w:t>
      </w:r>
      <w:r w:rsidR="00484699" w:rsidRPr="009F6115">
        <w:t xml:space="preserve"> – </w:t>
      </w:r>
      <w:r w:rsidR="00AA58E5" w:rsidRPr="009F6115">
        <w:t xml:space="preserve">are entitled to </w:t>
      </w:r>
      <w:r w:rsidR="00484699" w:rsidRPr="009F6115">
        <w:t>be satisf</w:t>
      </w:r>
      <w:r w:rsidR="00615330" w:rsidRPr="009F6115">
        <w:t>i</w:t>
      </w:r>
      <w:r w:rsidR="00484699" w:rsidRPr="009F6115">
        <w:t>ed</w:t>
      </w:r>
      <w:r w:rsidR="00AA58E5" w:rsidRPr="009F6115">
        <w:t xml:space="preserve"> that this </w:t>
      </w:r>
      <w:r w:rsidR="00D646D7" w:rsidRPr="009F6115">
        <w:t>P</w:t>
      </w:r>
      <w:r w:rsidR="00AA58E5" w:rsidRPr="009F6115">
        <w:t>anel considered al</w:t>
      </w:r>
      <w:r w:rsidR="00484699" w:rsidRPr="009F6115">
        <w:t>l</w:t>
      </w:r>
      <w:r w:rsidR="00AA58E5" w:rsidRPr="009F6115">
        <w:t xml:space="preserve"> evidence relevant to the question of whether</w:t>
      </w:r>
      <w:r w:rsidR="00D646D7" w:rsidRPr="009F6115">
        <w:t xml:space="preserve"> he engaged in judicial misconduct, and if so</w:t>
      </w:r>
      <w:r w:rsidR="007D4180" w:rsidRPr="009F6115">
        <w:t>,  what</w:t>
      </w:r>
      <w:r w:rsidR="00D646D7" w:rsidRPr="009F6115">
        <w:t xml:space="preserve"> remedial measures should be imposed to preserve public confidence in him and/or in the judiciary</w:t>
      </w:r>
      <w:r w:rsidR="007D4180" w:rsidRPr="009F6115">
        <w:t>.</w:t>
      </w:r>
      <w:r w:rsidR="00D50607" w:rsidRPr="009F6115">
        <w:t xml:space="preserve"> See also</w:t>
      </w:r>
      <w:r w:rsidR="004D1DE1" w:rsidRPr="009F6115">
        <w:t xml:space="preserve">: </w:t>
      </w:r>
      <w:r w:rsidR="004D1DE1" w:rsidRPr="009F6115">
        <w:rPr>
          <w:i/>
          <w:iCs/>
        </w:rPr>
        <w:t xml:space="preserve">Re Keast </w:t>
      </w:r>
      <w:r w:rsidR="004D1DE1" w:rsidRPr="009F6115">
        <w:t>(2017), Ontario Judicial Council, at para. 4</w:t>
      </w:r>
      <w:r w:rsidR="00B44D3A" w:rsidRPr="009F6115">
        <w:t>0</w:t>
      </w:r>
      <w:r w:rsidR="00DF732C" w:rsidRPr="009F6115">
        <w:t>.</w:t>
      </w:r>
    </w:p>
    <w:p w14:paraId="1EF03E49" w14:textId="7ED0D6A2" w:rsidR="00365D7C" w:rsidRPr="009F6115" w:rsidRDefault="00A5508C" w:rsidP="00365D7C">
      <w:pPr>
        <w:pStyle w:val="Heading2"/>
        <w:rPr>
          <w:rFonts w:ascii="Arial" w:hAnsi="Arial" w:cs="Arial"/>
          <w:b/>
          <w:bCs/>
          <w:color w:val="0D0D0D" w:themeColor="text1" w:themeTint="F2"/>
        </w:rPr>
      </w:pPr>
      <w:r w:rsidRPr="009F6115">
        <w:rPr>
          <w:rFonts w:ascii="Arial" w:hAnsi="Arial" w:cs="Arial"/>
          <w:b/>
          <w:bCs/>
          <w:color w:val="0D0D0D" w:themeColor="text1" w:themeTint="F2"/>
        </w:rPr>
        <w:t>Conclusion</w:t>
      </w:r>
    </w:p>
    <w:p w14:paraId="03384331" w14:textId="33001918" w:rsidR="00365D7C" w:rsidRPr="009F6115" w:rsidRDefault="00A5508C" w:rsidP="00A10E2D">
      <w:pPr>
        <w:pStyle w:val="AParaNumbering"/>
      </w:pPr>
      <w:r w:rsidRPr="009F6115">
        <w:t xml:space="preserve">Based on the foregoing reasons, we ruled the </w:t>
      </w:r>
      <w:r w:rsidR="00AC5EE4" w:rsidRPr="009F6115">
        <w:t>audio recording admissible.</w:t>
      </w:r>
    </w:p>
    <w:p w14:paraId="46655158" w14:textId="77777777" w:rsidR="003A42B9" w:rsidRPr="009F6115" w:rsidRDefault="003A42B9" w:rsidP="007778A9">
      <w:pPr>
        <w:autoSpaceDE w:val="0"/>
        <w:autoSpaceDN w:val="0"/>
        <w:adjustRightInd w:val="0"/>
        <w:spacing w:before="100" w:after="100"/>
        <w:jc w:val="right"/>
        <w:rPr>
          <w:rFonts w:ascii="Arial" w:hAnsi="Arial" w:cs="Arial"/>
          <w:sz w:val="26"/>
          <w:szCs w:val="26"/>
          <w:u w:val="single"/>
          <w:lang w:val="en-CA"/>
        </w:rPr>
      </w:pPr>
    </w:p>
    <w:p w14:paraId="37EE6713" w14:textId="06ACC568" w:rsidR="007778A9" w:rsidRPr="009F6115" w:rsidRDefault="007778A9" w:rsidP="00A612A8">
      <w:pPr>
        <w:pStyle w:val="AParaNumbering"/>
      </w:pPr>
      <w:r w:rsidRPr="009F6115">
        <w:lastRenderedPageBreak/>
        <w:t>Released: this</w:t>
      </w:r>
      <w:r w:rsidR="007318B7" w:rsidRPr="009F6115">
        <w:t xml:space="preserve"> </w:t>
      </w:r>
      <w:r w:rsidR="00F376D3">
        <w:t>30</w:t>
      </w:r>
      <w:r w:rsidR="00F376D3" w:rsidRPr="00F376D3">
        <w:rPr>
          <w:vertAlign w:val="superscript"/>
        </w:rPr>
        <w:t>th</w:t>
      </w:r>
      <w:r w:rsidR="007318B7" w:rsidRPr="009F6115">
        <w:t xml:space="preserve"> day of </w:t>
      </w:r>
      <w:r w:rsidR="00F376D3">
        <w:t>December,</w:t>
      </w:r>
      <w:r w:rsidR="007318B7" w:rsidRPr="009F6115">
        <w:t xml:space="preserve"> </w:t>
      </w:r>
      <w:r w:rsidRPr="009F6115">
        <w:t>202</w:t>
      </w:r>
      <w:r w:rsidR="002E02D6">
        <w:t>0</w:t>
      </w:r>
      <w:bookmarkStart w:id="1" w:name="_GoBack"/>
      <w:bookmarkEnd w:id="1"/>
      <w:r w:rsidRPr="009F6115">
        <w:t>.</w:t>
      </w:r>
    </w:p>
    <w:p w14:paraId="4FF51007" w14:textId="77777777" w:rsidR="007778A9" w:rsidRPr="009F6115" w:rsidRDefault="00647805" w:rsidP="007778A9">
      <w:pPr>
        <w:pStyle w:val="CQuote"/>
        <w:ind w:left="0"/>
        <w:rPr>
          <w:szCs w:val="26"/>
        </w:rPr>
      </w:pPr>
      <w:r w:rsidRPr="009F6115">
        <w:rPr>
          <w:szCs w:val="26"/>
        </w:rPr>
        <w:t>“</w:t>
      </w:r>
      <w:r w:rsidR="007778A9" w:rsidRPr="009F6115">
        <w:rPr>
          <w:szCs w:val="26"/>
        </w:rPr>
        <w:t>Justice Janet Simmons</w:t>
      </w:r>
      <w:r w:rsidRPr="009F6115">
        <w:rPr>
          <w:szCs w:val="26"/>
        </w:rPr>
        <w:t>”</w:t>
      </w:r>
      <w:r w:rsidR="007778A9" w:rsidRPr="009F6115">
        <w:rPr>
          <w:szCs w:val="26"/>
        </w:rPr>
        <w:t>, Chair</w:t>
      </w:r>
    </w:p>
    <w:p w14:paraId="0774CB5E" w14:textId="77777777" w:rsidR="007778A9" w:rsidRPr="009F6115" w:rsidRDefault="00647805" w:rsidP="007778A9">
      <w:pPr>
        <w:pStyle w:val="CQuote"/>
        <w:ind w:left="0"/>
        <w:rPr>
          <w:szCs w:val="26"/>
        </w:rPr>
      </w:pPr>
      <w:r w:rsidRPr="009F6115">
        <w:rPr>
          <w:szCs w:val="26"/>
        </w:rPr>
        <w:t>“</w:t>
      </w:r>
      <w:r w:rsidR="007778A9" w:rsidRPr="009F6115">
        <w:rPr>
          <w:szCs w:val="26"/>
        </w:rPr>
        <w:t xml:space="preserve">Justice Michael </w:t>
      </w:r>
      <w:r w:rsidR="00B5529E" w:rsidRPr="009F6115">
        <w:rPr>
          <w:szCs w:val="26"/>
        </w:rPr>
        <w:t xml:space="preserve">J. </w:t>
      </w:r>
      <w:r w:rsidR="007778A9" w:rsidRPr="009F6115">
        <w:rPr>
          <w:szCs w:val="26"/>
        </w:rPr>
        <w:t>Epstein</w:t>
      </w:r>
      <w:r w:rsidRPr="009F6115">
        <w:rPr>
          <w:szCs w:val="26"/>
        </w:rPr>
        <w:t>”</w:t>
      </w:r>
    </w:p>
    <w:p w14:paraId="26AA7B10" w14:textId="77777777" w:rsidR="007778A9" w:rsidRPr="009F6115" w:rsidRDefault="00647805" w:rsidP="007778A9">
      <w:pPr>
        <w:pStyle w:val="CQuote"/>
        <w:ind w:left="0"/>
        <w:rPr>
          <w:szCs w:val="26"/>
        </w:rPr>
      </w:pPr>
      <w:r w:rsidRPr="009F6115">
        <w:rPr>
          <w:szCs w:val="26"/>
        </w:rPr>
        <w:t>“</w:t>
      </w:r>
      <w:r w:rsidR="007778A9" w:rsidRPr="009F6115">
        <w:rPr>
          <w:szCs w:val="26"/>
        </w:rPr>
        <w:t xml:space="preserve">Mr. Malcolm </w:t>
      </w:r>
      <w:r w:rsidR="00B5529E" w:rsidRPr="009F6115">
        <w:rPr>
          <w:szCs w:val="26"/>
        </w:rPr>
        <w:t xml:space="preserve">M. </w:t>
      </w:r>
      <w:r w:rsidR="007778A9" w:rsidRPr="009F6115">
        <w:rPr>
          <w:szCs w:val="26"/>
        </w:rPr>
        <w:t>Mercer</w:t>
      </w:r>
      <w:r w:rsidRPr="009F6115">
        <w:rPr>
          <w:szCs w:val="26"/>
        </w:rPr>
        <w:t>”</w:t>
      </w:r>
    </w:p>
    <w:p w14:paraId="753FEB34" w14:textId="77777777" w:rsidR="007778A9" w:rsidRPr="00005C36" w:rsidRDefault="00647805" w:rsidP="007778A9">
      <w:pPr>
        <w:pStyle w:val="CQuote"/>
        <w:ind w:left="0"/>
        <w:rPr>
          <w:szCs w:val="26"/>
        </w:rPr>
      </w:pPr>
      <w:r w:rsidRPr="009F6115">
        <w:rPr>
          <w:szCs w:val="26"/>
        </w:rPr>
        <w:t>“</w:t>
      </w:r>
      <w:r w:rsidR="007778A9" w:rsidRPr="009F6115">
        <w:rPr>
          <w:szCs w:val="26"/>
        </w:rPr>
        <w:t>Mr. Victor Royce</w:t>
      </w:r>
      <w:r w:rsidRPr="009F6115">
        <w:rPr>
          <w:szCs w:val="26"/>
        </w:rPr>
        <w:t>”</w:t>
      </w:r>
    </w:p>
    <w:p w14:paraId="302F144A" w14:textId="77777777" w:rsidR="00B23D50" w:rsidRPr="00005C36" w:rsidRDefault="00B23D50" w:rsidP="003A42B9">
      <w:pPr>
        <w:tabs>
          <w:tab w:val="left" w:pos="4749"/>
        </w:tabs>
        <w:rPr>
          <w:rFonts w:ascii="Arial" w:hAnsi="Arial" w:cs="Arial"/>
          <w:szCs w:val="24"/>
          <w:lang w:val="en-CA"/>
        </w:rPr>
      </w:pPr>
    </w:p>
    <w:sectPr w:rsidR="00B23D50" w:rsidRPr="00005C36" w:rsidSect="004A15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8E613" w14:textId="77777777" w:rsidR="00F5379F" w:rsidRDefault="00F5379F" w:rsidP="007778A9">
      <w:r>
        <w:separator/>
      </w:r>
    </w:p>
  </w:endnote>
  <w:endnote w:type="continuationSeparator" w:id="0">
    <w:p w14:paraId="20DBC8E3" w14:textId="77777777" w:rsidR="00F5379F" w:rsidRDefault="00F5379F" w:rsidP="007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ABFB4" w14:textId="77777777" w:rsidR="002E02D6" w:rsidRDefault="002E0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939368"/>
      <w:docPartObj>
        <w:docPartGallery w:val="Page Numbers (Bottom of Page)"/>
        <w:docPartUnique/>
      </w:docPartObj>
    </w:sdtPr>
    <w:sdtEndPr>
      <w:rPr>
        <w:noProof/>
      </w:rPr>
    </w:sdtEndPr>
    <w:sdtContent>
      <w:p w14:paraId="347E3A3E" w14:textId="65F6074A" w:rsidR="00F35990" w:rsidRDefault="00F359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231DD" w14:textId="77777777" w:rsidR="00F35990" w:rsidRDefault="00F35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902C" w14:textId="77777777" w:rsidR="002E02D6" w:rsidRDefault="002E0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B236F" w14:textId="77777777" w:rsidR="00F5379F" w:rsidRDefault="00F5379F" w:rsidP="007778A9">
      <w:r>
        <w:separator/>
      </w:r>
    </w:p>
  </w:footnote>
  <w:footnote w:type="continuationSeparator" w:id="0">
    <w:p w14:paraId="1A7F9029" w14:textId="77777777" w:rsidR="00F5379F" w:rsidRDefault="00F5379F" w:rsidP="007778A9">
      <w:r>
        <w:continuationSeparator/>
      </w:r>
    </w:p>
  </w:footnote>
  <w:footnote w:id="1">
    <w:p w14:paraId="0E40147B" w14:textId="44FA5617" w:rsidR="00F35990" w:rsidRPr="006B0E00" w:rsidRDefault="00F35990">
      <w:pPr>
        <w:pStyle w:val="FootnoteText"/>
        <w:rPr>
          <w:lang w:val="en-CA"/>
        </w:rPr>
      </w:pPr>
      <w:r>
        <w:rPr>
          <w:rStyle w:val="FootnoteReference"/>
        </w:rPr>
        <w:footnoteRef/>
      </w:r>
      <w:r>
        <w:t xml:space="preserve"> </w:t>
      </w:r>
      <w:r w:rsidRPr="006B0E00">
        <w:rPr>
          <w:rFonts w:ascii="Arial" w:hAnsi="Arial"/>
          <w:lang w:val="en-CA"/>
        </w:rPr>
        <w:t xml:space="preserve">The Particulars of the </w:t>
      </w:r>
      <w:r w:rsidRPr="00B02CB7">
        <w:rPr>
          <w:rFonts w:ascii="Arial" w:hAnsi="Arial"/>
          <w:lang w:val="en-CA"/>
        </w:rPr>
        <w:t>Complaint are set out in</w:t>
      </w:r>
      <w:r w:rsidRPr="00B02CB7">
        <w:rPr>
          <w:rFonts w:ascii="Arial" w:hAnsi="Arial" w:cs="Arial"/>
        </w:rPr>
        <w:t xml:space="preserve"> Appendix “A” to the February</w:t>
      </w:r>
      <w:r w:rsidRPr="006B0E00">
        <w:rPr>
          <w:rFonts w:ascii="Arial" w:hAnsi="Arial" w:cs="Arial"/>
        </w:rPr>
        <w:t xml:space="preserve"> 20, 2020 Notice of Hearing</w:t>
      </w:r>
      <w:r>
        <w:rPr>
          <w:rFonts w:ascii="Arial" w:hAnsi="Arial" w:cs="Arial"/>
        </w:rPr>
        <w:t xml:space="preserve"> under which this hearing is being conducted.</w:t>
      </w:r>
    </w:p>
  </w:footnote>
  <w:footnote w:id="2">
    <w:p w14:paraId="04CF6171" w14:textId="3DC24A27" w:rsidR="00F35990" w:rsidRPr="002C6A26" w:rsidRDefault="00F35990">
      <w:pPr>
        <w:pStyle w:val="FootnoteText"/>
        <w:rPr>
          <w:rFonts w:ascii="Arial" w:hAnsi="Arial" w:cs="Arial"/>
        </w:rPr>
      </w:pPr>
      <w:r w:rsidRPr="002C6A26">
        <w:rPr>
          <w:rStyle w:val="FootnoteReference"/>
          <w:rFonts w:ascii="Arial" w:hAnsi="Arial" w:cs="Arial"/>
        </w:rPr>
        <w:footnoteRef/>
      </w:r>
      <w:r w:rsidRPr="002C6A26">
        <w:rPr>
          <w:rFonts w:ascii="Arial" w:hAnsi="Arial" w:cs="Arial"/>
        </w:rPr>
        <w:t xml:space="preserve"> A transcript of the audio recording was filed</w:t>
      </w:r>
      <w:r>
        <w:rPr>
          <w:rFonts w:ascii="Arial" w:hAnsi="Arial" w:cs="Arial"/>
        </w:rPr>
        <w:t xml:space="preserve"> on consent</w:t>
      </w:r>
      <w:r w:rsidRPr="002C6A26">
        <w:rPr>
          <w:rFonts w:ascii="Arial" w:hAnsi="Arial" w:cs="Arial"/>
        </w:rPr>
        <w:t>, not as evidence, but as an aide memoire. These inaudibles are identified by referring to the transcript for convenience only.</w:t>
      </w:r>
    </w:p>
  </w:footnote>
  <w:footnote w:id="3">
    <w:p w14:paraId="64B0D029" w14:textId="0E8C593D" w:rsidR="00F35990" w:rsidRPr="00471AA5" w:rsidRDefault="00F35990">
      <w:pPr>
        <w:pStyle w:val="FootnoteText"/>
        <w:rPr>
          <w:rFonts w:ascii="Arial" w:hAnsi="Arial" w:cs="Arial"/>
        </w:rPr>
      </w:pPr>
      <w:r w:rsidRPr="00471AA5">
        <w:rPr>
          <w:rStyle w:val="FootnoteReference"/>
          <w:rFonts w:ascii="Arial" w:hAnsi="Arial" w:cs="Arial"/>
        </w:rPr>
        <w:footnoteRef/>
      </w:r>
      <w:r w:rsidRPr="00471AA5">
        <w:rPr>
          <w:rFonts w:ascii="Arial" w:hAnsi="Arial" w:cs="Arial"/>
        </w:rPr>
        <w:t xml:space="preserve">  </w:t>
      </w:r>
      <w:r w:rsidRPr="00471AA5">
        <w:rPr>
          <w:rFonts w:ascii="Arial" w:hAnsi="Arial" w:cs="Arial"/>
          <w:i/>
          <w:iCs/>
        </w:rPr>
        <w:t>Cook v. Kang</w:t>
      </w:r>
      <w:r w:rsidRPr="00471AA5">
        <w:rPr>
          <w:rFonts w:ascii="Arial" w:hAnsi="Arial" w:cs="Arial"/>
        </w:rPr>
        <w:t xml:space="preserve">, 2020 BCSC 575, 38 B.C.L.R. (6th) 144, at para. 51; </w:t>
      </w:r>
      <w:r w:rsidRPr="00471AA5">
        <w:rPr>
          <w:rFonts w:ascii="Arial" w:hAnsi="Arial" w:cs="Arial"/>
          <w:i/>
          <w:iCs/>
        </w:rPr>
        <w:t>Criminal Code</w:t>
      </w:r>
      <w:r w:rsidRPr="00471AA5">
        <w:rPr>
          <w:rFonts w:ascii="Arial" w:hAnsi="Arial" w:cs="Arial"/>
        </w:rPr>
        <w:t>, R.S.C. 1985, c. C-46, s. 184(2)(a).</w:t>
      </w:r>
    </w:p>
  </w:footnote>
  <w:footnote w:id="4">
    <w:p w14:paraId="466544DB" w14:textId="414D5CEF" w:rsidR="00ED2BA3" w:rsidRPr="00EA0664" w:rsidRDefault="00F35990" w:rsidP="008C417F">
      <w:pPr>
        <w:pStyle w:val="AParaNumbering"/>
        <w:numPr>
          <w:ilvl w:val="0"/>
          <w:numId w:val="0"/>
        </w:numPr>
        <w:spacing w:line="240" w:lineRule="auto"/>
      </w:pPr>
      <w:r w:rsidRPr="00471AA5">
        <w:rPr>
          <w:rStyle w:val="FootnoteReference"/>
          <w:rFonts w:cs="Arial"/>
        </w:rPr>
        <w:footnoteRef/>
      </w:r>
      <w:r w:rsidR="00ED2BA3" w:rsidRPr="00471AA5">
        <w:t xml:space="preserve"> </w:t>
      </w:r>
      <w:r w:rsidR="00ED2BA3" w:rsidRPr="00471AA5">
        <w:rPr>
          <w:sz w:val="20"/>
        </w:rPr>
        <w:t xml:space="preserve">See the following cases cited in </w:t>
      </w:r>
      <w:r w:rsidR="00ED2BA3" w:rsidRPr="00471AA5">
        <w:rPr>
          <w:i/>
          <w:iCs/>
          <w:sz w:val="20"/>
        </w:rPr>
        <w:t>Cook v Kang</w:t>
      </w:r>
      <w:r w:rsidR="00ED2BA3" w:rsidRPr="00471AA5">
        <w:rPr>
          <w:sz w:val="20"/>
        </w:rPr>
        <w:t xml:space="preserve">, at para. 51: </w:t>
      </w:r>
      <w:r w:rsidR="00ED2BA3" w:rsidRPr="00471AA5">
        <w:rPr>
          <w:i/>
          <w:iCs/>
          <w:sz w:val="20"/>
        </w:rPr>
        <w:t>Evans v. Teamsters Local Union No. 31</w:t>
      </w:r>
      <w:r w:rsidR="00ED2BA3" w:rsidRPr="00471AA5">
        <w:rPr>
          <w:sz w:val="20"/>
        </w:rPr>
        <w:t>, </w:t>
      </w:r>
      <w:hyperlink r:id="rId1" w:history="1">
        <w:r w:rsidR="00ED2BA3" w:rsidRPr="00471AA5">
          <w:rPr>
            <w:rStyle w:val="reflex3-alt"/>
            <w:sz w:val="20"/>
          </w:rPr>
          <w:t>2006 YKCA 14</w:t>
        </w:r>
      </w:hyperlink>
      <w:r w:rsidR="00ED2BA3" w:rsidRPr="00471AA5">
        <w:rPr>
          <w:rStyle w:val="reflex3-block"/>
          <w:sz w:val="20"/>
        </w:rPr>
        <w:t> at para. </w:t>
      </w:r>
      <w:hyperlink r:id="rId2" w:anchor="par8" w:history="1">
        <w:r w:rsidR="00ED2BA3" w:rsidRPr="00471AA5">
          <w:rPr>
            <w:rStyle w:val="Hyperlink"/>
            <w:rFonts w:eastAsiaTheme="majorEastAsia"/>
            <w:color w:val="000000" w:themeColor="text1"/>
            <w:sz w:val="20"/>
            <w:u w:val="none"/>
          </w:rPr>
          <w:t>8</w:t>
        </w:r>
      </w:hyperlink>
      <w:r w:rsidR="00ED2BA3" w:rsidRPr="00471AA5">
        <w:rPr>
          <w:sz w:val="20"/>
        </w:rPr>
        <w:t>; </w:t>
      </w:r>
      <w:r w:rsidR="00ED2BA3" w:rsidRPr="00471AA5">
        <w:rPr>
          <w:i/>
          <w:iCs/>
          <w:sz w:val="20"/>
        </w:rPr>
        <w:t>Palkovics v. Barta,</w:t>
      </w:r>
      <w:r w:rsidR="00ED2BA3" w:rsidRPr="00471AA5">
        <w:rPr>
          <w:sz w:val="20"/>
        </w:rPr>
        <w:t xml:space="preserve"> 2012 BCSC 399, at paras. 51-54, 81; </w:t>
      </w:r>
      <w:r w:rsidR="00ED2BA3" w:rsidRPr="00471AA5">
        <w:rPr>
          <w:i/>
          <w:iCs/>
          <w:sz w:val="20"/>
        </w:rPr>
        <w:t>Finch v. Finch</w:t>
      </w:r>
      <w:r w:rsidR="00ED2BA3" w:rsidRPr="00471AA5">
        <w:rPr>
          <w:sz w:val="20"/>
        </w:rPr>
        <w:t>, </w:t>
      </w:r>
      <w:hyperlink r:id="rId3" w:history="1">
        <w:r w:rsidR="00ED2BA3" w:rsidRPr="00471AA5">
          <w:rPr>
            <w:rStyle w:val="reflex3-alt"/>
            <w:sz w:val="20"/>
          </w:rPr>
          <w:t>2014 BCSC 653</w:t>
        </w:r>
      </w:hyperlink>
      <w:r w:rsidR="00ED2BA3" w:rsidRPr="00471AA5">
        <w:rPr>
          <w:rStyle w:val="reflex3-block"/>
          <w:sz w:val="20"/>
        </w:rPr>
        <w:t> at para. </w:t>
      </w:r>
      <w:hyperlink r:id="rId4" w:anchor="par62" w:history="1">
        <w:r w:rsidR="00ED2BA3" w:rsidRPr="00471AA5">
          <w:rPr>
            <w:rStyle w:val="Hyperlink"/>
            <w:rFonts w:eastAsiaTheme="majorEastAsia"/>
            <w:color w:val="000000" w:themeColor="text1"/>
            <w:sz w:val="20"/>
            <w:u w:val="none"/>
          </w:rPr>
          <w:t>62</w:t>
        </w:r>
      </w:hyperlink>
      <w:r w:rsidR="00ED2BA3" w:rsidRPr="00471AA5">
        <w:rPr>
          <w:sz w:val="20"/>
        </w:rPr>
        <w:t>; </w:t>
      </w:r>
      <w:r w:rsidR="00ED2BA3" w:rsidRPr="00471AA5">
        <w:rPr>
          <w:i/>
          <w:iCs/>
          <w:sz w:val="20"/>
        </w:rPr>
        <w:t>Lam v. Chiu</w:t>
      </w:r>
      <w:r w:rsidR="00ED2BA3" w:rsidRPr="00471AA5">
        <w:rPr>
          <w:sz w:val="20"/>
        </w:rPr>
        <w:t>, </w:t>
      </w:r>
      <w:hyperlink r:id="rId5" w:history="1">
        <w:r w:rsidR="00ED2BA3" w:rsidRPr="00471AA5">
          <w:rPr>
            <w:rStyle w:val="reflex3-alt"/>
            <w:sz w:val="20"/>
          </w:rPr>
          <w:t>2012 BCSC 440</w:t>
        </w:r>
      </w:hyperlink>
      <w:r w:rsidR="00B02CB7" w:rsidRPr="00471AA5">
        <w:rPr>
          <w:rStyle w:val="reflex3-alt"/>
          <w:sz w:val="20"/>
        </w:rPr>
        <w:t>,</w:t>
      </w:r>
      <w:r w:rsidR="00ED2BA3" w:rsidRPr="00471AA5">
        <w:rPr>
          <w:rStyle w:val="reflex3-block"/>
          <w:sz w:val="20"/>
        </w:rPr>
        <w:t> at para</w:t>
      </w:r>
      <w:r w:rsidR="00514452">
        <w:rPr>
          <w:rStyle w:val="reflex3-block"/>
          <w:sz w:val="20"/>
        </w:rPr>
        <w:t>s</w:t>
      </w:r>
      <w:r w:rsidR="00ED2BA3" w:rsidRPr="00471AA5">
        <w:rPr>
          <w:rStyle w:val="reflex3-block"/>
          <w:sz w:val="20"/>
        </w:rPr>
        <w:t>. </w:t>
      </w:r>
      <w:hyperlink r:id="rId6" w:anchor="par20" w:history="1">
        <w:r w:rsidR="00ED2BA3" w:rsidRPr="00471AA5">
          <w:rPr>
            <w:rStyle w:val="Hyperlink"/>
            <w:rFonts w:eastAsiaTheme="majorEastAsia"/>
            <w:color w:val="000000" w:themeColor="text1"/>
            <w:sz w:val="20"/>
            <w:u w:val="none"/>
          </w:rPr>
          <w:t>20-32</w:t>
        </w:r>
      </w:hyperlink>
      <w:r w:rsidR="00ED2BA3" w:rsidRPr="00471AA5">
        <w:rPr>
          <w:sz w:val="20"/>
        </w:rPr>
        <w:t>.</w:t>
      </w:r>
      <w:r w:rsidR="00ED2BA3" w:rsidRPr="00EA0664">
        <w:t xml:space="preserve"> </w:t>
      </w:r>
    </w:p>
    <w:p w14:paraId="3F86F6BE" w14:textId="360F531C" w:rsidR="00F35990" w:rsidRPr="0039252C" w:rsidRDefault="00F35990">
      <w:pPr>
        <w:pStyle w:val="FootnoteText"/>
        <w:rPr>
          <w:rFonts w:ascii="Arial" w:hAnsi="Arial" w:cs="Arial"/>
        </w:rPr>
      </w:pPr>
    </w:p>
  </w:footnote>
  <w:footnote w:id="5">
    <w:p w14:paraId="0A012B4E" w14:textId="19A01CDA" w:rsidR="00F35990" w:rsidRPr="00B55B4D" w:rsidRDefault="00F35990">
      <w:pPr>
        <w:pStyle w:val="FootnoteText"/>
        <w:rPr>
          <w:rFonts w:ascii="Arial" w:hAnsi="Arial" w:cs="Arial"/>
        </w:rPr>
      </w:pPr>
      <w:r>
        <w:rPr>
          <w:rStyle w:val="FootnoteReference"/>
        </w:rPr>
        <w:footnoteRef/>
      </w:r>
      <w:r>
        <w:t xml:space="preserve"> </w:t>
      </w:r>
      <w:r w:rsidRPr="00B55B4D">
        <w:rPr>
          <w:rFonts w:ascii="Arial" w:hAnsi="Arial" w:cs="Arial"/>
        </w:rPr>
        <w:t xml:space="preserve">Procedural Rule 15.2 states: </w:t>
      </w:r>
    </w:p>
    <w:p w14:paraId="2E7F9A1C" w14:textId="102782DA" w:rsidR="00F35990" w:rsidRDefault="00F35990" w:rsidP="00A605D1">
      <w:pPr>
        <w:pStyle w:val="CQuote"/>
      </w:pPr>
      <w:r w:rsidRPr="00B55B4D">
        <w:rPr>
          <w:sz w:val="20"/>
          <w:szCs w:val="20"/>
        </w:rPr>
        <w:t>The Hearing Panel’s mandate is to inquire into the facts to determine whether there has been judicial misconduct, and where judicial misconduct is found, determine the appropriate disposition or dispositions that will preserve or restore public confidence in the judiciary.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096D5" w14:textId="77777777" w:rsidR="002E02D6" w:rsidRDefault="002E0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C953" w14:textId="77777777" w:rsidR="002E02D6" w:rsidRDefault="002E0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2A24" w14:textId="77777777" w:rsidR="002E02D6" w:rsidRDefault="002E0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945"/>
    <w:multiLevelType w:val="multilevel"/>
    <w:tmpl w:val="CA5E0610"/>
    <w:lvl w:ilvl="0">
      <w:start w:val="6"/>
      <w:numFmt w:val="decimal"/>
      <w:lvlText w:val="%1."/>
      <w:lvlJc w:val="left"/>
      <w:pPr>
        <w:tabs>
          <w:tab w:val="num" w:pos="1800"/>
        </w:tabs>
        <w:ind w:left="1800" w:hanging="360"/>
      </w:pPr>
      <w:rPr>
        <w:rFonts w:hint="default"/>
      </w:rPr>
    </w:lvl>
    <w:lvl w:ilvl="1">
      <w:start w:val="1"/>
      <w:numFmt w:val="decimal"/>
      <w:lvlRestart w:val="0"/>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3F3C1C51"/>
    <w:multiLevelType w:val="hybridMultilevel"/>
    <w:tmpl w:val="22348A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F765D4B"/>
    <w:multiLevelType w:val="hybridMultilevel"/>
    <w:tmpl w:val="B254DFF6"/>
    <w:lvl w:ilvl="0" w:tplc="910A91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0AB31D7"/>
    <w:multiLevelType w:val="hybridMultilevel"/>
    <w:tmpl w:val="D96A3E3E"/>
    <w:lvl w:ilvl="0" w:tplc="26748E7E">
      <w:start w:val="1"/>
      <w:numFmt w:val="decimal"/>
      <w:pStyle w:val="AParaNumbering"/>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853953"/>
    <w:multiLevelType w:val="hybridMultilevel"/>
    <w:tmpl w:val="448AB60A"/>
    <w:lvl w:ilvl="0" w:tplc="733A1C48">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4D955AE"/>
    <w:multiLevelType w:val="hybridMultilevel"/>
    <w:tmpl w:val="B5202A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9EF777A"/>
    <w:multiLevelType w:val="hybridMultilevel"/>
    <w:tmpl w:val="C1D0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1F42D8"/>
    <w:multiLevelType w:val="hybridMultilevel"/>
    <w:tmpl w:val="EDC2AB1E"/>
    <w:lvl w:ilvl="0" w:tplc="A5FC6104">
      <w:start w:val="1"/>
      <w:numFmt w:val="decimal"/>
      <w:lvlText w:val="%1."/>
      <w:lvlJc w:val="left"/>
      <w:pPr>
        <w:ind w:left="1080" w:hanging="720"/>
      </w:pPr>
      <w:rPr>
        <w:rFonts w:hint="default"/>
      </w:rPr>
    </w:lvl>
    <w:lvl w:ilvl="1" w:tplc="336AFA68" w:tentative="1">
      <w:start w:val="1"/>
      <w:numFmt w:val="lowerLetter"/>
      <w:lvlText w:val="%2."/>
      <w:lvlJc w:val="left"/>
      <w:pPr>
        <w:ind w:left="1440" w:hanging="360"/>
      </w:pPr>
    </w:lvl>
    <w:lvl w:ilvl="2" w:tplc="F1DAB7A8" w:tentative="1">
      <w:start w:val="1"/>
      <w:numFmt w:val="lowerRoman"/>
      <w:lvlText w:val="%3."/>
      <w:lvlJc w:val="right"/>
      <w:pPr>
        <w:ind w:left="2160" w:hanging="180"/>
      </w:pPr>
    </w:lvl>
    <w:lvl w:ilvl="3" w:tplc="44EC7DE6" w:tentative="1">
      <w:start w:val="1"/>
      <w:numFmt w:val="decimal"/>
      <w:lvlText w:val="%4."/>
      <w:lvlJc w:val="left"/>
      <w:pPr>
        <w:ind w:left="2880" w:hanging="360"/>
      </w:pPr>
    </w:lvl>
    <w:lvl w:ilvl="4" w:tplc="87E842F4" w:tentative="1">
      <w:start w:val="1"/>
      <w:numFmt w:val="lowerLetter"/>
      <w:lvlText w:val="%5."/>
      <w:lvlJc w:val="left"/>
      <w:pPr>
        <w:ind w:left="3600" w:hanging="360"/>
      </w:pPr>
    </w:lvl>
    <w:lvl w:ilvl="5" w:tplc="09987E26" w:tentative="1">
      <w:start w:val="1"/>
      <w:numFmt w:val="lowerRoman"/>
      <w:lvlText w:val="%6."/>
      <w:lvlJc w:val="right"/>
      <w:pPr>
        <w:ind w:left="4320" w:hanging="180"/>
      </w:pPr>
    </w:lvl>
    <w:lvl w:ilvl="6" w:tplc="EFECE016" w:tentative="1">
      <w:start w:val="1"/>
      <w:numFmt w:val="decimal"/>
      <w:lvlText w:val="%7."/>
      <w:lvlJc w:val="left"/>
      <w:pPr>
        <w:ind w:left="5040" w:hanging="360"/>
      </w:pPr>
    </w:lvl>
    <w:lvl w:ilvl="7" w:tplc="533C80E6" w:tentative="1">
      <w:start w:val="1"/>
      <w:numFmt w:val="lowerLetter"/>
      <w:lvlText w:val="%8."/>
      <w:lvlJc w:val="left"/>
      <w:pPr>
        <w:ind w:left="5760" w:hanging="360"/>
      </w:pPr>
    </w:lvl>
    <w:lvl w:ilvl="8" w:tplc="723E508E" w:tentative="1">
      <w:start w:val="1"/>
      <w:numFmt w:val="lowerRoman"/>
      <w:lvlText w:val="%9."/>
      <w:lvlJc w:val="right"/>
      <w:pPr>
        <w:ind w:left="6480" w:hanging="180"/>
      </w:pPr>
    </w:lvl>
  </w:abstractNum>
  <w:abstractNum w:abstractNumId="8" w15:restartNumberingAfterBreak="0">
    <w:nsid w:val="72027B45"/>
    <w:multiLevelType w:val="hybridMultilevel"/>
    <w:tmpl w:val="1242DDBA"/>
    <w:lvl w:ilvl="0" w:tplc="418288EE">
      <w:start w:val="1"/>
      <w:numFmt w:val="decimal"/>
      <w:lvlText w:val="%1."/>
      <w:lvlJc w:val="left"/>
      <w:pPr>
        <w:ind w:left="720" w:hanging="360"/>
      </w:pPr>
      <w:rPr>
        <w:rFonts w:ascii="Times New Roman" w:eastAsia="Times New Roman" w:hAnsi="Times New Roman" w:cs="Times New Roman"/>
      </w:rPr>
    </w:lvl>
    <w:lvl w:ilvl="1" w:tplc="85162472">
      <w:start w:val="1"/>
      <w:numFmt w:val="lowerLetter"/>
      <w:lvlText w:val="%2."/>
      <w:lvlJc w:val="left"/>
      <w:pPr>
        <w:ind w:left="1440" w:hanging="360"/>
      </w:pPr>
    </w:lvl>
    <w:lvl w:ilvl="2" w:tplc="8F3C739E" w:tentative="1">
      <w:start w:val="1"/>
      <w:numFmt w:val="lowerRoman"/>
      <w:lvlText w:val="%3."/>
      <w:lvlJc w:val="right"/>
      <w:pPr>
        <w:ind w:left="2160" w:hanging="180"/>
      </w:pPr>
    </w:lvl>
    <w:lvl w:ilvl="3" w:tplc="14905784" w:tentative="1">
      <w:start w:val="1"/>
      <w:numFmt w:val="decimal"/>
      <w:lvlText w:val="%4."/>
      <w:lvlJc w:val="left"/>
      <w:pPr>
        <w:ind w:left="2880" w:hanging="360"/>
      </w:pPr>
    </w:lvl>
    <w:lvl w:ilvl="4" w:tplc="BDF28E02" w:tentative="1">
      <w:start w:val="1"/>
      <w:numFmt w:val="lowerLetter"/>
      <w:lvlText w:val="%5."/>
      <w:lvlJc w:val="left"/>
      <w:pPr>
        <w:ind w:left="3600" w:hanging="360"/>
      </w:pPr>
    </w:lvl>
    <w:lvl w:ilvl="5" w:tplc="869C9C06" w:tentative="1">
      <w:start w:val="1"/>
      <w:numFmt w:val="lowerRoman"/>
      <w:lvlText w:val="%6."/>
      <w:lvlJc w:val="right"/>
      <w:pPr>
        <w:ind w:left="4320" w:hanging="180"/>
      </w:pPr>
    </w:lvl>
    <w:lvl w:ilvl="6" w:tplc="1BD08298" w:tentative="1">
      <w:start w:val="1"/>
      <w:numFmt w:val="decimal"/>
      <w:lvlText w:val="%7."/>
      <w:lvlJc w:val="left"/>
      <w:pPr>
        <w:ind w:left="5040" w:hanging="360"/>
      </w:pPr>
    </w:lvl>
    <w:lvl w:ilvl="7" w:tplc="9B44F722" w:tentative="1">
      <w:start w:val="1"/>
      <w:numFmt w:val="lowerLetter"/>
      <w:lvlText w:val="%8."/>
      <w:lvlJc w:val="left"/>
      <w:pPr>
        <w:ind w:left="5760" w:hanging="360"/>
      </w:pPr>
    </w:lvl>
    <w:lvl w:ilvl="8" w:tplc="5E9E3D38" w:tentative="1">
      <w:start w:val="1"/>
      <w:numFmt w:val="lowerRoman"/>
      <w:lvlText w:val="%9."/>
      <w:lvlJc w:val="right"/>
      <w:pPr>
        <w:ind w:left="6480" w:hanging="180"/>
      </w:pPr>
    </w:lvl>
  </w:abstractNum>
  <w:abstractNum w:abstractNumId="9" w15:restartNumberingAfterBreak="0">
    <w:nsid w:val="76F90C4B"/>
    <w:multiLevelType w:val="hybridMultilevel"/>
    <w:tmpl w:val="FEBE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0B30B6"/>
    <w:multiLevelType w:val="hybridMultilevel"/>
    <w:tmpl w:val="D1F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4"/>
  </w:num>
  <w:num w:numId="6">
    <w:abstractNumId w:val="5"/>
  </w:num>
  <w:num w:numId="7">
    <w:abstractNumId w:val="2"/>
  </w:num>
  <w:num w:numId="8">
    <w:abstractNumId w:val="9"/>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64"/>
    <w:rsid w:val="0000308A"/>
    <w:rsid w:val="00005C36"/>
    <w:rsid w:val="000207F7"/>
    <w:rsid w:val="00027179"/>
    <w:rsid w:val="00030D71"/>
    <w:rsid w:val="0003357D"/>
    <w:rsid w:val="0003447D"/>
    <w:rsid w:val="00041A3A"/>
    <w:rsid w:val="000500DB"/>
    <w:rsid w:val="00054C8E"/>
    <w:rsid w:val="0005683F"/>
    <w:rsid w:val="00062598"/>
    <w:rsid w:val="00063541"/>
    <w:rsid w:val="00063970"/>
    <w:rsid w:val="000647E7"/>
    <w:rsid w:val="0006612A"/>
    <w:rsid w:val="00070298"/>
    <w:rsid w:val="000737BF"/>
    <w:rsid w:val="000805F1"/>
    <w:rsid w:val="00081F57"/>
    <w:rsid w:val="0009301A"/>
    <w:rsid w:val="00093663"/>
    <w:rsid w:val="000A0538"/>
    <w:rsid w:val="000A43EB"/>
    <w:rsid w:val="000B7752"/>
    <w:rsid w:val="000C7B66"/>
    <w:rsid w:val="000D262B"/>
    <w:rsid w:val="000D31DB"/>
    <w:rsid w:val="000E2B4A"/>
    <w:rsid w:val="000E329F"/>
    <w:rsid w:val="000E6549"/>
    <w:rsid w:val="000F29A2"/>
    <w:rsid w:val="000F41F6"/>
    <w:rsid w:val="0010242E"/>
    <w:rsid w:val="00113A1F"/>
    <w:rsid w:val="00113A60"/>
    <w:rsid w:val="0011457B"/>
    <w:rsid w:val="0012482F"/>
    <w:rsid w:val="00127AD0"/>
    <w:rsid w:val="001301B6"/>
    <w:rsid w:val="0013205F"/>
    <w:rsid w:val="00144996"/>
    <w:rsid w:val="00146865"/>
    <w:rsid w:val="001546C7"/>
    <w:rsid w:val="001676F2"/>
    <w:rsid w:val="00170A0B"/>
    <w:rsid w:val="001775DE"/>
    <w:rsid w:val="00180318"/>
    <w:rsid w:val="001824A4"/>
    <w:rsid w:val="00184387"/>
    <w:rsid w:val="001870E3"/>
    <w:rsid w:val="00190D7B"/>
    <w:rsid w:val="001916B2"/>
    <w:rsid w:val="00195065"/>
    <w:rsid w:val="001A0628"/>
    <w:rsid w:val="001A1708"/>
    <w:rsid w:val="001B0B14"/>
    <w:rsid w:val="001B3ACC"/>
    <w:rsid w:val="001B4C81"/>
    <w:rsid w:val="001C1BBB"/>
    <w:rsid w:val="001C3A3B"/>
    <w:rsid w:val="001D4A7F"/>
    <w:rsid w:val="001D4EC0"/>
    <w:rsid w:val="001D76B7"/>
    <w:rsid w:val="001E1843"/>
    <w:rsid w:val="001E5DFB"/>
    <w:rsid w:val="001E77F2"/>
    <w:rsid w:val="001F2C15"/>
    <w:rsid w:val="001F5B0B"/>
    <w:rsid w:val="00203A03"/>
    <w:rsid w:val="00210D14"/>
    <w:rsid w:val="002119AB"/>
    <w:rsid w:val="00216D50"/>
    <w:rsid w:val="00222609"/>
    <w:rsid w:val="00222A4D"/>
    <w:rsid w:val="002304BE"/>
    <w:rsid w:val="002325F0"/>
    <w:rsid w:val="002342A6"/>
    <w:rsid w:val="00240CEA"/>
    <w:rsid w:val="002468B6"/>
    <w:rsid w:val="00256F20"/>
    <w:rsid w:val="002665AD"/>
    <w:rsid w:val="002718AF"/>
    <w:rsid w:val="00272EFC"/>
    <w:rsid w:val="00276DEA"/>
    <w:rsid w:val="00281D35"/>
    <w:rsid w:val="00282B70"/>
    <w:rsid w:val="00284712"/>
    <w:rsid w:val="00290605"/>
    <w:rsid w:val="00297EBB"/>
    <w:rsid w:val="002A6B0C"/>
    <w:rsid w:val="002B1153"/>
    <w:rsid w:val="002B2EBC"/>
    <w:rsid w:val="002B309B"/>
    <w:rsid w:val="002B756F"/>
    <w:rsid w:val="002C01A9"/>
    <w:rsid w:val="002C3313"/>
    <w:rsid w:val="002C6A26"/>
    <w:rsid w:val="002D0B6E"/>
    <w:rsid w:val="002D7751"/>
    <w:rsid w:val="002E02D6"/>
    <w:rsid w:val="002E2A64"/>
    <w:rsid w:val="002E440B"/>
    <w:rsid w:val="002E7914"/>
    <w:rsid w:val="002F29DB"/>
    <w:rsid w:val="00300E96"/>
    <w:rsid w:val="00303BE2"/>
    <w:rsid w:val="003046CB"/>
    <w:rsid w:val="00313E98"/>
    <w:rsid w:val="00320826"/>
    <w:rsid w:val="0032388C"/>
    <w:rsid w:val="00331317"/>
    <w:rsid w:val="0033134A"/>
    <w:rsid w:val="003315CD"/>
    <w:rsid w:val="00342FE0"/>
    <w:rsid w:val="00352503"/>
    <w:rsid w:val="00353D25"/>
    <w:rsid w:val="00354A36"/>
    <w:rsid w:val="0036130C"/>
    <w:rsid w:val="00365D7C"/>
    <w:rsid w:val="003822B3"/>
    <w:rsid w:val="00391069"/>
    <w:rsid w:val="0039252C"/>
    <w:rsid w:val="0039292C"/>
    <w:rsid w:val="003A0147"/>
    <w:rsid w:val="003A39C5"/>
    <w:rsid w:val="003A42B9"/>
    <w:rsid w:val="003A5580"/>
    <w:rsid w:val="003B0515"/>
    <w:rsid w:val="003B6C94"/>
    <w:rsid w:val="003C0C71"/>
    <w:rsid w:val="003C6E36"/>
    <w:rsid w:val="003D1DE3"/>
    <w:rsid w:val="003D595F"/>
    <w:rsid w:val="003D6017"/>
    <w:rsid w:val="003D6FFE"/>
    <w:rsid w:val="003E0923"/>
    <w:rsid w:val="003E200B"/>
    <w:rsid w:val="003E55E3"/>
    <w:rsid w:val="003F3A5C"/>
    <w:rsid w:val="003F5B8E"/>
    <w:rsid w:val="003F5C47"/>
    <w:rsid w:val="0041292A"/>
    <w:rsid w:val="0041300A"/>
    <w:rsid w:val="0041484B"/>
    <w:rsid w:val="00423306"/>
    <w:rsid w:val="00426454"/>
    <w:rsid w:val="00437934"/>
    <w:rsid w:val="00441D69"/>
    <w:rsid w:val="00447DF0"/>
    <w:rsid w:val="0045036A"/>
    <w:rsid w:val="00452DFB"/>
    <w:rsid w:val="00460CAA"/>
    <w:rsid w:val="00460FC2"/>
    <w:rsid w:val="00462333"/>
    <w:rsid w:val="004658D3"/>
    <w:rsid w:val="00466FB8"/>
    <w:rsid w:val="00471AA5"/>
    <w:rsid w:val="0047250D"/>
    <w:rsid w:val="0047327C"/>
    <w:rsid w:val="00476268"/>
    <w:rsid w:val="00484699"/>
    <w:rsid w:val="00486321"/>
    <w:rsid w:val="00491744"/>
    <w:rsid w:val="00495D8B"/>
    <w:rsid w:val="0049724D"/>
    <w:rsid w:val="004A06F3"/>
    <w:rsid w:val="004A1570"/>
    <w:rsid w:val="004A4273"/>
    <w:rsid w:val="004A455E"/>
    <w:rsid w:val="004A562E"/>
    <w:rsid w:val="004B5442"/>
    <w:rsid w:val="004D16B2"/>
    <w:rsid w:val="004D1DE1"/>
    <w:rsid w:val="004D20E8"/>
    <w:rsid w:val="004D4AD3"/>
    <w:rsid w:val="004D5C32"/>
    <w:rsid w:val="004E252A"/>
    <w:rsid w:val="004E56C2"/>
    <w:rsid w:val="004E5E6E"/>
    <w:rsid w:val="004F59DB"/>
    <w:rsid w:val="00501AB0"/>
    <w:rsid w:val="00503BD4"/>
    <w:rsid w:val="00511852"/>
    <w:rsid w:val="00513738"/>
    <w:rsid w:val="00513993"/>
    <w:rsid w:val="00514452"/>
    <w:rsid w:val="00524DFA"/>
    <w:rsid w:val="00526CB9"/>
    <w:rsid w:val="00532D63"/>
    <w:rsid w:val="005330F1"/>
    <w:rsid w:val="005350FD"/>
    <w:rsid w:val="005536F7"/>
    <w:rsid w:val="00554A93"/>
    <w:rsid w:val="00554C7E"/>
    <w:rsid w:val="00560382"/>
    <w:rsid w:val="005626C6"/>
    <w:rsid w:val="005674BE"/>
    <w:rsid w:val="005709A1"/>
    <w:rsid w:val="00574340"/>
    <w:rsid w:val="00575646"/>
    <w:rsid w:val="005844C4"/>
    <w:rsid w:val="0059759E"/>
    <w:rsid w:val="005A1954"/>
    <w:rsid w:val="005A7DB1"/>
    <w:rsid w:val="005B010C"/>
    <w:rsid w:val="005B55D3"/>
    <w:rsid w:val="005C00D6"/>
    <w:rsid w:val="005D12D8"/>
    <w:rsid w:val="005D1A27"/>
    <w:rsid w:val="005E2083"/>
    <w:rsid w:val="005E386C"/>
    <w:rsid w:val="005E4BA2"/>
    <w:rsid w:val="005F0426"/>
    <w:rsid w:val="005F61BA"/>
    <w:rsid w:val="00605AD2"/>
    <w:rsid w:val="00615330"/>
    <w:rsid w:val="00621270"/>
    <w:rsid w:val="00630C01"/>
    <w:rsid w:val="00644782"/>
    <w:rsid w:val="00647805"/>
    <w:rsid w:val="00664AE5"/>
    <w:rsid w:val="0067050F"/>
    <w:rsid w:val="006726B5"/>
    <w:rsid w:val="00675FF3"/>
    <w:rsid w:val="00681DDE"/>
    <w:rsid w:val="00685AE2"/>
    <w:rsid w:val="00690D8B"/>
    <w:rsid w:val="0069329B"/>
    <w:rsid w:val="006933E1"/>
    <w:rsid w:val="00694469"/>
    <w:rsid w:val="0069769E"/>
    <w:rsid w:val="006A1C5D"/>
    <w:rsid w:val="006A475D"/>
    <w:rsid w:val="006A70A2"/>
    <w:rsid w:val="006B0562"/>
    <w:rsid w:val="006B0E00"/>
    <w:rsid w:val="006B10EA"/>
    <w:rsid w:val="006C5464"/>
    <w:rsid w:val="006D2A17"/>
    <w:rsid w:val="006D72E3"/>
    <w:rsid w:val="006E1725"/>
    <w:rsid w:val="006E7035"/>
    <w:rsid w:val="006F697A"/>
    <w:rsid w:val="006F7DA0"/>
    <w:rsid w:val="007023D2"/>
    <w:rsid w:val="0070314D"/>
    <w:rsid w:val="00703AFA"/>
    <w:rsid w:val="007305A6"/>
    <w:rsid w:val="007318B7"/>
    <w:rsid w:val="00732587"/>
    <w:rsid w:val="00740350"/>
    <w:rsid w:val="007411C2"/>
    <w:rsid w:val="00744A43"/>
    <w:rsid w:val="00751452"/>
    <w:rsid w:val="00755A4D"/>
    <w:rsid w:val="00756E71"/>
    <w:rsid w:val="00762B34"/>
    <w:rsid w:val="00764413"/>
    <w:rsid w:val="0076506F"/>
    <w:rsid w:val="007704F2"/>
    <w:rsid w:val="007724CE"/>
    <w:rsid w:val="0077255E"/>
    <w:rsid w:val="007742E8"/>
    <w:rsid w:val="00776352"/>
    <w:rsid w:val="00776AD7"/>
    <w:rsid w:val="007778A9"/>
    <w:rsid w:val="00782926"/>
    <w:rsid w:val="00782D11"/>
    <w:rsid w:val="00784D9A"/>
    <w:rsid w:val="007B2A50"/>
    <w:rsid w:val="007B5AD5"/>
    <w:rsid w:val="007B6D8D"/>
    <w:rsid w:val="007C1184"/>
    <w:rsid w:val="007C1AB6"/>
    <w:rsid w:val="007D1AFE"/>
    <w:rsid w:val="007D4180"/>
    <w:rsid w:val="007E404B"/>
    <w:rsid w:val="007E485A"/>
    <w:rsid w:val="007F4AD7"/>
    <w:rsid w:val="00817E0D"/>
    <w:rsid w:val="00821D69"/>
    <w:rsid w:val="008220C7"/>
    <w:rsid w:val="00822B47"/>
    <w:rsid w:val="0082448D"/>
    <w:rsid w:val="00827177"/>
    <w:rsid w:val="008318B9"/>
    <w:rsid w:val="00836B5F"/>
    <w:rsid w:val="008407FF"/>
    <w:rsid w:val="00846EEE"/>
    <w:rsid w:val="00852CD4"/>
    <w:rsid w:val="00864518"/>
    <w:rsid w:val="00865298"/>
    <w:rsid w:val="00867A2D"/>
    <w:rsid w:val="008711C9"/>
    <w:rsid w:val="0087485C"/>
    <w:rsid w:val="008777BD"/>
    <w:rsid w:val="00893D5B"/>
    <w:rsid w:val="008A1B5D"/>
    <w:rsid w:val="008A22DF"/>
    <w:rsid w:val="008A370F"/>
    <w:rsid w:val="008A4CE5"/>
    <w:rsid w:val="008A57AE"/>
    <w:rsid w:val="008A73BB"/>
    <w:rsid w:val="008A7535"/>
    <w:rsid w:val="008B476A"/>
    <w:rsid w:val="008C0B5A"/>
    <w:rsid w:val="008C1CFB"/>
    <w:rsid w:val="008C417F"/>
    <w:rsid w:val="008C5E46"/>
    <w:rsid w:val="008C61E1"/>
    <w:rsid w:val="008C7010"/>
    <w:rsid w:val="008D5A19"/>
    <w:rsid w:val="008D6EEB"/>
    <w:rsid w:val="008E26E0"/>
    <w:rsid w:val="008E36DD"/>
    <w:rsid w:val="008F1FE3"/>
    <w:rsid w:val="008F4C9A"/>
    <w:rsid w:val="008F51DB"/>
    <w:rsid w:val="008F5C69"/>
    <w:rsid w:val="008F6EAD"/>
    <w:rsid w:val="00907345"/>
    <w:rsid w:val="00911528"/>
    <w:rsid w:val="00912071"/>
    <w:rsid w:val="0091405B"/>
    <w:rsid w:val="00914784"/>
    <w:rsid w:val="00922C3E"/>
    <w:rsid w:val="00923FFD"/>
    <w:rsid w:val="00924E54"/>
    <w:rsid w:val="0092698F"/>
    <w:rsid w:val="0093624C"/>
    <w:rsid w:val="00942F2F"/>
    <w:rsid w:val="009462DD"/>
    <w:rsid w:val="0095610E"/>
    <w:rsid w:val="00957AF4"/>
    <w:rsid w:val="00967E90"/>
    <w:rsid w:val="00973419"/>
    <w:rsid w:val="00976ED3"/>
    <w:rsid w:val="00977EA6"/>
    <w:rsid w:val="00981F80"/>
    <w:rsid w:val="00983D32"/>
    <w:rsid w:val="00996845"/>
    <w:rsid w:val="009A438A"/>
    <w:rsid w:val="009B3936"/>
    <w:rsid w:val="009B781B"/>
    <w:rsid w:val="009C482D"/>
    <w:rsid w:val="009D08C8"/>
    <w:rsid w:val="009D3532"/>
    <w:rsid w:val="009F6115"/>
    <w:rsid w:val="009F6F1C"/>
    <w:rsid w:val="00A004BE"/>
    <w:rsid w:val="00A071A8"/>
    <w:rsid w:val="00A10E2D"/>
    <w:rsid w:val="00A14FDE"/>
    <w:rsid w:val="00A15BCF"/>
    <w:rsid w:val="00A2597E"/>
    <w:rsid w:val="00A26FB3"/>
    <w:rsid w:val="00A302FE"/>
    <w:rsid w:val="00A31D00"/>
    <w:rsid w:val="00A359AF"/>
    <w:rsid w:val="00A42062"/>
    <w:rsid w:val="00A44970"/>
    <w:rsid w:val="00A4628A"/>
    <w:rsid w:val="00A5369B"/>
    <w:rsid w:val="00A5508C"/>
    <w:rsid w:val="00A566C9"/>
    <w:rsid w:val="00A605D1"/>
    <w:rsid w:val="00A612A8"/>
    <w:rsid w:val="00A66E5E"/>
    <w:rsid w:val="00A71C8C"/>
    <w:rsid w:val="00A72865"/>
    <w:rsid w:val="00A742F8"/>
    <w:rsid w:val="00A76486"/>
    <w:rsid w:val="00A80CA2"/>
    <w:rsid w:val="00A853CF"/>
    <w:rsid w:val="00A97EDE"/>
    <w:rsid w:val="00AA2A12"/>
    <w:rsid w:val="00AA58E5"/>
    <w:rsid w:val="00AB114B"/>
    <w:rsid w:val="00AB11FC"/>
    <w:rsid w:val="00AB5BA7"/>
    <w:rsid w:val="00AC1270"/>
    <w:rsid w:val="00AC5EE4"/>
    <w:rsid w:val="00AD7611"/>
    <w:rsid w:val="00AD7B37"/>
    <w:rsid w:val="00AE12F1"/>
    <w:rsid w:val="00AE168A"/>
    <w:rsid w:val="00AE17A5"/>
    <w:rsid w:val="00AE39FA"/>
    <w:rsid w:val="00AE62B7"/>
    <w:rsid w:val="00AE7F0A"/>
    <w:rsid w:val="00B02CB7"/>
    <w:rsid w:val="00B02E96"/>
    <w:rsid w:val="00B0533F"/>
    <w:rsid w:val="00B06C81"/>
    <w:rsid w:val="00B0715E"/>
    <w:rsid w:val="00B07390"/>
    <w:rsid w:val="00B136E8"/>
    <w:rsid w:val="00B15598"/>
    <w:rsid w:val="00B2127B"/>
    <w:rsid w:val="00B22995"/>
    <w:rsid w:val="00B22C78"/>
    <w:rsid w:val="00B23D50"/>
    <w:rsid w:val="00B274E4"/>
    <w:rsid w:val="00B33D98"/>
    <w:rsid w:val="00B401EB"/>
    <w:rsid w:val="00B42EC5"/>
    <w:rsid w:val="00B44D3A"/>
    <w:rsid w:val="00B4635F"/>
    <w:rsid w:val="00B5529E"/>
    <w:rsid w:val="00B55B4D"/>
    <w:rsid w:val="00B63A20"/>
    <w:rsid w:val="00B67C96"/>
    <w:rsid w:val="00B77D15"/>
    <w:rsid w:val="00B8545D"/>
    <w:rsid w:val="00B90CFB"/>
    <w:rsid w:val="00B96773"/>
    <w:rsid w:val="00BA0921"/>
    <w:rsid w:val="00BA7AED"/>
    <w:rsid w:val="00BB0EA4"/>
    <w:rsid w:val="00BB3AC3"/>
    <w:rsid w:val="00BB48A8"/>
    <w:rsid w:val="00BB5B8E"/>
    <w:rsid w:val="00BB5E85"/>
    <w:rsid w:val="00BC0CB7"/>
    <w:rsid w:val="00BC24F9"/>
    <w:rsid w:val="00BC62C5"/>
    <w:rsid w:val="00BD3FCC"/>
    <w:rsid w:val="00BE1610"/>
    <w:rsid w:val="00BE1F7B"/>
    <w:rsid w:val="00BF0E91"/>
    <w:rsid w:val="00BF5B6C"/>
    <w:rsid w:val="00BF7AE1"/>
    <w:rsid w:val="00C10281"/>
    <w:rsid w:val="00C23CB2"/>
    <w:rsid w:val="00C273D6"/>
    <w:rsid w:val="00C315F8"/>
    <w:rsid w:val="00C31FD1"/>
    <w:rsid w:val="00C331E4"/>
    <w:rsid w:val="00C356F2"/>
    <w:rsid w:val="00C35FB6"/>
    <w:rsid w:val="00C4601F"/>
    <w:rsid w:val="00C53018"/>
    <w:rsid w:val="00C541DE"/>
    <w:rsid w:val="00C70406"/>
    <w:rsid w:val="00C8261E"/>
    <w:rsid w:val="00C93053"/>
    <w:rsid w:val="00CA1DDC"/>
    <w:rsid w:val="00CA4E0A"/>
    <w:rsid w:val="00CB0C5B"/>
    <w:rsid w:val="00CB0F15"/>
    <w:rsid w:val="00CB14D5"/>
    <w:rsid w:val="00CB646F"/>
    <w:rsid w:val="00CB71F5"/>
    <w:rsid w:val="00CC3813"/>
    <w:rsid w:val="00CD183F"/>
    <w:rsid w:val="00CE00C1"/>
    <w:rsid w:val="00CE5871"/>
    <w:rsid w:val="00CF7067"/>
    <w:rsid w:val="00D0650D"/>
    <w:rsid w:val="00D16CB6"/>
    <w:rsid w:val="00D220AD"/>
    <w:rsid w:val="00D34102"/>
    <w:rsid w:val="00D50607"/>
    <w:rsid w:val="00D5667C"/>
    <w:rsid w:val="00D646D7"/>
    <w:rsid w:val="00D64A59"/>
    <w:rsid w:val="00D668A8"/>
    <w:rsid w:val="00D74860"/>
    <w:rsid w:val="00D80503"/>
    <w:rsid w:val="00D80629"/>
    <w:rsid w:val="00D845F3"/>
    <w:rsid w:val="00D91D78"/>
    <w:rsid w:val="00D96653"/>
    <w:rsid w:val="00DA1D22"/>
    <w:rsid w:val="00DA4D5D"/>
    <w:rsid w:val="00DA7BDB"/>
    <w:rsid w:val="00DB29A4"/>
    <w:rsid w:val="00DB5FA5"/>
    <w:rsid w:val="00DC1534"/>
    <w:rsid w:val="00DD0DAB"/>
    <w:rsid w:val="00DD2C8A"/>
    <w:rsid w:val="00DF13C8"/>
    <w:rsid w:val="00DF732C"/>
    <w:rsid w:val="00E11C8C"/>
    <w:rsid w:val="00E14347"/>
    <w:rsid w:val="00E163B7"/>
    <w:rsid w:val="00E214EC"/>
    <w:rsid w:val="00E21EC3"/>
    <w:rsid w:val="00E3252F"/>
    <w:rsid w:val="00E367E8"/>
    <w:rsid w:val="00E406F4"/>
    <w:rsid w:val="00E44317"/>
    <w:rsid w:val="00E53647"/>
    <w:rsid w:val="00E543FA"/>
    <w:rsid w:val="00E56F9D"/>
    <w:rsid w:val="00E613AB"/>
    <w:rsid w:val="00E73007"/>
    <w:rsid w:val="00E74778"/>
    <w:rsid w:val="00E83673"/>
    <w:rsid w:val="00E83BFA"/>
    <w:rsid w:val="00E85A4F"/>
    <w:rsid w:val="00E97DFF"/>
    <w:rsid w:val="00EA0664"/>
    <w:rsid w:val="00EA7046"/>
    <w:rsid w:val="00EA70B1"/>
    <w:rsid w:val="00EB00E3"/>
    <w:rsid w:val="00EB6BC5"/>
    <w:rsid w:val="00EC567B"/>
    <w:rsid w:val="00ED0DB8"/>
    <w:rsid w:val="00ED2BA3"/>
    <w:rsid w:val="00ED7380"/>
    <w:rsid w:val="00EE2F4D"/>
    <w:rsid w:val="00EE5DF0"/>
    <w:rsid w:val="00EE62A0"/>
    <w:rsid w:val="00EF3F9C"/>
    <w:rsid w:val="00F02C1C"/>
    <w:rsid w:val="00F030C8"/>
    <w:rsid w:val="00F12623"/>
    <w:rsid w:val="00F24DE8"/>
    <w:rsid w:val="00F26DE5"/>
    <w:rsid w:val="00F3012E"/>
    <w:rsid w:val="00F35990"/>
    <w:rsid w:val="00F369E8"/>
    <w:rsid w:val="00F376D3"/>
    <w:rsid w:val="00F51254"/>
    <w:rsid w:val="00F533DC"/>
    <w:rsid w:val="00F5379F"/>
    <w:rsid w:val="00F54C90"/>
    <w:rsid w:val="00F569CF"/>
    <w:rsid w:val="00F57829"/>
    <w:rsid w:val="00F64384"/>
    <w:rsid w:val="00F660AF"/>
    <w:rsid w:val="00F70364"/>
    <w:rsid w:val="00F7324F"/>
    <w:rsid w:val="00F9405F"/>
    <w:rsid w:val="00F96EE8"/>
    <w:rsid w:val="00FA0B35"/>
    <w:rsid w:val="00FA1F73"/>
    <w:rsid w:val="00FB3243"/>
    <w:rsid w:val="00FB59A0"/>
    <w:rsid w:val="00FB6D65"/>
    <w:rsid w:val="00FB784B"/>
    <w:rsid w:val="00FC0D9F"/>
    <w:rsid w:val="00FC1220"/>
    <w:rsid w:val="00FD06E5"/>
    <w:rsid w:val="00FD69A6"/>
    <w:rsid w:val="00FE3A6D"/>
    <w:rsid w:val="00FE4C23"/>
    <w:rsid w:val="00FE4F39"/>
    <w:rsid w:val="00FF1CA8"/>
    <w:rsid w:val="00FF4D32"/>
    <w:rsid w:val="00FF6D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4CF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F703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3D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qFormat/>
    <w:rsid w:val="00F70364"/>
    <w:pPr>
      <w:ind w:left="720"/>
      <w:contextualSpacing/>
    </w:pPr>
  </w:style>
  <w:style w:type="character" w:customStyle="1" w:styleId="Heading1Char">
    <w:name w:val="Heading 1 Char"/>
    <w:basedOn w:val="DefaultParagraphFont"/>
    <w:link w:val="Heading1"/>
    <w:uiPriority w:val="9"/>
    <w:rsid w:val="00F70364"/>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1676F2"/>
    <w:pPr>
      <w:tabs>
        <w:tab w:val="center" w:pos="4680"/>
        <w:tab w:val="right" w:pos="9360"/>
      </w:tabs>
    </w:pPr>
  </w:style>
  <w:style w:type="character" w:customStyle="1" w:styleId="FooterChar">
    <w:name w:val="Footer Char"/>
    <w:basedOn w:val="DefaultParagraphFont"/>
    <w:link w:val="Footer"/>
    <w:uiPriority w:val="99"/>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tofAppealforOntario">
    <w:name w:val="Court of Appeal for Ontario"/>
    <w:basedOn w:val="Normal"/>
    <w:semiHidden/>
    <w:qFormat/>
    <w:rsid w:val="007778A9"/>
    <w:pPr>
      <w:spacing w:after="360"/>
      <w:jc w:val="center"/>
    </w:pPr>
    <w:rPr>
      <w:rFonts w:ascii="Arial" w:hAnsi="Arial" w:cs="Arial"/>
      <w:sz w:val="30"/>
      <w:szCs w:val="24"/>
      <w:lang w:val="en-CA"/>
    </w:rPr>
  </w:style>
  <w:style w:type="paragraph" w:customStyle="1" w:styleId="Nameofcounsel">
    <w:name w:val="Name of counsel"/>
    <w:basedOn w:val="Normal"/>
    <w:semiHidden/>
    <w:qFormat/>
    <w:rsid w:val="007778A9"/>
    <w:pPr>
      <w:spacing w:before="240" w:after="240"/>
    </w:pPr>
    <w:rPr>
      <w:rFonts w:ascii="Arial" w:hAnsi="Arial" w:cs="Arial"/>
      <w:sz w:val="26"/>
      <w:szCs w:val="24"/>
      <w:lang w:val="en-CA"/>
    </w:rPr>
  </w:style>
  <w:style w:type="paragraph" w:customStyle="1" w:styleId="Heard">
    <w:name w:val="Heard"/>
    <w:basedOn w:val="Normal"/>
    <w:semiHidden/>
    <w:qFormat/>
    <w:rsid w:val="007778A9"/>
    <w:pPr>
      <w:spacing w:before="240" w:after="240"/>
    </w:pPr>
    <w:rPr>
      <w:rFonts w:ascii="Arial" w:hAnsi="Arial" w:cs="Arial"/>
      <w:sz w:val="26"/>
      <w:szCs w:val="24"/>
      <w:lang w:val="en-CA"/>
    </w:rPr>
  </w:style>
  <w:style w:type="paragraph" w:customStyle="1" w:styleId="Inthematterof">
    <w:name w:val="In the matter of"/>
    <w:basedOn w:val="Normal"/>
    <w:semiHidden/>
    <w:qFormat/>
    <w:rsid w:val="007778A9"/>
    <w:pPr>
      <w:jc w:val="center"/>
    </w:pPr>
    <w:rPr>
      <w:rFonts w:ascii="Arial" w:hAnsi="Arial" w:cs="Arial"/>
      <w:sz w:val="26"/>
      <w:szCs w:val="24"/>
      <w:lang w:val="en-CA"/>
    </w:rPr>
  </w:style>
  <w:style w:type="paragraph" w:customStyle="1" w:styleId="AParaNumbering">
    <w:name w:val="A. Para Numbering"/>
    <w:basedOn w:val="Normal"/>
    <w:link w:val="AParaNumberingChar"/>
    <w:autoRedefine/>
    <w:qFormat/>
    <w:rsid w:val="00A612A8"/>
    <w:pPr>
      <w:numPr>
        <w:numId w:val="11"/>
      </w:numPr>
      <w:spacing w:before="120" w:after="120" w:line="480" w:lineRule="auto"/>
      <w:ind w:left="0" w:firstLine="0"/>
      <w:jc w:val="both"/>
    </w:pPr>
    <w:rPr>
      <w:rFonts w:ascii="Arial" w:hAnsi="Arial"/>
      <w:color w:val="000000" w:themeColor="text1"/>
      <w:sz w:val="26"/>
      <w:shd w:val="clear" w:color="auto" w:fill="FFFFFF"/>
      <w:lang w:val="en-CA"/>
    </w:rPr>
  </w:style>
  <w:style w:type="paragraph" w:customStyle="1" w:styleId="CQuote">
    <w:name w:val="C. Quote"/>
    <w:basedOn w:val="Normal"/>
    <w:next w:val="AParaNumbering"/>
    <w:qFormat/>
    <w:rsid w:val="007778A9"/>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A612A8"/>
    <w:rPr>
      <w:rFonts w:ascii="Arial" w:eastAsia="Times New Roman" w:hAnsi="Arial" w:cs="Times New Roman"/>
      <w:color w:val="000000" w:themeColor="text1"/>
      <w:sz w:val="26"/>
      <w:szCs w:val="20"/>
    </w:rPr>
  </w:style>
  <w:style w:type="paragraph" w:styleId="BalloonText">
    <w:name w:val="Balloon Text"/>
    <w:basedOn w:val="Normal"/>
    <w:link w:val="BalloonTextChar"/>
    <w:uiPriority w:val="99"/>
    <w:semiHidden/>
    <w:unhideWhenUsed/>
    <w:rsid w:val="00B55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29E"/>
    <w:rPr>
      <w:rFonts w:ascii="Segoe UI" w:eastAsia="Times New Roman" w:hAnsi="Segoe UI" w:cs="Segoe UI"/>
      <w:sz w:val="18"/>
      <w:szCs w:val="18"/>
      <w:lang w:val="en-US"/>
    </w:rPr>
  </w:style>
  <w:style w:type="paragraph" w:customStyle="1" w:styleId="xmsonormal">
    <w:name w:val="x_msonormal"/>
    <w:basedOn w:val="Normal"/>
    <w:rsid w:val="003E55E3"/>
    <w:rPr>
      <w:rFonts w:ascii="Calibri" w:eastAsiaTheme="minorHAnsi" w:hAnsi="Calibri" w:cs="Calibri"/>
      <w:sz w:val="22"/>
      <w:szCs w:val="22"/>
      <w:lang w:val="en-CA" w:eastAsia="en-CA"/>
    </w:rPr>
  </w:style>
  <w:style w:type="paragraph" w:styleId="FootnoteText">
    <w:name w:val="footnote text"/>
    <w:basedOn w:val="Normal"/>
    <w:link w:val="FootnoteTextChar"/>
    <w:uiPriority w:val="99"/>
    <w:semiHidden/>
    <w:unhideWhenUsed/>
    <w:rsid w:val="006B0E00"/>
    <w:rPr>
      <w:sz w:val="20"/>
    </w:rPr>
  </w:style>
  <w:style w:type="character" w:customStyle="1" w:styleId="FootnoteTextChar">
    <w:name w:val="Footnote Text Char"/>
    <w:basedOn w:val="DefaultParagraphFont"/>
    <w:link w:val="FootnoteText"/>
    <w:uiPriority w:val="99"/>
    <w:semiHidden/>
    <w:rsid w:val="006B0E0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B0E00"/>
    <w:rPr>
      <w:vertAlign w:val="superscript"/>
    </w:rPr>
  </w:style>
  <w:style w:type="character" w:customStyle="1" w:styleId="Heading2Char">
    <w:name w:val="Heading 2 Char"/>
    <w:basedOn w:val="DefaultParagraphFont"/>
    <w:link w:val="Heading2"/>
    <w:uiPriority w:val="9"/>
    <w:rsid w:val="00983D32"/>
    <w:rPr>
      <w:rFonts w:asciiTheme="majorHAnsi" w:eastAsiaTheme="majorEastAsia" w:hAnsiTheme="majorHAnsi" w:cstheme="majorBidi"/>
      <w:color w:val="365F91" w:themeColor="accent1" w:themeShade="BF"/>
      <w:sz w:val="26"/>
      <w:szCs w:val="26"/>
      <w:lang w:val="en-US"/>
    </w:rPr>
  </w:style>
  <w:style w:type="character" w:styleId="CommentReference">
    <w:name w:val="annotation reference"/>
    <w:basedOn w:val="DefaultParagraphFont"/>
    <w:uiPriority w:val="99"/>
    <w:semiHidden/>
    <w:unhideWhenUsed/>
    <w:rsid w:val="00E21EC3"/>
    <w:rPr>
      <w:sz w:val="16"/>
      <w:szCs w:val="16"/>
    </w:rPr>
  </w:style>
  <w:style w:type="paragraph" w:styleId="CommentText">
    <w:name w:val="annotation text"/>
    <w:basedOn w:val="Normal"/>
    <w:link w:val="CommentTextChar"/>
    <w:uiPriority w:val="99"/>
    <w:unhideWhenUsed/>
    <w:rsid w:val="00E21EC3"/>
    <w:rPr>
      <w:sz w:val="20"/>
    </w:rPr>
  </w:style>
  <w:style w:type="character" w:customStyle="1" w:styleId="CommentTextChar">
    <w:name w:val="Comment Text Char"/>
    <w:basedOn w:val="DefaultParagraphFont"/>
    <w:link w:val="CommentText"/>
    <w:uiPriority w:val="99"/>
    <w:rsid w:val="00E21EC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1EC3"/>
    <w:rPr>
      <w:b/>
      <w:bCs/>
    </w:rPr>
  </w:style>
  <w:style w:type="character" w:customStyle="1" w:styleId="CommentSubjectChar">
    <w:name w:val="Comment Subject Char"/>
    <w:basedOn w:val="CommentTextChar"/>
    <w:link w:val="CommentSubject"/>
    <w:uiPriority w:val="99"/>
    <w:semiHidden/>
    <w:rsid w:val="00E21EC3"/>
    <w:rPr>
      <w:rFonts w:ascii="Times New Roman" w:eastAsia="Times New Roman" w:hAnsi="Times New Roman" w:cs="Times New Roman"/>
      <w:b/>
      <w:bCs/>
      <w:sz w:val="20"/>
      <w:szCs w:val="20"/>
      <w:lang w:val="en-US"/>
    </w:rPr>
  </w:style>
  <w:style w:type="character" w:customStyle="1" w:styleId="ssbf">
    <w:name w:val="ss_bf"/>
    <w:basedOn w:val="DefaultParagraphFont"/>
    <w:rsid w:val="00093663"/>
  </w:style>
  <w:style w:type="paragraph" w:styleId="NormalWeb">
    <w:name w:val="Normal (Web)"/>
    <w:basedOn w:val="Normal"/>
    <w:uiPriority w:val="99"/>
    <w:unhideWhenUsed/>
    <w:rsid w:val="00093663"/>
    <w:pPr>
      <w:spacing w:before="100" w:beforeAutospacing="1" w:after="100" w:afterAutospacing="1"/>
    </w:pPr>
    <w:rPr>
      <w:szCs w:val="24"/>
    </w:rPr>
  </w:style>
  <w:style w:type="character" w:customStyle="1" w:styleId="reflex">
    <w:name w:val="reflex"/>
    <w:basedOn w:val="DefaultParagraphFont"/>
    <w:rsid w:val="00F57829"/>
  </w:style>
  <w:style w:type="character" w:customStyle="1" w:styleId="reflex3-block">
    <w:name w:val="reflex3-block"/>
    <w:basedOn w:val="DefaultParagraphFont"/>
    <w:rsid w:val="00F57829"/>
  </w:style>
  <w:style w:type="character" w:styleId="Hyperlink">
    <w:name w:val="Hyperlink"/>
    <w:basedOn w:val="DefaultParagraphFont"/>
    <w:uiPriority w:val="99"/>
    <w:unhideWhenUsed/>
    <w:rsid w:val="00F57829"/>
    <w:rPr>
      <w:color w:val="0000FF"/>
      <w:u w:val="single"/>
    </w:rPr>
  </w:style>
  <w:style w:type="character" w:customStyle="1" w:styleId="reflex3-alt">
    <w:name w:val="reflex3-alt"/>
    <w:basedOn w:val="DefaultParagraphFont"/>
    <w:rsid w:val="00F57829"/>
  </w:style>
  <w:style w:type="paragraph" w:customStyle="1" w:styleId="scjnormal">
    <w:name w:val="scjnormal"/>
    <w:basedOn w:val="Normal"/>
    <w:rsid w:val="00D91D7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9248">
      <w:bodyDiv w:val="1"/>
      <w:marLeft w:val="0"/>
      <w:marRight w:val="0"/>
      <w:marTop w:val="0"/>
      <w:marBottom w:val="0"/>
      <w:divBdr>
        <w:top w:val="none" w:sz="0" w:space="0" w:color="auto"/>
        <w:left w:val="none" w:sz="0" w:space="0" w:color="auto"/>
        <w:bottom w:val="none" w:sz="0" w:space="0" w:color="auto"/>
        <w:right w:val="none" w:sz="0" w:space="0" w:color="auto"/>
      </w:divBdr>
    </w:div>
    <w:div w:id="68617329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80215373">
      <w:bodyDiv w:val="1"/>
      <w:marLeft w:val="0"/>
      <w:marRight w:val="0"/>
      <w:marTop w:val="0"/>
      <w:marBottom w:val="0"/>
      <w:divBdr>
        <w:top w:val="none" w:sz="0" w:space="0" w:color="auto"/>
        <w:left w:val="none" w:sz="0" w:space="0" w:color="auto"/>
        <w:bottom w:val="none" w:sz="0" w:space="0" w:color="auto"/>
        <w:right w:val="none" w:sz="0" w:space="0" w:color="auto"/>
      </w:divBdr>
    </w:div>
    <w:div w:id="10092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nlii.org/en/bc/bcsc/doc/2014/2014bcsc653/2014bcsc653.html" TargetMode="External"/><Relationship Id="rId2" Type="http://schemas.openxmlformats.org/officeDocument/2006/relationships/hyperlink" Target="https://www.canlii.org/en/yk/ykca/doc/2006/2006ykca14/2006ykca14.html" TargetMode="External"/><Relationship Id="rId1" Type="http://schemas.openxmlformats.org/officeDocument/2006/relationships/hyperlink" Target="https://www.canlii.org/en/yk/ykca/doc/2006/2006ykca14/2006ykca14.html" TargetMode="External"/><Relationship Id="rId6" Type="http://schemas.openxmlformats.org/officeDocument/2006/relationships/hyperlink" Target="https://www.canlii.org/en/bc/bcsc/doc/2012/2012bcsc440/2012bcsc440.html" TargetMode="External"/><Relationship Id="rId5" Type="http://schemas.openxmlformats.org/officeDocument/2006/relationships/hyperlink" Target="https://www.canlii.org/en/bc/bcsc/doc/2012/2012bcsc440/2012bcsc440.html" TargetMode="External"/><Relationship Id="rId4" Type="http://schemas.openxmlformats.org/officeDocument/2006/relationships/hyperlink" Target="https://www.canlii.org/en/bc/bcsc/doc/2014/2014bcsc653/2014bcsc6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2304</Words>
  <Characters>13138</Characters>
  <Application>Microsoft Office Word</Application>
  <DocSecurity>4</DocSecurity>
  <Lines>109</Lines>
  <Paragraphs>30</Paragraphs>
  <ScaleCrop>false</ScaleCrop>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2021-01-14T14:32:00Z</dcterms:created>
  <dcterms:modified xsi:type="dcterms:W3CDTF">2021-01-14T14:32:00Z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2020-12-31T15:35:18.1218920Z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4e5c6b0b-b153-45a5-8691-bec729a86b8a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