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8C2" w:rsidRPr="002B1E0B" w:rsidRDefault="004808C2" w:rsidP="004808C2">
      <w:pPr>
        <w:shd w:val="clear" w:color="auto" w:fill="FFFFFF"/>
        <w:spacing w:before="1320"/>
        <w:jc w:val="center"/>
        <w:rPr>
          <w:b/>
          <w:szCs w:val="26"/>
        </w:rPr>
      </w:pPr>
      <w:bookmarkStart w:id="0" w:name="_GoBack"/>
      <w:bookmarkEnd w:id="0"/>
      <w:r>
        <w:rPr>
          <w:b/>
          <w:color w:val="000000" w:themeColor="text1"/>
          <w:szCs w:val="26"/>
        </w:rPr>
        <w:t>CONSEIL DE LA MAGISTRATURE DE L’</w:t>
      </w:r>
      <w:r w:rsidRPr="002B1E0B">
        <w:rPr>
          <w:b/>
          <w:color w:val="000000" w:themeColor="text1"/>
          <w:szCs w:val="26"/>
        </w:rPr>
        <w:t xml:space="preserve">ONTARIO </w:t>
      </w:r>
    </w:p>
    <w:p w:rsidR="004808C2" w:rsidRPr="004808C2" w:rsidRDefault="004808C2" w:rsidP="003B014E">
      <w:pPr>
        <w:spacing w:before="960"/>
        <w:jc w:val="center"/>
        <w:rPr>
          <w:szCs w:val="26"/>
        </w:rPr>
      </w:pPr>
      <w:r w:rsidRPr="004808C2">
        <w:rPr>
          <w:b/>
          <w:szCs w:val="26"/>
        </w:rPr>
        <w:t>MISE EN GARDE</w:t>
      </w:r>
      <w:r w:rsidRPr="004808C2">
        <w:rPr>
          <w:szCs w:val="26"/>
        </w:rPr>
        <w:t xml:space="preserve"> </w:t>
      </w:r>
    </w:p>
    <w:p w:rsidR="004808C2" w:rsidRDefault="004808C2" w:rsidP="004808C2">
      <w:pPr>
        <w:spacing w:line="432" w:lineRule="atLeast"/>
        <w:jc w:val="both"/>
        <w:rPr>
          <w:szCs w:val="26"/>
        </w:rPr>
      </w:pPr>
      <w:r w:rsidRPr="000C135B">
        <w:rPr>
          <w:szCs w:val="26"/>
        </w:rPr>
        <w:t>Le comité d’audience ayant ins</w:t>
      </w:r>
      <w:r>
        <w:rPr>
          <w:szCs w:val="26"/>
        </w:rPr>
        <w:t xml:space="preserve">truit la présente affaire en vertu de l’article 51.6 de la </w:t>
      </w:r>
      <w:r>
        <w:rPr>
          <w:i/>
          <w:szCs w:val="26"/>
        </w:rPr>
        <w:t xml:space="preserve">Loi sur les tribunaux judiciaires </w:t>
      </w:r>
      <w:r>
        <w:rPr>
          <w:szCs w:val="26"/>
        </w:rPr>
        <w:t>ordonne que l’avis suivant soit joint au dossier :</w:t>
      </w:r>
    </w:p>
    <w:p w:rsidR="004808C2" w:rsidRPr="000C135B" w:rsidRDefault="004808C2" w:rsidP="004808C2">
      <w:pPr>
        <w:shd w:val="clear" w:color="auto" w:fill="FFFFFF"/>
        <w:spacing w:before="240" w:after="240" w:line="432" w:lineRule="atLeast"/>
        <w:ind w:left="567" w:right="856"/>
        <w:jc w:val="both"/>
        <w:rPr>
          <w:szCs w:val="26"/>
        </w:rPr>
      </w:pPr>
      <w:r>
        <w:rPr>
          <w:szCs w:val="26"/>
        </w:rPr>
        <w:t xml:space="preserve">Le comité d’audience a </w:t>
      </w:r>
      <w:r w:rsidRPr="000C135B">
        <w:rPr>
          <w:color w:val="000000"/>
          <w:szCs w:val="26"/>
        </w:rPr>
        <w:t>interdit</w:t>
      </w:r>
      <w:r>
        <w:rPr>
          <w:szCs w:val="26"/>
        </w:rPr>
        <w:t xml:space="preserve">, par ordonnance, la publication de </w:t>
      </w:r>
      <w:r w:rsidR="0099197C">
        <w:rPr>
          <w:szCs w:val="26"/>
        </w:rPr>
        <w:t xml:space="preserve">tout </w:t>
      </w:r>
      <w:r>
        <w:rPr>
          <w:szCs w:val="26"/>
        </w:rPr>
        <w:t>renseignement qui</w:t>
      </w:r>
      <w:r w:rsidR="005F20D4">
        <w:rPr>
          <w:szCs w:val="26"/>
        </w:rPr>
        <w:t xml:space="preserve"> divulgue </w:t>
      </w:r>
      <w:r>
        <w:rPr>
          <w:szCs w:val="26"/>
        </w:rPr>
        <w:t xml:space="preserve">ou </w:t>
      </w:r>
      <w:r w:rsidR="0099197C">
        <w:rPr>
          <w:szCs w:val="26"/>
        </w:rPr>
        <w:t xml:space="preserve">tend à </w:t>
      </w:r>
      <w:r w:rsidR="005F20D4">
        <w:rPr>
          <w:szCs w:val="26"/>
        </w:rPr>
        <w:t>divulguer l’identité de</w:t>
      </w:r>
      <w:r>
        <w:rPr>
          <w:szCs w:val="26"/>
        </w:rPr>
        <w:t xml:space="preserve"> </w:t>
      </w:r>
      <w:r w:rsidR="0099197C">
        <w:rPr>
          <w:szCs w:val="26"/>
        </w:rPr>
        <w:t xml:space="preserve">l’enfant ou </w:t>
      </w:r>
      <w:r w:rsidR="005F20D4">
        <w:rPr>
          <w:szCs w:val="26"/>
        </w:rPr>
        <w:t>d</w:t>
      </w:r>
      <w:r>
        <w:rPr>
          <w:szCs w:val="26"/>
        </w:rPr>
        <w:t xml:space="preserve">es enfants ou </w:t>
      </w:r>
      <w:r w:rsidR="005F20D4">
        <w:rPr>
          <w:szCs w:val="26"/>
        </w:rPr>
        <w:t xml:space="preserve">de </w:t>
      </w:r>
      <w:r>
        <w:rPr>
          <w:szCs w:val="26"/>
        </w:rPr>
        <w:t xml:space="preserve">tout membre de la famille </w:t>
      </w:r>
      <w:r w:rsidR="0099197C">
        <w:rPr>
          <w:szCs w:val="26"/>
        </w:rPr>
        <w:t xml:space="preserve">mêlés à </w:t>
      </w:r>
      <w:r>
        <w:rPr>
          <w:szCs w:val="26"/>
        </w:rPr>
        <w:t xml:space="preserve">une affaire </w:t>
      </w:r>
      <w:r w:rsidR="0099197C">
        <w:rPr>
          <w:szCs w:val="26"/>
        </w:rPr>
        <w:t xml:space="preserve">de </w:t>
      </w:r>
      <w:r>
        <w:rPr>
          <w:szCs w:val="26"/>
        </w:rPr>
        <w:t>protection de l’enfance.</w:t>
      </w:r>
    </w:p>
    <w:p w:rsidR="004808C2" w:rsidRPr="000C135B" w:rsidRDefault="004808C2" w:rsidP="004808C2">
      <w:pPr>
        <w:rPr>
          <w:b/>
          <w:szCs w:val="26"/>
        </w:rPr>
      </w:pPr>
    </w:p>
    <w:p w:rsidR="004808C2" w:rsidRPr="004808C2" w:rsidRDefault="004808C2" w:rsidP="004808C2">
      <w:pPr>
        <w:jc w:val="both"/>
        <w:rPr>
          <w:szCs w:val="26"/>
        </w:rPr>
      </w:pPr>
    </w:p>
    <w:p w:rsidR="004808C2" w:rsidRPr="004808C2" w:rsidRDefault="004808C2" w:rsidP="004808C2">
      <w:pPr>
        <w:rPr>
          <w:szCs w:val="26"/>
        </w:rPr>
        <w:sectPr w:rsidR="004808C2" w:rsidRPr="004808C2" w:rsidSect="00FB278C">
          <w:footerReference w:type="default" r:id="rId8"/>
          <w:pgSz w:w="12240" w:h="15840"/>
          <w:pgMar w:top="1440" w:right="1440" w:bottom="1440" w:left="1440" w:header="708" w:footer="708" w:gutter="0"/>
          <w:pgNumType w:start="0"/>
          <w:cols w:space="708"/>
          <w:titlePg/>
          <w:docGrid w:linePitch="360"/>
        </w:sectPr>
      </w:pPr>
      <w:r w:rsidRPr="004808C2">
        <w:rPr>
          <w:szCs w:val="26"/>
        </w:rPr>
        <w:br w:type="page"/>
      </w:r>
    </w:p>
    <w:p w:rsidR="004808C2" w:rsidRPr="004808C2" w:rsidRDefault="004808C2" w:rsidP="004808C2">
      <w:pPr>
        <w:rPr>
          <w:szCs w:val="26"/>
        </w:rPr>
      </w:pPr>
    </w:p>
    <w:p w:rsidR="004808C2" w:rsidRPr="002B1E0B" w:rsidRDefault="004808C2" w:rsidP="004808C2">
      <w:pPr>
        <w:pStyle w:val="CourtofAppealforOntario"/>
      </w:pPr>
      <w:r>
        <w:rPr>
          <w:b/>
          <w:color w:val="000000" w:themeColor="text1"/>
          <w:szCs w:val="26"/>
        </w:rPr>
        <w:t>CONSEIL DE LA MAGISTRATURE DE L’</w:t>
      </w:r>
      <w:r w:rsidRPr="002B1E0B">
        <w:rPr>
          <w:b/>
          <w:color w:val="000000" w:themeColor="text1"/>
          <w:szCs w:val="26"/>
        </w:rPr>
        <w:t>ONTARIO</w:t>
      </w:r>
    </w:p>
    <w:p w:rsidR="004808C2" w:rsidRPr="002B1E0B" w:rsidRDefault="004808C2" w:rsidP="004808C2">
      <w:pPr>
        <w:pStyle w:val="Inthematterof"/>
      </w:pPr>
      <w:r w:rsidRPr="002B1E0B">
        <w:rPr>
          <w:b/>
        </w:rPr>
        <w:t xml:space="preserve">DANS L’AFFAIRE D’UNE AUDIENCE EN VERTU DE L’ARTICLE 51.6 DE LA </w:t>
      </w:r>
      <w:r w:rsidRPr="002B1E0B">
        <w:rPr>
          <w:b/>
          <w:i/>
        </w:rPr>
        <w:t>LOI SUR LES TRIBUNAUX JUDICIAIRES</w:t>
      </w:r>
      <w:r w:rsidRPr="002B1E0B">
        <w:rPr>
          <w:b/>
        </w:rPr>
        <w:t>, L.R.O. 1990, ch</w:t>
      </w:r>
      <w:r w:rsidR="005F20D4">
        <w:rPr>
          <w:b/>
        </w:rPr>
        <w:t>ap</w:t>
      </w:r>
      <w:r w:rsidRPr="002B1E0B">
        <w:rPr>
          <w:b/>
        </w:rPr>
        <w:t>. C. 43, dans sa version modifiée</w:t>
      </w:r>
    </w:p>
    <w:p w:rsidR="004808C2" w:rsidRPr="002B1E0B" w:rsidRDefault="004808C2" w:rsidP="004808C2">
      <w:pPr>
        <w:pStyle w:val="Inthematterof"/>
      </w:pPr>
      <w:r w:rsidRPr="002B1E0B">
        <w:t xml:space="preserve"> </w:t>
      </w:r>
    </w:p>
    <w:p w:rsidR="004808C2" w:rsidRDefault="004808C2" w:rsidP="004808C2">
      <w:pPr>
        <w:pStyle w:val="Inthematterof"/>
        <w:rPr>
          <w:b/>
        </w:rPr>
      </w:pPr>
      <w:r>
        <w:rPr>
          <w:b/>
        </w:rPr>
        <w:t>C</w:t>
      </w:r>
      <w:r w:rsidRPr="002B1E0B">
        <w:rPr>
          <w:b/>
        </w:rPr>
        <w:t>oncern</w:t>
      </w:r>
      <w:r>
        <w:rPr>
          <w:b/>
        </w:rPr>
        <w:t>ant une pla</w:t>
      </w:r>
      <w:r w:rsidRPr="002B1E0B">
        <w:rPr>
          <w:b/>
        </w:rPr>
        <w:t>in</w:t>
      </w:r>
      <w:r>
        <w:rPr>
          <w:b/>
        </w:rPr>
        <w:t xml:space="preserve">te sur la conduite </w:t>
      </w:r>
    </w:p>
    <w:p w:rsidR="004808C2" w:rsidRPr="002B1E0B" w:rsidRDefault="005F20D4" w:rsidP="004808C2">
      <w:pPr>
        <w:pStyle w:val="Inthematterof"/>
        <w:rPr>
          <w:b/>
        </w:rPr>
      </w:pPr>
      <w:proofErr w:type="gramStart"/>
      <w:r>
        <w:rPr>
          <w:b/>
        </w:rPr>
        <w:t>du</w:t>
      </w:r>
      <w:proofErr w:type="gramEnd"/>
      <w:r w:rsidR="004808C2">
        <w:rPr>
          <w:b/>
        </w:rPr>
        <w:t xml:space="preserve"> juge </w:t>
      </w:r>
      <w:r w:rsidR="004808C2" w:rsidRPr="002B1E0B">
        <w:rPr>
          <w:b/>
        </w:rPr>
        <w:t xml:space="preserve">John Keast </w:t>
      </w:r>
    </w:p>
    <w:p w:rsidR="004808C2" w:rsidRPr="002B1E0B" w:rsidRDefault="004808C2" w:rsidP="004808C2">
      <w:pPr>
        <w:pStyle w:val="Nameofcounsel"/>
        <w:spacing w:before="0" w:after="0"/>
        <w:rPr>
          <w:b/>
        </w:rPr>
      </w:pPr>
      <w:r>
        <w:rPr>
          <w:b/>
        </w:rPr>
        <w:t>Devant </w:t>
      </w:r>
      <w:r w:rsidRPr="002B1E0B">
        <w:rPr>
          <w:b/>
        </w:rPr>
        <w:t xml:space="preserve">: </w:t>
      </w:r>
    </w:p>
    <w:p w:rsidR="004808C2" w:rsidRPr="002B1E0B" w:rsidRDefault="004808C2" w:rsidP="004808C2">
      <w:pPr>
        <w:pStyle w:val="Nameofcounsel"/>
        <w:spacing w:before="0" w:after="0"/>
        <w:rPr>
          <w:b/>
        </w:rPr>
      </w:pPr>
    </w:p>
    <w:p w:rsidR="004808C2" w:rsidRPr="0067089C" w:rsidRDefault="004808C2" w:rsidP="004808C2">
      <w:pPr>
        <w:pStyle w:val="Nameofcounsel"/>
        <w:spacing w:before="0" w:after="0"/>
      </w:pPr>
      <w:r w:rsidRPr="0067089C">
        <w:t xml:space="preserve">La juge Eileen E. </w:t>
      </w:r>
      <w:proofErr w:type="spellStart"/>
      <w:r w:rsidRPr="0067089C">
        <w:t>Gillese</w:t>
      </w:r>
      <w:proofErr w:type="spellEnd"/>
      <w:r w:rsidRPr="0067089C">
        <w:t>, présidente</w:t>
      </w:r>
    </w:p>
    <w:p w:rsidR="004808C2" w:rsidRPr="0067089C" w:rsidRDefault="004808C2" w:rsidP="004808C2">
      <w:pPr>
        <w:pStyle w:val="Nameofcounsel"/>
        <w:spacing w:before="0" w:after="0"/>
      </w:pPr>
      <w:r w:rsidRPr="0067089C">
        <w:t>Cour d’appel de l’Ontario</w:t>
      </w:r>
    </w:p>
    <w:p w:rsidR="004808C2" w:rsidRPr="0067089C" w:rsidRDefault="004808C2" w:rsidP="004808C2">
      <w:pPr>
        <w:pStyle w:val="Nameofcounsel"/>
        <w:spacing w:before="0" w:after="0"/>
      </w:pPr>
    </w:p>
    <w:p w:rsidR="004808C2" w:rsidRPr="0067089C" w:rsidRDefault="004808C2" w:rsidP="004808C2">
      <w:pPr>
        <w:pStyle w:val="Nameofcounsel"/>
        <w:spacing w:before="0" w:after="0"/>
      </w:pPr>
      <w:r w:rsidRPr="0067089C">
        <w:t>La juge Lise S. Parent</w:t>
      </w:r>
    </w:p>
    <w:p w:rsidR="004808C2" w:rsidRPr="0067089C" w:rsidRDefault="004808C2" w:rsidP="004808C2">
      <w:pPr>
        <w:pStyle w:val="Nameofcounsel"/>
        <w:spacing w:before="0" w:after="0"/>
      </w:pPr>
      <w:r w:rsidRPr="0067089C">
        <w:t xml:space="preserve">Cour de justice de l’Ontario </w:t>
      </w:r>
    </w:p>
    <w:p w:rsidR="004808C2" w:rsidRPr="0067089C" w:rsidRDefault="004808C2" w:rsidP="004808C2">
      <w:pPr>
        <w:pStyle w:val="Nameofcounsel"/>
        <w:spacing w:before="0" w:after="0"/>
        <w:ind w:left="720"/>
      </w:pPr>
    </w:p>
    <w:p w:rsidR="004808C2" w:rsidRPr="0067089C" w:rsidRDefault="004808C2" w:rsidP="004808C2">
      <w:pPr>
        <w:pStyle w:val="Nameofcounsel"/>
        <w:spacing w:before="0" w:after="0"/>
      </w:pPr>
      <w:r w:rsidRPr="0067089C">
        <w:t>M.</w:t>
      </w:r>
      <w:r>
        <w:t> </w:t>
      </w:r>
      <w:r w:rsidRPr="0067089C">
        <w:t xml:space="preserve">Christopher D. </w:t>
      </w:r>
      <w:proofErr w:type="spellStart"/>
      <w:r w:rsidRPr="0067089C">
        <w:t>Bredt</w:t>
      </w:r>
      <w:proofErr w:type="spellEnd"/>
    </w:p>
    <w:p w:rsidR="004808C2" w:rsidRPr="0067089C" w:rsidRDefault="004808C2" w:rsidP="004808C2">
      <w:pPr>
        <w:pStyle w:val="Nameofcounsel"/>
        <w:spacing w:before="0" w:after="0"/>
      </w:pPr>
      <w:r>
        <w:t xml:space="preserve">Avocat </w:t>
      </w:r>
    </w:p>
    <w:p w:rsidR="004808C2" w:rsidRPr="0067089C" w:rsidRDefault="004808C2" w:rsidP="004808C2">
      <w:pPr>
        <w:pStyle w:val="Nameofcounsel"/>
        <w:spacing w:before="0" w:after="0"/>
        <w:ind w:left="720"/>
      </w:pPr>
    </w:p>
    <w:p w:rsidR="004808C2" w:rsidRPr="0067089C" w:rsidRDefault="004808C2" w:rsidP="004808C2">
      <w:pPr>
        <w:pStyle w:val="Nameofcounsel"/>
        <w:spacing w:before="0" w:after="0"/>
      </w:pPr>
      <w:r w:rsidRPr="0067089C">
        <w:t>M</w:t>
      </w:r>
      <w:r w:rsidRPr="0067089C">
        <w:rPr>
          <w:vertAlign w:val="superscript"/>
        </w:rPr>
        <w:t>me</w:t>
      </w:r>
      <w:r w:rsidRPr="0067089C">
        <w:t xml:space="preserve"> Judith A. </w:t>
      </w:r>
      <w:proofErr w:type="spellStart"/>
      <w:r w:rsidRPr="0067089C">
        <w:t>LaRocque</w:t>
      </w:r>
      <w:proofErr w:type="spellEnd"/>
    </w:p>
    <w:p w:rsidR="004808C2" w:rsidRPr="0067089C" w:rsidRDefault="004808C2" w:rsidP="004808C2">
      <w:pPr>
        <w:pStyle w:val="Nameofcounsel"/>
        <w:spacing w:before="0" w:after="0"/>
      </w:pPr>
      <w:r>
        <w:t>Membre du public</w:t>
      </w:r>
    </w:p>
    <w:p w:rsidR="004808C2" w:rsidRPr="002B1E0B" w:rsidRDefault="004808C2" w:rsidP="004808C2">
      <w:pPr>
        <w:pStyle w:val="Nameofcounsel"/>
        <w:spacing w:before="0" w:after="0"/>
        <w:ind w:firstLine="720"/>
        <w:rPr>
          <w:b/>
        </w:rPr>
      </w:pPr>
      <w:r w:rsidRPr="002B1E0B">
        <w:rPr>
          <w:b/>
        </w:rPr>
        <w:tab/>
      </w:r>
    </w:p>
    <w:p w:rsidR="004808C2" w:rsidRPr="0067089C" w:rsidRDefault="00FA0523" w:rsidP="004808C2">
      <w:pPr>
        <w:pStyle w:val="Nameofcounsel"/>
        <w:rPr>
          <w:b/>
        </w:rPr>
      </w:pPr>
      <w:r>
        <w:rPr>
          <w:b/>
        </w:rPr>
        <w:t>C</w:t>
      </w:r>
      <w:r w:rsidR="00E034D7">
        <w:rPr>
          <w:b/>
        </w:rPr>
        <w:t>omité</w:t>
      </w:r>
      <w:r w:rsidR="004808C2" w:rsidRPr="0067089C">
        <w:rPr>
          <w:b/>
        </w:rPr>
        <w:t xml:space="preserve"> d’audience du Conseil de la magistrature de </w:t>
      </w:r>
      <w:r w:rsidR="004808C2">
        <w:rPr>
          <w:b/>
        </w:rPr>
        <w:t>l’</w:t>
      </w:r>
      <w:r w:rsidR="004808C2" w:rsidRPr="0067089C">
        <w:rPr>
          <w:b/>
        </w:rPr>
        <w:t>Ontario</w:t>
      </w:r>
    </w:p>
    <w:p w:rsidR="004808C2" w:rsidRPr="002B1E0B" w:rsidRDefault="004808C2" w:rsidP="004808C2">
      <w:pPr>
        <w:pStyle w:val="Nameofcounsel"/>
        <w:jc w:val="center"/>
        <w:rPr>
          <w:b/>
          <w:sz w:val="32"/>
          <w:szCs w:val="32"/>
        </w:rPr>
      </w:pPr>
      <w:r>
        <w:rPr>
          <w:b/>
          <w:sz w:val="32"/>
          <w:szCs w:val="32"/>
        </w:rPr>
        <w:t xml:space="preserve">MOTIFS DE LA DÉCISION </w:t>
      </w:r>
      <w:r w:rsidRPr="002B1E0B">
        <w:rPr>
          <w:b/>
          <w:sz w:val="32"/>
          <w:szCs w:val="32"/>
        </w:rPr>
        <w:t xml:space="preserve">– </w:t>
      </w:r>
    </w:p>
    <w:p w:rsidR="004808C2" w:rsidRPr="002B1E0B" w:rsidRDefault="004808C2" w:rsidP="004808C2">
      <w:pPr>
        <w:pStyle w:val="Nameofcounsel"/>
        <w:jc w:val="center"/>
        <w:rPr>
          <w:b/>
          <w:sz w:val="32"/>
          <w:szCs w:val="32"/>
        </w:rPr>
      </w:pPr>
      <w:r>
        <w:rPr>
          <w:b/>
          <w:sz w:val="32"/>
          <w:szCs w:val="32"/>
        </w:rPr>
        <w:t xml:space="preserve">Indemnisation pour les frais </w:t>
      </w:r>
      <w:r>
        <w:rPr>
          <w:b/>
          <w:sz w:val="32"/>
          <w:szCs w:val="32"/>
        </w:rPr>
        <w:br/>
        <w:t>pour services juridiques</w:t>
      </w:r>
    </w:p>
    <w:p w:rsidR="004808C2" w:rsidRPr="002B1E0B" w:rsidRDefault="004808C2" w:rsidP="004808C2">
      <w:pPr>
        <w:pStyle w:val="Nameofcounsel"/>
        <w:rPr>
          <w:b/>
          <w:szCs w:val="26"/>
        </w:rPr>
      </w:pPr>
      <w:r>
        <w:rPr>
          <w:b/>
          <w:szCs w:val="26"/>
        </w:rPr>
        <w:t>Avocats </w:t>
      </w:r>
      <w:r w:rsidRPr="002B1E0B">
        <w:rPr>
          <w:b/>
          <w:szCs w:val="26"/>
        </w:rPr>
        <w:t>:</w:t>
      </w:r>
    </w:p>
    <w:p w:rsidR="004808C2" w:rsidRPr="002B1E0B" w:rsidRDefault="004808C2" w:rsidP="004808C2">
      <w:pPr>
        <w:pStyle w:val="Nameofcounsel"/>
        <w:spacing w:before="0" w:after="0"/>
        <w:rPr>
          <w:szCs w:val="26"/>
        </w:rPr>
      </w:pPr>
      <w:r w:rsidRPr="002B1E0B">
        <w:rPr>
          <w:szCs w:val="26"/>
        </w:rPr>
        <w:t>M</w:t>
      </w:r>
      <w:r w:rsidRPr="0067089C">
        <w:rPr>
          <w:szCs w:val="26"/>
          <w:vertAlign w:val="superscript"/>
        </w:rPr>
        <w:t>me</w:t>
      </w:r>
      <w:r w:rsidRPr="002B1E0B">
        <w:rPr>
          <w:szCs w:val="26"/>
        </w:rPr>
        <w:t xml:space="preserve"> Marie Henein, M.</w:t>
      </w:r>
      <w:r>
        <w:rPr>
          <w:szCs w:val="26"/>
        </w:rPr>
        <w:t> </w:t>
      </w:r>
      <w:r w:rsidRPr="002B1E0B">
        <w:rPr>
          <w:szCs w:val="26"/>
        </w:rPr>
        <w:t xml:space="preserve">Scott Hutchison </w:t>
      </w:r>
      <w:r>
        <w:rPr>
          <w:szCs w:val="26"/>
        </w:rPr>
        <w:t>et</w:t>
      </w:r>
      <w:r w:rsidRPr="002B1E0B">
        <w:rPr>
          <w:szCs w:val="26"/>
        </w:rPr>
        <w:t xml:space="preserve"> M</w:t>
      </w:r>
      <w:r w:rsidRPr="0067089C">
        <w:rPr>
          <w:szCs w:val="26"/>
          <w:vertAlign w:val="superscript"/>
        </w:rPr>
        <w:t>me</w:t>
      </w:r>
      <w:r w:rsidRPr="002B1E0B">
        <w:rPr>
          <w:szCs w:val="26"/>
        </w:rPr>
        <w:t xml:space="preserve"> Christine Mainville,</w:t>
      </w:r>
    </w:p>
    <w:p w:rsidR="004808C2" w:rsidRPr="002B1E0B" w:rsidRDefault="004808C2" w:rsidP="004808C2">
      <w:pPr>
        <w:pStyle w:val="Nameofcounsel"/>
        <w:spacing w:before="0" w:after="0"/>
        <w:rPr>
          <w:szCs w:val="26"/>
        </w:rPr>
      </w:pPr>
      <w:r>
        <w:rPr>
          <w:szCs w:val="26"/>
        </w:rPr>
        <w:t>Avocats chargés de la présentation</w:t>
      </w:r>
      <w:r w:rsidRPr="002B1E0B">
        <w:rPr>
          <w:szCs w:val="26"/>
        </w:rPr>
        <w:t xml:space="preserve"> </w:t>
      </w:r>
    </w:p>
    <w:p w:rsidR="004808C2" w:rsidRPr="00F4128F" w:rsidRDefault="004808C2" w:rsidP="004808C2">
      <w:pPr>
        <w:pStyle w:val="Nameofcounsel"/>
        <w:rPr>
          <w:szCs w:val="26"/>
        </w:rPr>
      </w:pPr>
      <w:r w:rsidRPr="00F4128F">
        <w:rPr>
          <w:szCs w:val="26"/>
        </w:rPr>
        <w:t xml:space="preserve">M. Paul Stern, avocat du juge Keast </w:t>
      </w:r>
    </w:p>
    <w:p w:rsidR="004808C2" w:rsidRPr="00210189" w:rsidRDefault="004808C2" w:rsidP="004808C2">
      <w:pPr>
        <w:pStyle w:val="Heard"/>
        <w:rPr>
          <w:szCs w:val="26"/>
        </w:rPr>
      </w:pPr>
      <w:r w:rsidRPr="00210189">
        <w:rPr>
          <w:szCs w:val="26"/>
        </w:rPr>
        <w:t xml:space="preserve">M. Chris </w:t>
      </w:r>
      <w:proofErr w:type="spellStart"/>
      <w:r w:rsidRPr="00210189">
        <w:rPr>
          <w:szCs w:val="26"/>
        </w:rPr>
        <w:t>Kinnear</w:t>
      </w:r>
      <w:proofErr w:type="spellEnd"/>
      <w:r w:rsidRPr="00210189">
        <w:rPr>
          <w:szCs w:val="26"/>
        </w:rPr>
        <w:t xml:space="preserve"> Hunter, avocat de la Société d’aide à l’enfance des districts de Sudbury e</w:t>
      </w:r>
      <w:r>
        <w:rPr>
          <w:szCs w:val="26"/>
        </w:rPr>
        <w:t>t de</w:t>
      </w:r>
      <w:r w:rsidRPr="00210189">
        <w:rPr>
          <w:szCs w:val="26"/>
        </w:rPr>
        <w:t xml:space="preserve"> Manitoulin</w:t>
      </w:r>
    </w:p>
    <w:p w:rsidR="004808C2" w:rsidRPr="002B1E0B" w:rsidRDefault="004808C2" w:rsidP="004808C2">
      <w:pPr>
        <w:pStyle w:val="Heard"/>
        <w:rPr>
          <w:szCs w:val="26"/>
        </w:rPr>
      </w:pPr>
      <w:r>
        <w:rPr>
          <w:szCs w:val="26"/>
        </w:rPr>
        <w:t>M. </w:t>
      </w:r>
      <w:r w:rsidRPr="002B1E0B">
        <w:rPr>
          <w:szCs w:val="26"/>
        </w:rPr>
        <w:t xml:space="preserve">Sean A. </w:t>
      </w:r>
      <w:proofErr w:type="spellStart"/>
      <w:r w:rsidRPr="002B1E0B">
        <w:rPr>
          <w:szCs w:val="26"/>
        </w:rPr>
        <w:t>Moreman</w:t>
      </w:r>
      <w:proofErr w:type="spellEnd"/>
      <w:r w:rsidRPr="002B1E0B">
        <w:rPr>
          <w:szCs w:val="26"/>
        </w:rPr>
        <w:t xml:space="preserve">, </w:t>
      </w:r>
      <w:r>
        <w:rPr>
          <w:szCs w:val="26"/>
        </w:rPr>
        <w:t>avocat de la Société Radio-Canada</w:t>
      </w:r>
    </w:p>
    <w:p w:rsidR="004808C2" w:rsidRPr="00210189" w:rsidRDefault="004808C2" w:rsidP="004808C2">
      <w:pPr>
        <w:spacing w:after="160" w:line="259" w:lineRule="auto"/>
        <w:jc w:val="center"/>
        <w:rPr>
          <w:b/>
        </w:rPr>
      </w:pPr>
      <w:r w:rsidRPr="00F4128F">
        <w:rPr>
          <w:b/>
          <w:sz w:val="28"/>
          <w:szCs w:val="28"/>
        </w:rPr>
        <w:br w:type="page"/>
      </w:r>
      <w:r w:rsidRPr="00210189">
        <w:rPr>
          <w:b/>
          <w:sz w:val="28"/>
          <w:szCs w:val="28"/>
        </w:rPr>
        <w:lastRenderedPageBreak/>
        <w:t xml:space="preserve">MOTIFS DE LA DÉCISION – Indemnisation </w:t>
      </w:r>
      <w:r>
        <w:rPr>
          <w:b/>
          <w:sz w:val="28"/>
          <w:szCs w:val="28"/>
        </w:rPr>
        <w:t>pour l</w:t>
      </w:r>
      <w:r w:rsidRPr="00210189">
        <w:rPr>
          <w:b/>
          <w:sz w:val="28"/>
          <w:szCs w:val="28"/>
        </w:rPr>
        <w:t>es frais</w:t>
      </w:r>
      <w:r>
        <w:rPr>
          <w:b/>
          <w:sz w:val="28"/>
          <w:szCs w:val="28"/>
        </w:rPr>
        <w:t xml:space="preserve"> </w:t>
      </w:r>
      <w:r>
        <w:rPr>
          <w:b/>
          <w:sz w:val="28"/>
          <w:szCs w:val="28"/>
        </w:rPr>
        <w:br/>
      </w:r>
      <w:r w:rsidRPr="00210189">
        <w:rPr>
          <w:b/>
          <w:sz w:val="28"/>
          <w:szCs w:val="28"/>
        </w:rPr>
        <w:t>pour services juridiques</w:t>
      </w:r>
    </w:p>
    <w:p w:rsidR="004808C2" w:rsidRPr="002B1E0B" w:rsidRDefault="004808C2" w:rsidP="004808C2">
      <w:pPr>
        <w:ind w:left="284"/>
        <w:rPr>
          <w:b/>
        </w:rPr>
      </w:pPr>
      <w:r>
        <w:rPr>
          <w:b/>
        </w:rPr>
        <w:t>APERÇU</w:t>
      </w:r>
    </w:p>
    <w:p w:rsidR="004808C2" w:rsidRPr="002B1E0B" w:rsidRDefault="004808C2" w:rsidP="004808C2">
      <w:pPr>
        <w:rPr>
          <w:b/>
        </w:rPr>
      </w:pPr>
    </w:p>
    <w:p w:rsidR="004808C2" w:rsidRPr="002B1E0B" w:rsidRDefault="004808C2" w:rsidP="004808C2">
      <w:pPr>
        <w:rPr>
          <w:b/>
        </w:rPr>
      </w:pPr>
    </w:p>
    <w:p w:rsidR="004808C2" w:rsidRDefault="004808C2" w:rsidP="004808C2">
      <w:pPr>
        <w:pStyle w:val="AParaNumbering"/>
      </w:pPr>
      <w:r>
        <w:t>Le juge </w:t>
      </w:r>
      <w:r w:rsidRPr="002B1E0B">
        <w:t xml:space="preserve">John Keast </w:t>
      </w:r>
      <w:r>
        <w:t>e</w:t>
      </w:r>
      <w:r w:rsidRPr="002B1E0B">
        <w:t>s</w:t>
      </w:r>
      <w:r>
        <w:t>t un juge de la Cour de justice de l’</w:t>
      </w:r>
      <w:r w:rsidRPr="002B1E0B">
        <w:t xml:space="preserve">Ontario </w:t>
      </w:r>
      <w:r>
        <w:t xml:space="preserve">(la « CJO ») siégeant dans la région du nord-est. Une plainte d’inconduite judiciaire formulée contre le juge Keast a mené à une audience (l’« audience ») en vertu de l’article 51.6 de la </w:t>
      </w:r>
      <w:r>
        <w:rPr>
          <w:i/>
        </w:rPr>
        <w:t>Loi sur les tribunaux judiciaires</w:t>
      </w:r>
      <w:r>
        <w:t>, L.R.O. 1990. ch</w:t>
      </w:r>
      <w:r w:rsidR="005F20D4">
        <w:t>ap</w:t>
      </w:r>
      <w:r>
        <w:t xml:space="preserve">. C.43 (la « Loi »). </w:t>
      </w:r>
    </w:p>
    <w:p w:rsidR="004808C2" w:rsidRDefault="004808C2" w:rsidP="004808C2">
      <w:pPr>
        <w:pStyle w:val="AParaNumbering"/>
      </w:pPr>
      <w:r>
        <w:t>Dans des motifs de décision datés du 15 décembre 2017, (la « décision »), le présent comité d’audience (le « comité ») du Conseil de la magistrature de l’Ontario (le « Conseil ») a conclu que certains actes que le juge Keast avait commis entre le 8 janvier et le 17 mars 2016 constituaient une inconduite judiciaire justifiant une mesure au titre du paragraphe 51.6</w:t>
      </w:r>
      <w:r w:rsidR="005F20D4">
        <w:t xml:space="preserve"> </w:t>
      </w:r>
      <w:r>
        <w:t>(11) de la Loi.</w:t>
      </w:r>
    </w:p>
    <w:p w:rsidR="004808C2" w:rsidRDefault="004808C2" w:rsidP="004808C2">
      <w:pPr>
        <w:pStyle w:val="AParaNumbering"/>
      </w:pPr>
      <w:r>
        <w:t>Dans les présents motifs, le comité se penche sur la demande que le juge Keast a formulée afin que le Conseil recommande au pro</w:t>
      </w:r>
      <w:r w:rsidR="00FB2F50">
        <w:t>cureur général, sous le régime</w:t>
      </w:r>
      <w:r>
        <w:t xml:space="preserve"> de l’article 51.7 de la Loi, qu’il soit indemnisé pour </w:t>
      </w:r>
      <w:r w:rsidR="00FA0523">
        <w:t>l</w:t>
      </w:r>
      <w:r>
        <w:t>es frais pour services juridiques qu’il a engagés relativement au processus de plainte et d’audience (les « frais pour services juridiques »).</w:t>
      </w:r>
    </w:p>
    <w:p w:rsidR="004808C2" w:rsidRDefault="00FB2F50" w:rsidP="004808C2">
      <w:pPr>
        <w:pStyle w:val="AParaNumbering"/>
      </w:pPr>
      <w:r>
        <w:t>Le juge Keast demande</w:t>
      </w:r>
      <w:r w:rsidR="004808C2">
        <w:t xml:space="preserve"> un montant de 149 585,92 $ à titre d’indemnisation pour ses frais pour services juridiques.</w:t>
      </w:r>
    </w:p>
    <w:p w:rsidR="004808C2" w:rsidRDefault="004808C2" w:rsidP="004808C2">
      <w:pPr>
        <w:pStyle w:val="AParaNumbering"/>
      </w:pPr>
      <w:r>
        <w:lastRenderedPageBreak/>
        <w:t>Pour les motifs exposés ci-dessous, le comité recommande que le juge Keast reçoive un montant de 50 000 $ à titre d’indemnisation pour ses frais pour services juridiques.</w:t>
      </w:r>
    </w:p>
    <w:p w:rsidR="004808C2" w:rsidRPr="002B1E0B" w:rsidRDefault="004808C2" w:rsidP="004808C2">
      <w:pPr>
        <w:pStyle w:val="AParaNumbering"/>
        <w:numPr>
          <w:ilvl w:val="0"/>
          <w:numId w:val="0"/>
        </w:numPr>
        <w:ind w:left="284" w:hanging="284"/>
        <w:rPr>
          <w:b/>
        </w:rPr>
      </w:pPr>
      <w:r w:rsidRPr="00F4128F">
        <w:rPr>
          <w:b/>
        </w:rPr>
        <w:t xml:space="preserve">  </w:t>
      </w:r>
      <w:r>
        <w:rPr>
          <w:b/>
        </w:rPr>
        <w:t>CONTEXTE</w:t>
      </w:r>
    </w:p>
    <w:p w:rsidR="004808C2" w:rsidRDefault="004808C2" w:rsidP="004808C2">
      <w:pPr>
        <w:pStyle w:val="AParaNumbering"/>
      </w:pPr>
      <w:r w:rsidRPr="00F4128F">
        <w:t xml:space="preserve"> Entre le 8 janvier et l</w:t>
      </w:r>
      <w:r>
        <w:t xml:space="preserve">e 17 mars 2016, le </w:t>
      </w:r>
      <w:r w:rsidRPr="00F4128F">
        <w:t>juge Keast</w:t>
      </w:r>
      <w:r>
        <w:t xml:space="preserve"> a échangé des textos avec un(e) ami(e) de longue date qui travaillait pour la Société d’aide à l’enfance (SAE), agissant ainsi d’une façon qui allait à l’encontre de la conduite attendue d’un juge et des </w:t>
      </w:r>
      <w:r w:rsidRPr="00F4128F">
        <w:rPr>
          <w:i/>
        </w:rPr>
        <w:t>Principes</w:t>
      </w:r>
      <w:r>
        <w:t xml:space="preserve"> </w:t>
      </w:r>
      <w:r w:rsidRPr="00F4128F">
        <w:rPr>
          <w:i/>
        </w:rPr>
        <w:t>de la charge judiciaire</w:t>
      </w:r>
      <w:r>
        <w:t xml:space="preserve"> qui s’appliquent aux juges de la CJO et qui ont été adoptés et approuvés en vertu de l’article 51.9 de la Loi. Le comité a conclu que la conduite du juge Keast constituait une grave violation des normes de conduite judiciaire qui a miné la confiance du public à l’endroit de la magistrature et de l’administration de la justice.</w:t>
      </w:r>
    </w:p>
    <w:p w:rsidR="004808C2" w:rsidRPr="00F4128F" w:rsidRDefault="004808C2" w:rsidP="004808C2">
      <w:pPr>
        <w:pStyle w:val="AParaNumbering"/>
      </w:pPr>
      <w:r>
        <w:t xml:space="preserve">Au paragraphe 28 de la décision, nous avons résumé ainsi les irrégularités mises en lumière par les textos. Le juge Keast a indûment : </w:t>
      </w:r>
    </w:p>
    <w:p w:rsidR="004808C2" w:rsidRDefault="004808C2" w:rsidP="004808C2">
      <w:pPr>
        <w:pStyle w:val="Default"/>
        <w:spacing w:after="446"/>
        <w:ind w:firstLine="720"/>
        <w:rPr>
          <w:sz w:val="26"/>
          <w:szCs w:val="26"/>
          <w:lang w:val="fr-CA"/>
        </w:rPr>
      </w:pPr>
      <w:r w:rsidRPr="00037C39">
        <w:rPr>
          <w:sz w:val="26"/>
          <w:szCs w:val="26"/>
          <w:lang w:val="fr-CA"/>
        </w:rPr>
        <w:t xml:space="preserve">- </w:t>
      </w:r>
      <w:r w:rsidRPr="00037C39">
        <w:rPr>
          <w:sz w:val="26"/>
          <w:szCs w:val="26"/>
          <w:lang w:val="fr-CA"/>
        </w:rPr>
        <w:tab/>
        <w:t xml:space="preserve">communiqué des </w:t>
      </w:r>
      <w:r>
        <w:rPr>
          <w:sz w:val="26"/>
          <w:szCs w:val="26"/>
          <w:lang w:val="fr-CA"/>
        </w:rPr>
        <w:t>renseignements confidentiels</w:t>
      </w:r>
      <w:r w:rsidRPr="00037C39">
        <w:rPr>
          <w:sz w:val="26"/>
          <w:szCs w:val="26"/>
          <w:lang w:val="fr-CA"/>
        </w:rPr>
        <w:t xml:space="preserve"> à une partie;</w:t>
      </w:r>
    </w:p>
    <w:p w:rsidR="004808C2" w:rsidRDefault="004808C2" w:rsidP="004808C2">
      <w:pPr>
        <w:pStyle w:val="Default"/>
        <w:spacing w:after="446"/>
        <w:ind w:left="1440" w:hanging="720"/>
        <w:rPr>
          <w:sz w:val="26"/>
          <w:szCs w:val="26"/>
          <w:lang w:val="fr-CA"/>
        </w:rPr>
      </w:pPr>
      <w:r w:rsidRPr="00037C39">
        <w:rPr>
          <w:sz w:val="26"/>
          <w:szCs w:val="26"/>
          <w:lang w:val="fr-CA"/>
        </w:rPr>
        <w:t>-</w:t>
      </w:r>
      <w:r w:rsidRPr="00037C39">
        <w:rPr>
          <w:sz w:val="26"/>
          <w:szCs w:val="26"/>
          <w:lang w:val="fr-CA"/>
        </w:rPr>
        <w:tab/>
        <w:t>utilisé l’amitié qu’il entretenait a</w:t>
      </w:r>
      <w:r>
        <w:rPr>
          <w:sz w:val="26"/>
          <w:szCs w:val="26"/>
          <w:lang w:val="fr-CA"/>
        </w:rPr>
        <w:t>vec le/la destinataire des messages textos pour obtenir l’accès à des renseignements confidentiels;</w:t>
      </w:r>
    </w:p>
    <w:p w:rsidR="004808C2" w:rsidRDefault="004808C2" w:rsidP="004808C2">
      <w:pPr>
        <w:pStyle w:val="Default"/>
        <w:spacing w:after="446"/>
        <w:ind w:left="1440" w:hanging="720"/>
        <w:rPr>
          <w:sz w:val="26"/>
          <w:szCs w:val="26"/>
          <w:lang w:val="fr-CA"/>
        </w:rPr>
      </w:pPr>
      <w:r w:rsidRPr="00037C39">
        <w:rPr>
          <w:sz w:val="26"/>
          <w:szCs w:val="26"/>
          <w:lang w:val="fr-CA"/>
        </w:rPr>
        <w:t>-</w:t>
      </w:r>
      <w:r w:rsidRPr="00037C39">
        <w:rPr>
          <w:sz w:val="26"/>
          <w:szCs w:val="26"/>
          <w:lang w:val="fr-CA"/>
        </w:rPr>
        <w:tab/>
        <w:t>exprimé son avis au s</w:t>
      </w:r>
      <w:r>
        <w:rPr>
          <w:sz w:val="26"/>
          <w:szCs w:val="26"/>
          <w:lang w:val="fr-CA"/>
        </w:rPr>
        <w:t>ujet d’une affaire de la SAE dont il était saisi;</w:t>
      </w:r>
    </w:p>
    <w:p w:rsidR="004808C2" w:rsidRDefault="004808C2" w:rsidP="004808C2">
      <w:pPr>
        <w:pStyle w:val="Default"/>
        <w:spacing w:after="446"/>
        <w:ind w:left="1440" w:hanging="720"/>
        <w:rPr>
          <w:sz w:val="26"/>
          <w:szCs w:val="26"/>
          <w:lang w:val="fr-CA"/>
        </w:rPr>
      </w:pPr>
      <w:r>
        <w:rPr>
          <w:sz w:val="26"/>
          <w:szCs w:val="26"/>
          <w:lang w:val="fr-CA"/>
        </w:rPr>
        <w:t>-</w:t>
      </w:r>
      <w:r>
        <w:rPr>
          <w:sz w:val="26"/>
          <w:szCs w:val="26"/>
          <w:lang w:val="fr-CA"/>
        </w:rPr>
        <w:tab/>
        <w:t xml:space="preserve">formulé des commentaires inappropriés qui pouvaient être perçus comme des remarques empreintes de partialité à l’endroit de la SAE, institution dont des représentants </w:t>
      </w:r>
      <w:r w:rsidR="00FB2F50">
        <w:rPr>
          <w:sz w:val="26"/>
          <w:szCs w:val="26"/>
          <w:lang w:val="fr-CA"/>
        </w:rPr>
        <w:t>ont</w:t>
      </w:r>
      <w:r>
        <w:rPr>
          <w:sz w:val="26"/>
          <w:szCs w:val="26"/>
          <w:lang w:val="fr-CA"/>
        </w:rPr>
        <w:t xml:space="preserve"> régulièrement </w:t>
      </w:r>
      <w:r w:rsidR="00FB2F50">
        <w:rPr>
          <w:sz w:val="26"/>
          <w:szCs w:val="26"/>
          <w:lang w:val="fr-CA"/>
        </w:rPr>
        <w:t xml:space="preserve">comparu </w:t>
      </w:r>
      <w:r>
        <w:rPr>
          <w:sz w:val="26"/>
          <w:szCs w:val="26"/>
          <w:lang w:val="fr-CA"/>
        </w:rPr>
        <w:t>devant lui;</w:t>
      </w:r>
    </w:p>
    <w:p w:rsidR="004808C2" w:rsidRDefault="004808C2" w:rsidP="004808C2">
      <w:pPr>
        <w:pStyle w:val="Default"/>
        <w:spacing w:after="446"/>
        <w:ind w:left="1440" w:hanging="720"/>
        <w:rPr>
          <w:sz w:val="26"/>
          <w:szCs w:val="26"/>
          <w:lang w:val="fr-CA"/>
        </w:rPr>
      </w:pPr>
      <w:r>
        <w:rPr>
          <w:sz w:val="26"/>
          <w:szCs w:val="26"/>
          <w:lang w:val="fr-CA"/>
        </w:rPr>
        <w:lastRenderedPageBreak/>
        <w:t>-</w:t>
      </w:r>
      <w:r>
        <w:rPr>
          <w:sz w:val="26"/>
          <w:szCs w:val="26"/>
          <w:lang w:val="fr-CA"/>
        </w:rPr>
        <w:tab/>
        <w:t>donné des conseils juridiques à son ami(e);</w:t>
      </w:r>
    </w:p>
    <w:p w:rsidR="004808C2" w:rsidRPr="00934735" w:rsidRDefault="004808C2" w:rsidP="004808C2">
      <w:pPr>
        <w:pStyle w:val="Default"/>
        <w:spacing w:after="446"/>
        <w:ind w:left="1440" w:right="-138" w:hanging="720"/>
        <w:rPr>
          <w:sz w:val="26"/>
          <w:szCs w:val="26"/>
          <w:lang w:val="fr-CA"/>
        </w:rPr>
      </w:pPr>
      <w:r>
        <w:rPr>
          <w:sz w:val="26"/>
          <w:szCs w:val="26"/>
          <w:lang w:val="fr-CA"/>
        </w:rPr>
        <w:t>-</w:t>
      </w:r>
      <w:r>
        <w:rPr>
          <w:sz w:val="26"/>
          <w:szCs w:val="26"/>
          <w:lang w:val="fr-CA"/>
        </w:rPr>
        <w:tab/>
        <w:t>tenté de dissimuler les messages textos aux personnes susceptibles d’être touchées par l’échange des renseignements qu’ils contenaient.</w:t>
      </w:r>
    </w:p>
    <w:p w:rsidR="004808C2" w:rsidRPr="000C135B" w:rsidRDefault="004808C2" w:rsidP="004808C2">
      <w:pPr>
        <w:pStyle w:val="Default"/>
        <w:ind w:left="1440" w:hanging="720"/>
        <w:rPr>
          <w:sz w:val="26"/>
          <w:szCs w:val="26"/>
          <w:lang w:val="fr-CA"/>
        </w:rPr>
      </w:pPr>
    </w:p>
    <w:p w:rsidR="004808C2" w:rsidRPr="00934735" w:rsidRDefault="004808C2" w:rsidP="004808C2">
      <w:pPr>
        <w:pStyle w:val="AParaNumbering"/>
      </w:pPr>
      <w:r w:rsidRPr="00934735">
        <w:t xml:space="preserve"> Le </w:t>
      </w:r>
      <w:r>
        <w:t>comité</w:t>
      </w:r>
      <w:r w:rsidRPr="00934735">
        <w:t xml:space="preserve"> a également conclu que les textos créaient une appare</w:t>
      </w:r>
      <w:r>
        <w:t>nce de partialité à l’endroit de la SAE, institution dont des représentants comparaissaient</w:t>
      </w:r>
      <w:r w:rsidRPr="00934735">
        <w:t xml:space="preserve"> </w:t>
      </w:r>
      <w:r>
        <w:t xml:space="preserve">régulièrement devant le juge Keast (à l’alinéa 51(ii) de la décision). </w:t>
      </w:r>
    </w:p>
    <w:p w:rsidR="004808C2" w:rsidRDefault="004808C2" w:rsidP="004808C2">
      <w:pPr>
        <w:pStyle w:val="AParaNumbering"/>
      </w:pPr>
      <w:r w:rsidRPr="00934735">
        <w:t xml:space="preserve"> L’audience s’est étalée sur une période d’environ six (6) jours</w:t>
      </w:r>
      <w:r>
        <w:t xml:space="preserve"> entre avril et novembre 2017 et a été consacrée en grande partie aux motions présentées par le juge Keast.</w:t>
      </w:r>
    </w:p>
    <w:p w:rsidR="004808C2" w:rsidRDefault="004808C2" w:rsidP="004808C2">
      <w:pPr>
        <w:pStyle w:val="AParaNumbering"/>
      </w:pPr>
      <w:r>
        <w:t xml:space="preserve">Le juge Keast a présenté une motion en confidentialité </w:t>
      </w:r>
      <w:r w:rsidR="00197C82">
        <w:t>qui a été</w:t>
      </w:r>
      <w:r>
        <w:t xml:space="preserve"> partiellement </w:t>
      </w:r>
      <w:r w:rsidR="00197C82">
        <w:t>accueillie</w:t>
      </w:r>
      <w:r>
        <w:t>. Dan</w:t>
      </w:r>
      <w:r w:rsidR="00197C82">
        <w:t>s cette motion, le juge Keast demandait</w:t>
      </w:r>
      <w:r>
        <w:t xml:space="preserve"> que son nom, les détails de la plainte et tous les documents connexes soient considérés comme des renseignements confidentiels.</w:t>
      </w:r>
    </w:p>
    <w:p w:rsidR="004808C2" w:rsidRDefault="004808C2" w:rsidP="004808C2">
      <w:pPr>
        <w:pStyle w:val="AParaNumbering"/>
      </w:pPr>
      <w:r>
        <w:t>Le comité a convenu que la vie privée de l’enfant ou des enfants mêlés à une affaire de protection de l’enfance visée par la présente instance devait êt</w:t>
      </w:r>
      <w:r w:rsidR="00197C82">
        <w:t>re protégée et a rendu divers</w:t>
      </w:r>
      <w:r>
        <w:t>es ordonnances en conséquen</w:t>
      </w:r>
      <w:r w:rsidR="00197C82">
        <w:t xml:space="preserve">ce. Une de ces ordonnances était une </w:t>
      </w:r>
      <w:r>
        <w:t>interdiction de publier tout renseignement qui</w:t>
      </w:r>
      <w:r w:rsidR="00197C82" w:rsidRPr="00197C82">
        <w:rPr>
          <w:szCs w:val="26"/>
        </w:rPr>
        <w:t xml:space="preserve"> </w:t>
      </w:r>
      <w:r w:rsidR="00197C82">
        <w:rPr>
          <w:szCs w:val="26"/>
        </w:rPr>
        <w:t>divulgue ou tend à divulguer l’identité de</w:t>
      </w:r>
      <w:r w:rsidR="00197C82">
        <w:t xml:space="preserve"> l’enfant ou d</w:t>
      </w:r>
      <w:r>
        <w:t xml:space="preserve">es enfants ou </w:t>
      </w:r>
      <w:r w:rsidR="00197C82">
        <w:t xml:space="preserve">de </w:t>
      </w:r>
      <w:r>
        <w:t xml:space="preserve">tout membre de la famille mêlés à une affaire de protection de l’enfance. Le comité a également rendu une ordonnance de mise sous scellés provisoire à l’égard de certains </w:t>
      </w:r>
      <w:r>
        <w:lastRenderedPageBreak/>
        <w:t>documents qui avaient</w:t>
      </w:r>
      <w:r w:rsidR="00197C82">
        <w:t xml:space="preserve"> alors</w:t>
      </w:r>
      <w:r>
        <w:t xml:space="preserve"> été déposés dans le cadre du processus.</w:t>
      </w:r>
      <w:r w:rsidRPr="00934735">
        <w:t xml:space="preserve"> </w:t>
      </w:r>
      <w:r>
        <w:t>L’ordonnance visait à protéger les personnes dont les droits au respect de la vie privée étaient touchés.</w:t>
      </w:r>
    </w:p>
    <w:p w:rsidR="004808C2" w:rsidRDefault="00197C82" w:rsidP="004808C2">
      <w:pPr>
        <w:pStyle w:val="AParaNumbering"/>
      </w:pPr>
      <w:r>
        <w:t>Sauf pour ce qui est d</w:t>
      </w:r>
      <w:r w:rsidR="004808C2">
        <w:t>es ordonnances rendues pour protéger les personnes dont les droits au respect de la vie privée étaient touchés, la motion en confidentialité a été rejetée.</w:t>
      </w:r>
    </w:p>
    <w:p w:rsidR="004808C2" w:rsidRDefault="00197C82" w:rsidP="004808C2">
      <w:pPr>
        <w:pStyle w:val="AParaNumbering"/>
      </w:pPr>
      <w:r>
        <w:t>La dernière déposée ultérieurement par le</w:t>
      </w:r>
      <w:r w:rsidR="004808C2">
        <w:t xml:space="preserve"> juge Keast en vue de maintenir en vigueur l’ordonnance de mise sous scellés provisoire a été rejetée. Le comité a conclu que le juge Keast n’avait pas présenté d’éléments de preuve établissant de façon claire et convaincante que des restrictions autres que l’interdiction de publication étaient nécessaires. Le comité a également ordonné que l’ordonnance de mise sous scellés provisoire soit levée. </w:t>
      </w:r>
    </w:p>
    <w:p w:rsidR="004808C2" w:rsidRDefault="004808C2" w:rsidP="004808C2">
      <w:pPr>
        <w:pStyle w:val="AParaNumbering"/>
      </w:pPr>
      <w:r>
        <w:t>Le juge Keast avait également demandé que l’audience se déroule à huis clos, mais cette autre motion a aussi été rejetée. Lorsqu’il a rejeté la motion et ordonné que l’audience se déroule en public, le comité a souligné la forte présomption qui s’appliquait en faveur de la publicité des débats lors de</w:t>
      </w:r>
      <w:r w:rsidR="006A15BD">
        <w:t xml:space="preserve">s </w:t>
      </w:r>
      <w:r>
        <w:t>audience</w:t>
      </w:r>
      <w:r w:rsidR="006A15BD">
        <w:t>s</w:t>
      </w:r>
      <w:r>
        <w:t xml:space="preserve"> relative</w:t>
      </w:r>
      <w:r w:rsidR="006A15BD">
        <w:t>s</w:t>
      </w:r>
      <w:r>
        <w:t xml:space="preserve"> à une plainte d’inconduite judiciaire.</w:t>
      </w:r>
    </w:p>
    <w:p w:rsidR="004808C2" w:rsidRPr="00934735" w:rsidRDefault="004808C2" w:rsidP="004808C2">
      <w:pPr>
        <w:pStyle w:val="AParaNumbering"/>
      </w:pPr>
      <w:r>
        <w:t xml:space="preserve">Qui plus est, pour les motifs exposés dans la décision, la demande fondée sur la </w:t>
      </w:r>
      <w:r w:rsidRPr="00BF1F4E">
        <w:rPr>
          <w:i/>
        </w:rPr>
        <w:t>Charte</w:t>
      </w:r>
      <w:r>
        <w:t xml:space="preserve"> que le juge Keast avait présentée afin d’exclure de la preuve les messages textos a aussi été rejetée.</w:t>
      </w:r>
    </w:p>
    <w:p w:rsidR="00682F0B" w:rsidRPr="002B1E0B" w:rsidRDefault="00BF1F4E" w:rsidP="00BF1F4E">
      <w:pPr>
        <w:pStyle w:val="AParaNumbering"/>
        <w:keepNext/>
        <w:numPr>
          <w:ilvl w:val="0"/>
          <w:numId w:val="0"/>
        </w:numPr>
        <w:ind w:left="181"/>
        <w:rPr>
          <w:b/>
        </w:rPr>
      </w:pPr>
      <w:r w:rsidRPr="00BF1F4E">
        <w:rPr>
          <w:b/>
        </w:rPr>
        <w:lastRenderedPageBreak/>
        <w:t>LA QUES</w:t>
      </w:r>
      <w:r>
        <w:rPr>
          <w:b/>
        </w:rPr>
        <w:t>TION</w:t>
      </w:r>
      <w:r w:rsidRPr="00BF1F4E">
        <w:rPr>
          <w:b/>
        </w:rPr>
        <w:t xml:space="preserve"> EN LITIGE</w:t>
      </w:r>
    </w:p>
    <w:p w:rsidR="004972FA" w:rsidRPr="004972FA" w:rsidRDefault="004972FA" w:rsidP="00BF1F4E">
      <w:pPr>
        <w:pStyle w:val="AParaNumbering"/>
        <w:keepNext/>
        <w:ind w:left="181"/>
      </w:pPr>
      <w:r w:rsidRPr="004972FA">
        <w:t xml:space="preserve">La </w:t>
      </w:r>
      <w:r>
        <w:t xml:space="preserve">question que le </w:t>
      </w:r>
      <w:r w:rsidR="00E034D7">
        <w:t>comité</w:t>
      </w:r>
      <w:r>
        <w:t xml:space="preserve"> d’audience doit trancher est de savoir s’il y a lieu de recommander que le juge Keast</w:t>
      </w:r>
      <w:r w:rsidRPr="004972FA">
        <w:t xml:space="preserve"> </w:t>
      </w:r>
      <w:r>
        <w:t xml:space="preserve">soit indemnisé </w:t>
      </w:r>
      <w:r w:rsidR="00E034D7">
        <w:t xml:space="preserve">pour </w:t>
      </w:r>
      <w:r>
        <w:t>ses frais pour services juridiques</w:t>
      </w:r>
      <w:r w:rsidR="00E034D7">
        <w:t>;</w:t>
      </w:r>
      <w:r>
        <w:t xml:space="preserve"> dans l’affirmative, le </w:t>
      </w:r>
      <w:r w:rsidR="00E034D7">
        <w:t xml:space="preserve">comité devra aussi déterminer le </w:t>
      </w:r>
      <w:r>
        <w:t>montant à accorder (la « question en litige »).</w:t>
      </w:r>
    </w:p>
    <w:p w:rsidR="00974CBF" w:rsidRPr="004972FA" w:rsidRDefault="004972FA" w:rsidP="004972FA">
      <w:pPr>
        <w:pStyle w:val="AParaNumbering"/>
        <w:numPr>
          <w:ilvl w:val="0"/>
          <w:numId w:val="0"/>
        </w:numPr>
        <w:ind w:left="181"/>
        <w:rPr>
          <w:b/>
          <w:lang w:val="en-CA"/>
        </w:rPr>
      </w:pPr>
      <w:r>
        <w:rPr>
          <w:b/>
          <w:lang w:val="en-CA"/>
        </w:rPr>
        <w:t>LE CADRE JURIDIQUE APPLICABLE</w:t>
      </w:r>
    </w:p>
    <w:p w:rsidR="004972FA" w:rsidRDefault="004972FA" w:rsidP="00AD445B">
      <w:pPr>
        <w:pStyle w:val="AParaNumbering"/>
      </w:pPr>
      <w:r w:rsidRPr="004972FA">
        <w:t>Le cadre juridique qui s</w:t>
      </w:r>
      <w:r>
        <w:t xml:space="preserve">’applique à la question en litige découle des dispositions législatives et </w:t>
      </w:r>
      <w:proofErr w:type="gramStart"/>
      <w:r>
        <w:t>de la jurisprudence pertinentes</w:t>
      </w:r>
      <w:proofErr w:type="gramEnd"/>
      <w:r>
        <w:t>.</w:t>
      </w:r>
    </w:p>
    <w:p w:rsidR="004972FA" w:rsidRDefault="004972FA" w:rsidP="00AD445B">
      <w:pPr>
        <w:pStyle w:val="AParaNumbering"/>
      </w:pPr>
      <w:r>
        <w:t>Étant donné qu’une conclusion d’inconduite judiciaire a été tirée en l’espèce, les dispositions législatives pertinentes sont les paragraphes </w:t>
      </w:r>
      <w:r w:rsidRPr="004972FA">
        <w:t>51.7</w:t>
      </w:r>
      <w:r w:rsidR="00A87865">
        <w:t xml:space="preserve"> </w:t>
      </w:r>
      <w:r w:rsidRPr="004972FA">
        <w:t xml:space="preserve">(1), (4), (7) </w:t>
      </w:r>
      <w:r>
        <w:t xml:space="preserve">et </w:t>
      </w:r>
      <w:r w:rsidRPr="004972FA">
        <w:t>(8)</w:t>
      </w:r>
      <w:r>
        <w:t xml:space="preserve"> de la Loi, dont l’effet peut être résumé comme suit.</w:t>
      </w:r>
    </w:p>
    <w:p w:rsidR="005F74EC" w:rsidRDefault="005F74EC" w:rsidP="00AD445B">
      <w:pPr>
        <w:pStyle w:val="AParaNumbering"/>
      </w:pPr>
      <w:r>
        <w:t xml:space="preserve">Le </w:t>
      </w:r>
      <w:r w:rsidR="00E034D7">
        <w:t>comité</w:t>
      </w:r>
      <w:r>
        <w:t xml:space="preserve"> doit se demander si le juge Keast devrait être indemnisé pour les frais pour services juridiques qu’il a engagés relativement au processus de plainte, y compris l’audience. Si le </w:t>
      </w:r>
      <w:r w:rsidR="00E034D7">
        <w:t>comité</w:t>
      </w:r>
      <w:r>
        <w:t xml:space="preserve"> est d’avis que </w:t>
      </w:r>
      <w:r w:rsidR="00E034D7">
        <w:t xml:space="preserve">le </w:t>
      </w:r>
      <w:r>
        <w:t>juge Keast devrait être indemnisé, il fait une recommandation en ce sens au procureur général, laquelle recommandation indique le montant de l’indemnité. Le procureur général verse l’indemnité conformément à la recommandation.</w:t>
      </w:r>
    </w:p>
    <w:p w:rsidR="005F74EC" w:rsidRDefault="005F74EC" w:rsidP="00AD445B">
      <w:pPr>
        <w:pStyle w:val="AParaNumbering"/>
      </w:pPr>
      <w:r>
        <w:t xml:space="preserve">Voici le texte des dispositions pertinentes : </w:t>
      </w:r>
    </w:p>
    <w:p w:rsidR="004C25E0" w:rsidRPr="00905A78" w:rsidRDefault="00787866" w:rsidP="006E26B4">
      <w:pPr>
        <w:pStyle w:val="AParaNumbering"/>
        <w:numPr>
          <w:ilvl w:val="0"/>
          <w:numId w:val="0"/>
        </w:numPr>
        <w:spacing w:line="240" w:lineRule="auto"/>
        <w:ind w:left="851" w:right="855" w:hanging="142"/>
      </w:pPr>
      <w:r w:rsidRPr="00905A78">
        <w:rPr>
          <w:b/>
        </w:rPr>
        <w:t>51.7</w:t>
      </w:r>
      <w:r w:rsidR="006A15BD">
        <w:rPr>
          <w:b/>
        </w:rPr>
        <w:t xml:space="preserve"> </w:t>
      </w:r>
      <w:r w:rsidRPr="00905A78">
        <w:rPr>
          <w:b/>
        </w:rPr>
        <w:t>(1)</w:t>
      </w:r>
      <w:r w:rsidR="00905A78">
        <w:rPr>
          <w:b/>
        </w:rPr>
        <w:tab/>
      </w:r>
      <w:r w:rsidR="00905A78" w:rsidRPr="00905A78">
        <w:t xml:space="preserve">Lorsqu’il a traité une plainte portée contre un juge provincial, le Conseil de la magistrature étudie la question de savoir si le juge devrait être indemnisé pour les frais pour services juridiques qu’il a engagés relativement à la démarche suivie aux </w:t>
      </w:r>
      <w:r w:rsidR="00905A78" w:rsidRPr="00905A78">
        <w:lastRenderedPageBreak/>
        <w:t>termes des articles 51.4, 51.5 et 51.6 et du présent article en ce qui concerne la plainte.</w:t>
      </w:r>
    </w:p>
    <w:p w:rsidR="004C25E0" w:rsidRPr="00905A78" w:rsidRDefault="007B7560" w:rsidP="006E26B4">
      <w:pPr>
        <w:pStyle w:val="AParaNumbering"/>
        <w:numPr>
          <w:ilvl w:val="0"/>
          <w:numId w:val="0"/>
        </w:numPr>
        <w:spacing w:line="240" w:lineRule="auto"/>
        <w:ind w:left="851" w:right="855" w:firstLine="283"/>
      </w:pPr>
      <w:r w:rsidRPr="00905A78">
        <w:rPr>
          <w:b/>
        </w:rPr>
        <w:t>(4)</w:t>
      </w:r>
      <w:r w:rsidRPr="00905A78">
        <w:rPr>
          <w:b/>
        </w:rPr>
        <w:tab/>
      </w:r>
      <w:r w:rsidR="00905A78" w:rsidRPr="00905A78">
        <w:t>S’il est d’avis que le juge devrait être indemnisé, le Conseil de la magistrature fait une recommandation en ce sens au procureur général, laquelle recommandation indique le montant de l’indemnité.</w:t>
      </w:r>
    </w:p>
    <w:p w:rsidR="00787866" w:rsidRPr="00905A78" w:rsidRDefault="007B7560" w:rsidP="006E26B4">
      <w:pPr>
        <w:pStyle w:val="AParaNumbering"/>
        <w:numPr>
          <w:ilvl w:val="0"/>
          <w:numId w:val="0"/>
        </w:numPr>
        <w:spacing w:line="240" w:lineRule="auto"/>
        <w:ind w:left="851" w:right="855" w:firstLine="283"/>
        <w:rPr>
          <w:b/>
        </w:rPr>
      </w:pPr>
      <w:r w:rsidRPr="00905A78">
        <w:rPr>
          <w:b/>
        </w:rPr>
        <w:t>(7)</w:t>
      </w:r>
      <w:r w:rsidR="004C25E0" w:rsidRPr="00905A78">
        <w:rPr>
          <w:b/>
        </w:rPr>
        <w:tab/>
      </w:r>
      <w:r w:rsidR="00905A78" w:rsidRPr="00905A78">
        <w:t>Le montant de l’indemnité recommandé aux termes du paragraphe (4) ou (5) peut se rapporter à tout ou partie des frais pour services juridiques du juge et est calculé selon un taux pour services juridiques qui ne dépasse pas le taux maximal normalement prévu par le gouvernement de l’Ontario pour des services similaires.</w:t>
      </w:r>
    </w:p>
    <w:p w:rsidR="00C834F3" w:rsidRPr="000874EB" w:rsidRDefault="00EB4EE3" w:rsidP="006E26B4">
      <w:pPr>
        <w:pStyle w:val="AParaNumbering"/>
        <w:numPr>
          <w:ilvl w:val="0"/>
          <w:numId w:val="0"/>
        </w:numPr>
        <w:spacing w:line="240" w:lineRule="auto"/>
        <w:ind w:left="851" w:right="855" w:firstLine="283"/>
      </w:pPr>
      <w:r w:rsidRPr="000874EB">
        <w:rPr>
          <w:b/>
        </w:rPr>
        <w:t xml:space="preserve"> </w:t>
      </w:r>
      <w:r w:rsidRPr="00905A78">
        <w:rPr>
          <w:b/>
        </w:rPr>
        <w:t>(8)</w:t>
      </w:r>
      <w:r w:rsidR="004C25E0" w:rsidRPr="00905A78">
        <w:rPr>
          <w:b/>
        </w:rPr>
        <w:tab/>
      </w:r>
      <w:r w:rsidR="00905A78" w:rsidRPr="0030634D">
        <w:t>Le procureur général verse l’indemnité au juge conformément à la recommandation.</w:t>
      </w:r>
      <w:r w:rsidR="00905A78" w:rsidRPr="00905A78">
        <w:rPr>
          <w:b/>
        </w:rPr>
        <w:t xml:space="preserve"> </w:t>
      </w:r>
    </w:p>
    <w:p w:rsidR="00C261BC" w:rsidRPr="000874EB" w:rsidRDefault="00C261BC" w:rsidP="00C261BC">
      <w:pPr>
        <w:pStyle w:val="AParaNumbering"/>
        <w:numPr>
          <w:ilvl w:val="0"/>
          <w:numId w:val="0"/>
        </w:numPr>
        <w:spacing w:line="240" w:lineRule="auto"/>
        <w:ind w:left="720" w:right="855"/>
      </w:pPr>
    </w:p>
    <w:p w:rsidR="004E05C2" w:rsidRDefault="00383272" w:rsidP="00AD445B">
      <w:pPr>
        <w:pStyle w:val="AParaNumbering"/>
      </w:pPr>
      <w:r w:rsidRPr="00383272">
        <w:t xml:space="preserve">La décision </w:t>
      </w:r>
      <w:r w:rsidR="00D2516E">
        <w:rPr>
          <w:i/>
        </w:rPr>
        <w:t>Massiah v</w:t>
      </w:r>
      <w:r w:rsidRPr="00383272">
        <w:rPr>
          <w:i/>
        </w:rPr>
        <w:t xml:space="preserve">. Justices of the Peace </w:t>
      </w:r>
      <w:proofErr w:type="spellStart"/>
      <w:r w:rsidRPr="00383272">
        <w:rPr>
          <w:i/>
        </w:rPr>
        <w:t>Review</w:t>
      </w:r>
      <w:proofErr w:type="spellEnd"/>
      <w:r w:rsidRPr="00383272">
        <w:rPr>
          <w:i/>
        </w:rPr>
        <w:t xml:space="preserve"> C</w:t>
      </w:r>
      <w:r w:rsidR="002B15F1">
        <w:rPr>
          <w:i/>
        </w:rPr>
        <w:t xml:space="preserve">ouncil, </w:t>
      </w:r>
      <w:r w:rsidRPr="00383272">
        <w:t>201</w:t>
      </w:r>
      <w:r w:rsidR="002B15F1">
        <w:t xml:space="preserve">6 ONSC 6191 </w:t>
      </w:r>
      <w:r w:rsidRPr="00383272">
        <w:t>(Cour div.)</w:t>
      </w:r>
      <w:r w:rsidR="002B15F1">
        <w:t>,</w:t>
      </w:r>
      <w:r w:rsidRPr="00383272">
        <w:t xml:space="preserve"> comporte des directives </w:t>
      </w:r>
      <w:r>
        <w:t xml:space="preserve">sur la façon </w:t>
      </w:r>
      <w:r w:rsidRPr="00383272">
        <w:t xml:space="preserve">dont le </w:t>
      </w:r>
      <w:r w:rsidR="00E034D7">
        <w:t>comité</w:t>
      </w:r>
      <w:r w:rsidRPr="00383272">
        <w:t xml:space="preserve"> devrait </w:t>
      </w:r>
      <w:r>
        <w:t>analyser la question. Dans cette décision, le juge concerné était un juge de paix plutôt qu</w:t>
      </w:r>
      <w:r w:rsidR="00D2516E">
        <w:t>e,</w:t>
      </w:r>
      <w:r w:rsidR="00D2516E" w:rsidRPr="00D2516E">
        <w:t xml:space="preserve"> </w:t>
      </w:r>
      <w:r w:rsidR="00D2516E">
        <w:t>comme c’est le cas en l’espèce, un juge de la CJO</w:t>
      </w:r>
      <w:r>
        <w:t xml:space="preserve">. Cependant, les principes énoncés dans la décision </w:t>
      </w:r>
      <w:r w:rsidRPr="00383272">
        <w:rPr>
          <w:i/>
        </w:rPr>
        <w:t>Massiah</w:t>
      </w:r>
      <w:r w:rsidR="00D2516E">
        <w:t xml:space="preserve"> sont pertinents au regard de</w:t>
      </w:r>
      <w:r>
        <w:t xml:space="preserve"> la présente affaire.</w:t>
      </w:r>
      <w:r w:rsidR="004E05C2">
        <w:t xml:space="preserve"> </w:t>
      </w:r>
    </w:p>
    <w:p w:rsidR="005F74EC" w:rsidRPr="00383272" w:rsidRDefault="004E05C2" w:rsidP="00AD445B">
      <w:pPr>
        <w:pStyle w:val="AParaNumbering"/>
      </w:pPr>
      <w:r>
        <w:t xml:space="preserve">Dans la décision </w:t>
      </w:r>
      <w:r w:rsidRPr="00383272">
        <w:rPr>
          <w:i/>
        </w:rPr>
        <w:t>Massiah</w:t>
      </w:r>
      <w:r w:rsidRPr="00D2516E">
        <w:t>,</w:t>
      </w:r>
      <w:r>
        <w:rPr>
          <w:i/>
        </w:rPr>
        <w:t xml:space="preserve"> </w:t>
      </w:r>
      <w:r>
        <w:t>la Cour divisionnaire a instruit une demande de contrôle judiciaire à l’égard des décisions par lesquelles le Conseil d’évaluation des juges de paix (le « CEJP ») a</w:t>
      </w:r>
      <w:r w:rsidR="00D2516E">
        <w:t>vait</w:t>
      </w:r>
      <w:r>
        <w:t xml:space="preserve"> destitué le juge </w:t>
      </w:r>
      <w:r w:rsidRPr="004E05C2">
        <w:t>Errol Massiah</w:t>
      </w:r>
      <w:r>
        <w:t xml:space="preserve"> de sa charge de juge de paix et a</w:t>
      </w:r>
      <w:r w:rsidR="00D2516E">
        <w:t>vait</w:t>
      </w:r>
      <w:r>
        <w:t xml:space="preserve"> refusé de lui accorder une indemnité </w:t>
      </w:r>
      <w:r w:rsidR="00E034D7">
        <w:t>pour l</w:t>
      </w:r>
      <w:r>
        <w:t>es frais pour services juridiques qu’il a</w:t>
      </w:r>
      <w:r w:rsidR="00D2516E">
        <w:t>vait</w:t>
      </w:r>
      <w:r>
        <w:t xml:space="preserve"> engagés dans le cadre du processus de traitement des plaintes.</w:t>
      </w:r>
    </w:p>
    <w:p w:rsidR="00192CB0" w:rsidRDefault="004E05C2" w:rsidP="00AD445B">
      <w:pPr>
        <w:pStyle w:val="AParaNumbering"/>
      </w:pPr>
      <w:r>
        <w:lastRenderedPageBreak/>
        <w:t xml:space="preserve">S’exprimant au nom de la Cour divisionnaire, le juge </w:t>
      </w:r>
      <w:proofErr w:type="spellStart"/>
      <w:r w:rsidRPr="004E05C2">
        <w:t>Nordheimer</w:t>
      </w:r>
      <w:proofErr w:type="spellEnd"/>
      <w:r w:rsidR="00D2516E">
        <w:t xml:space="preserve"> (tel était alors son titre)</w:t>
      </w:r>
      <w:r>
        <w:t xml:space="preserve"> a confirmé la d</w:t>
      </w:r>
      <w:r w:rsidR="002B15F1">
        <w:t>écision du CEJP au sujet de la d</w:t>
      </w:r>
      <w:r>
        <w:t>estitution</w:t>
      </w:r>
      <w:r w:rsidR="002B15F1">
        <w:t xml:space="preserve">, </w:t>
      </w:r>
      <w:r>
        <w:t xml:space="preserve">mais annulé </w:t>
      </w:r>
      <w:r w:rsidR="002B15F1">
        <w:t>celle qui portait sur l’i</w:t>
      </w:r>
      <w:r>
        <w:t>ndemnité</w:t>
      </w:r>
      <w:r w:rsidR="002F618F">
        <w:t xml:space="preserve"> et renvoyé cette question au </w:t>
      </w:r>
      <w:r w:rsidR="00E034D7">
        <w:t>comité</w:t>
      </w:r>
      <w:r w:rsidR="002F618F">
        <w:t xml:space="preserve"> d’audience dudit Conseil pour nouvel examen. Au paragraphe 49 de sa décision, le juge </w:t>
      </w:r>
      <w:proofErr w:type="spellStart"/>
      <w:r w:rsidR="002F618F" w:rsidRPr="004E05C2">
        <w:t>Nordheimer</w:t>
      </w:r>
      <w:proofErr w:type="spellEnd"/>
      <w:r w:rsidR="002F618F">
        <w:t xml:space="preserve"> affirme que le CEJP s’est fondé au départ sur une présomption erronée pour en arriver à sa décision sur la question de l’indemnisation. Selon </w:t>
      </w:r>
      <w:r w:rsidR="00E034D7">
        <w:t>cette</w:t>
      </w:r>
      <w:r w:rsidR="002F618F">
        <w:t xml:space="preserve"> présomption, étant donné que le CEJP avait tiré une conclusion d’inconduite judiciaire, l’octroi d’une indemnité ne devrait </w:t>
      </w:r>
      <w:r w:rsidR="00337A67">
        <w:t xml:space="preserve">pas </w:t>
      </w:r>
      <w:r w:rsidR="002F618F">
        <w:t xml:space="preserve">être </w:t>
      </w:r>
      <w:r w:rsidR="00337A67">
        <w:t>recommandé</w:t>
      </w:r>
      <w:r w:rsidR="002F618F">
        <w:t>.</w:t>
      </w:r>
    </w:p>
    <w:p w:rsidR="002F618F" w:rsidRDefault="002F618F" w:rsidP="00AD445B">
      <w:pPr>
        <w:pStyle w:val="AParaNumbering"/>
      </w:pPr>
      <w:r>
        <w:t>Au paragraphe </w:t>
      </w:r>
      <w:r w:rsidRPr="002F618F">
        <w:t xml:space="preserve">56 de sa </w:t>
      </w:r>
      <w:r>
        <w:t>décision</w:t>
      </w:r>
      <w:r w:rsidRPr="002F618F">
        <w:t>, le juge</w:t>
      </w:r>
      <w:r>
        <w:t> </w:t>
      </w:r>
      <w:proofErr w:type="spellStart"/>
      <w:r w:rsidRPr="002F618F">
        <w:t>Nordheimer</w:t>
      </w:r>
      <w:proofErr w:type="spellEnd"/>
      <w:r>
        <w:t xml:space="preserve"> précise qu’au moment de trancher la question de l’indemnisation </w:t>
      </w:r>
      <w:r w:rsidR="00337A67">
        <w:t xml:space="preserve">pour les </w:t>
      </w:r>
      <w:r>
        <w:t>frais pour services juridiques, le décideur devrait partir du principe selon lequel les frais des mesures à prendre pour assurer le déroulement d’un processus équitable et complet devrai</w:t>
      </w:r>
      <w:r w:rsidR="00337A67">
        <w:t>en</w:t>
      </w:r>
      <w:r>
        <w:t xml:space="preserve">t habituellement être supportés par le </w:t>
      </w:r>
      <w:r w:rsidR="00337A67">
        <w:t>t</w:t>
      </w:r>
      <w:r>
        <w:t>résor public (le « principe de départ »). C’est là le point de départ approprié</w:t>
      </w:r>
      <w:r w:rsidR="001F700F">
        <w:t>, parce que</w:t>
      </w:r>
      <w:r>
        <w:t xml:space="preserve"> </w:t>
      </w:r>
      <w:r w:rsidR="0045475F">
        <w:t>c’est l’intérêt public que le processus de traitement des plaintes cherche à protéger et à promouvoir</w:t>
      </w:r>
      <w:r w:rsidR="001F700F">
        <w:t>,</w:t>
      </w:r>
      <w:r w:rsidR="0045475F">
        <w:t xml:space="preserve"> et </w:t>
      </w:r>
      <w:r w:rsidR="001F700F">
        <w:t xml:space="preserve">que </w:t>
      </w:r>
      <w:r w:rsidR="0045475F">
        <w:t>l’intérêt de l’administration de la justice</w:t>
      </w:r>
      <w:r w:rsidR="00337A67">
        <w:t xml:space="preserve"> commande </w:t>
      </w:r>
      <w:r w:rsidR="0045475F">
        <w:t>que le fonctionnaire judiciaire visé par une plainte ait accès à un conseiller juridique.</w:t>
      </w:r>
    </w:p>
    <w:p w:rsidR="0045475F" w:rsidRPr="004E05C2" w:rsidRDefault="0045475F" w:rsidP="00AD445B">
      <w:pPr>
        <w:pStyle w:val="AParaNumbering"/>
      </w:pPr>
      <w:r>
        <w:t>Le principe de départ repose sur le principal objectif du processus de traite</w:t>
      </w:r>
      <w:r w:rsidR="001F700F">
        <w:t xml:space="preserve">ment des plaintes, </w:t>
      </w:r>
      <w:r>
        <w:t xml:space="preserve">à </w:t>
      </w:r>
      <w:r w:rsidR="001F700F">
        <w:t>savoir rétablir et</w:t>
      </w:r>
      <w:r>
        <w:t xml:space="preserve"> maintenir la confiance du public </w:t>
      </w:r>
      <w:r w:rsidR="002B15F1">
        <w:t>dans</w:t>
      </w:r>
      <w:r>
        <w:t xml:space="preserve"> l’intégr</w:t>
      </w:r>
      <w:r w:rsidR="001F700F">
        <w:t>ité de la magistrature, et non</w:t>
      </w:r>
      <w:r>
        <w:t xml:space="preserve"> punir le titulaire de la charge de juge </w:t>
      </w:r>
      <w:r>
        <w:lastRenderedPageBreak/>
        <w:t>(</w:t>
      </w:r>
      <w:proofErr w:type="spellStart"/>
      <w:r w:rsidRPr="0045475F">
        <w:rPr>
          <w:i/>
        </w:rPr>
        <w:t>Massiah</w:t>
      </w:r>
      <w:proofErr w:type="spellEnd"/>
      <w:r w:rsidRPr="0045475F">
        <w:t>, a</w:t>
      </w:r>
      <w:r>
        <w:t>u</w:t>
      </w:r>
      <w:r w:rsidRPr="0045475F">
        <w:t xml:space="preserve"> </w:t>
      </w:r>
      <w:proofErr w:type="spellStart"/>
      <w:r w:rsidRPr="0045475F">
        <w:t>par</w:t>
      </w:r>
      <w:proofErr w:type="spellEnd"/>
      <w:r w:rsidRPr="0045475F">
        <w:t>. 51).</w:t>
      </w:r>
      <w:r>
        <w:t xml:space="preserve"> Le principe de base s’applique indépendamment de la question de savoir si une conclusion d’inconduite judiciaire a été tirée à l’endroit du fonctionnaire judiciaire (</w:t>
      </w:r>
      <w:proofErr w:type="spellStart"/>
      <w:r w:rsidR="00044D0F" w:rsidRPr="0045475F">
        <w:rPr>
          <w:i/>
        </w:rPr>
        <w:t>Massiah</w:t>
      </w:r>
      <w:proofErr w:type="spellEnd"/>
      <w:r w:rsidR="00044D0F" w:rsidRPr="0045475F">
        <w:t>, a</w:t>
      </w:r>
      <w:r w:rsidR="00044D0F">
        <w:t>u</w:t>
      </w:r>
      <w:r w:rsidR="00044D0F" w:rsidRPr="0045475F">
        <w:t xml:space="preserve"> </w:t>
      </w:r>
      <w:proofErr w:type="spellStart"/>
      <w:r w:rsidR="00044D0F" w:rsidRPr="0045475F">
        <w:t>par</w:t>
      </w:r>
      <w:proofErr w:type="spellEnd"/>
      <w:r w:rsidR="00044D0F" w:rsidRPr="0045475F">
        <w:t xml:space="preserve">. </w:t>
      </w:r>
      <w:r w:rsidR="00044D0F">
        <w:t>49</w:t>
      </w:r>
      <w:r w:rsidR="00044D0F" w:rsidRPr="0045475F">
        <w:t>)</w:t>
      </w:r>
      <w:r w:rsidR="00044D0F">
        <w:t>.</w:t>
      </w:r>
    </w:p>
    <w:p w:rsidR="00044D0F" w:rsidRDefault="00044D0F" w:rsidP="00AD445B">
      <w:pPr>
        <w:pStyle w:val="AParaNumbering"/>
      </w:pPr>
      <w:r w:rsidRPr="00044D0F">
        <w:t xml:space="preserve">Cependant, ainsi que le juge </w:t>
      </w:r>
      <w:proofErr w:type="spellStart"/>
      <w:r w:rsidRPr="002F618F">
        <w:t>Nordheimer</w:t>
      </w:r>
      <w:proofErr w:type="spellEnd"/>
      <w:r w:rsidR="001F700F">
        <w:t xml:space="preserve"> le précise au par.</w:t>
      </w:r>
      <w:r>
        <w:t xml:space="preserve"> 57 de cette même décision, l’indemnisation </w:t>
      </w:r>
      <w:r w:rsidR="00337A67">
        <w:t>pour les</w:t>
      </w:r>
      <w:r>
        <w:t xml:space="preserve"> frais pour services juridiques n’est pas automatique dans les cas où la plainte est accueillie. La décision de recommander ou non le </w:t>
      </w:r>
      <w:r w:rsidR="00337A67">
        <w:t>pai</w:t>
      </w:r>
      <w:r>
        <w:t>ement d’une indemnité doit être pris</w:t>
      </w:r>
      <w:r w:rsidR="00337A67">
        <w:t>e</w:t>
      </w:r>
      <w:r>
        <w:t xml:space="preserve"> </w:t>
      </w:r>
      <w:r w:rsidR="00337A67">
        <w:t xml:space="preserve">à l’issue </w:t>
      </w:r>
      <w:r>
        <w:t>d’un examen en bonne et due forme de</w:t>
      </w:r>
      <w:r w:rsidR="00337A67">
        <w:t xml:space="preserve">s circonstances </w:t>
      </w:r>
      <w:r>
        <w:t>particulière</w:t>
      </w:r>
      <w:r w:rsidR="00337A67">
        <w:t>s</w:t>
      </w:r>
      <w:r>
        <w:t xml:space="preserve"> de l’affaire, </w:t>
      </w:r>
      <w:r w:rsidR="00337A67">
        <w:t xml:space="preserve">eu égard à </w:t>
      </w:r>
      <w:r>
        <w:t>l’objectif du processus :</w:t>
      </w:r>
    </w:p>
    <w:p w:rsidR="00044D0F" w:rsidRPr="00905A78" w:rsidRDefault="00044D0F" w:rsidP="00C0348C">
      <w:pPr>
        <w:pStyle w:val="AParaNumbering"/>
        <w:numPr>
          <w:ilvl w:val="0"/>
          <w:numId w:val="0"/>
        </w:numPr>
        <w:spacing w:after="0" w:line="240" w:lineRule="auto"/>
        <w:ind w:left="720"/>
      </w:pPr>
      <w:r w:rsidRPr="00905A78">
        <w:t>[</w:t>
      </w:r>
      <w:r w:rsidRPr="00905A78">
        <w:rPr>
          <w:smallCaps/>
        </w:rPr>
        <w:t>traduction</w:t>
      </w:r>
      <w:r w:rsidRPr="00905A78">
        <w:t xml:space="preserve">]  </w:t>
      </w:r>
    </w:p>
    <w:p w:rsidR="00C0348C" w:rsidRPr="00C0348C" w:rsidRDefault="00C0348C" w:rsidP="00026A88">
      <w:pPr>
        <w:pStyle w:val="AParaNumbering"/>
        <w:numPr>
          <w:ilvl w:val="0"/>
          <w:numId w:val="0"/>
        </w:numPr>
        <w:spacing w:after="320" w:line="240" w:lineRule="auto"/>
        <w:ind w:left="720" w:right="856"/>
      </w:pPr>
      <w:r w:rsidRPr="00C0348C">
        <w:t xml:space="preserve">Ces </w:t>
      </w:r>
      <w:r>
        <w:t>circonstances comprennent d’abord et avant tout la nature de l’inconduite et s</w:t>
      </w:r>
      <w:r w:rsidR="001F76E4">
        <w:t xml:space="preserve">on rapport </w:t>
      </w:r>
      <w:r>
        <w:t xml:space="preserve">avec la </w:t>
      </w:r>
      <w:r w:rsidR="001F76E4">
        <w:t xml:space="preserve">charge </w:t>
      </w:r>
      <w:r>
        <w:t xml:space="preserve">judiciaire. Ainsi, lorsque l’inconduite est plus directement liée à la </w:t>
      </w:r>
      <w:r w:rsidR="001F76E4">
        <w:t xml:space="preserve">charge </w:t>
      </w:r>
      <w:r>
        <w:t xml:space="preserve">judiciaire, l’octroi d’une indemnité sera peut-être davantage justifié que dans les cas où le </w:t>
      </w:r>
      <w:r w:rsidR="00337A67">
        <w:t>rapport</w:t>
      </w:r>
      <w:r>
        <w:t xml:space="preserve"> n’est pas aussi direct. En revanche, </w:t>
      </w:r>
      <w:r w:rsidR="00337A67">
        <w:t>il</w:t>
      </w:r>
      <w:r>
        <w:t xml:space="preserve"> sera peut-être moins justifié lorsqu’il s’agit d’une conduite </w:t>
      </w:r>
      <w:r w:rsidR="00337A67">
        <w:t>dont</w:t>
      </w:r>
      <w:r>
        <w:t xml:space="preserve"> toute personne </w:t>
      </w:r>
      <w:r w:rsidR="0060553D">
        <w:t xml:space="preserve">aurait dû savoir qu’elle était </w:t>
      </w:r>
      <w:r>
        <w:t xml:space="preserve">inappropriée, comparativement à la conduite qui est ainsi jugée uniquement à l’issue de la décision rendue en dernier ressort dans l’affaire en cause. Qui plus est, lorsque plusieurs incidents d’inconduite </w:t>
      </w:r>
      <w:r w:rsidR="0060553D">
        <w:t>s</w:t>
      </w:r>
      <w:r>
        <w:t xml:space="preserve">ont </w:t>
      </w:r>
      <w:r w:rsidR="0060553D">
        <w:t>en cause,</w:t>
      </w:r>
      <w:r>
        <w:t xml:space="preserve"> la recommandation en faveur de l’octroi d’une indemnité sera</w:t>
      </w:r>
      <w:r w:rsidR="0060553D">
        <w:t xml:space="preserve"> peut-être</w:t>
      </w:r>
      <w:r>
        <w:t xml:space="preserve"> moins </w:t>
      </w:r>
      <w:r w:rsidR="0060553D">
        <w:t xml:space="preserve">justifiée </w:t>
      </w:r>
      <w:r>
        <w:t xml:space="preserve">que dans le cas d’un seul incident </w:t>
      </w:r>
      <w:r w:rsidR="00C47F03">
        <w:t xml:space="preserve">d’inconduite. </w:t>
      </w:r>
      <w:r w:rsidR="0060553D">
        <w:t xml:space="preserve">Il en </w:t>
      </w:r>
      <w:r w:rsidR="002B15F1">
        <w:t xml:space="preserve">sera également ainsi lorsque plusieurs </w:t>
      </w:r>
      <w:r w:rsidR="0060553D">
        <w:t xml:space="preserve">incidents répétés d’inconduite </w:t>
      </w:r>
      <w:r w:rsidR="002B15F1">
        <w:t xml:space="preserve">sont reprochés </w:t>
      </w:r>
      <w:r w:rsidR="0060553D">
        <w:t>plutôt qu</w:t>
      </w:r>
      <w:r w:rsidR="002B15F1">
        <w:t>’</w:t>
      </w:r>
      <w:r w:rsidR="0060553D">
        <w:t>un</w:t>
      </w:r>
      <w:r w:rsidR="00C47F03">
        <w:t xml:space="preserve"> seul incident isolé.</w:t>
      </w:r>
    </w:p>
    <w:p w:rsidR="00C47F03" w:rsidRPr="00C47F03" w:rsidRDefault="00C47F03" w:rsidP="00026A88">
      <w:pPr>
        <w:pStyle w:val="AParaNumbering"/>
      </w:pPr>
      <w:r>
        <w:t xml:space="preserve">De plus, le décideur peut préciser dans sa recommandation que l’indemnité ne devrait pas couvrir les frais associés aux </w:t>
      </w:r>
      <w:r w:rsidR="001F0923">
        <w:t>mesures</w:t>
      </w:r>
      <w:r>
        <w:t xml:space="preserve"> qui, à son avis, </w:t>
      </w:r>
      <w:r w:rsidR="001F0923">
        <w:t>étaient sans fondement ou inutiles</w:t>
      </w:r>
      <w:r>
        <w:t xml:space="preserve"> (</w:t>
      </w:r>
      <w:proofErr w:type="spellStart"/>
      <w:r w:rsidRPr="00C47F03">
        <w:rPr>
          <w:i/>
        </w:rPr>
        <w:t>Massiah</w:t>
      </w:r>
      <w:proofErr w:type="spellEnd"/>
      <w:r w:rsidRPr="00C47F03">
        <w:t>, a</w:t>
      </w:r>
      <w:r>
        <w:t>u</w:t>
      </w:r>
      <w:r w:rsidRPr="00C47F03">
        <w:t xml:space="preserve"> </w:t>
      </w:r>
      <w:proofErr w:type="spellStart"/>
      <w:r w:rsidRPr="00C47F03">
        <w:t>par</w:t>
      </w:r>
      <w:proofErr w:type="spellEnd"/>
      <w:r w:rsidRPr="00C47F03">
        <w:t>. 60).</w:t>
      </w:r>
    </w:p>
    <w:p w:rsidR="00C56455" w:rsidRPr="002B1E0B" w:rsidRDefault="00B363C6" w:rsidP="00C47F03">
      <w:pPr>
        <w:pStyle w:val="AParaNumbering"/>
        <w:keepNext/>
        <w:numPr>
          <w:ilvl w:val="0"/>
          <w:numId w:val="0"/>
        </w:numPr>
        <w:rPr>
          <w:b/>
        </w:rPr>
      </w:pPr>
      <w:r w:rsidRPr="00C47F03">
        <w:rPr>
          <w:b/>
        </w:rPr>
        <w:lastRenderedPageBreak/>
        <w:t xml:space="preserve">  </w:t>
      </w:r>
      <w:r w:rsidR="00C56455" w:rsidRPr="002B1E0B">
        <w:rPr>
          <w:b/>
        </w:rPr>
        <w:t xml:space="preserve">APPLICATION </w:t>
      </w:r>
      <w:r w:rsidR="00C47F03">
        <w:rPr>
          <w:b/>
        </w:rPr>
        <w:t xml:space="preserve">À LA PRÉSENTE AFFAIRE </w:t>
      </w:r>
    </w:p>
    <w:p w:rsidR="00C47F03" w:rsidRPr="00C47F03" w:rsidRDefault="006C009C" w:rsidP="00C47F03">
      <w:pPr>
        <w:pStyle w:val="AParaNumbering"/>
        <w:keepNext/>
      </w:pPr>
      <w:r>
        <w:t xml:space="preserve">Conformément au </w:t>
      </w:r>
      <w:r w:rsidR="00130380">
        <w:t>raisonnement tenu</w:t>
      </w:r>
      <w:r w:rsidR="00C47F03">
        <w:t xml:space="preserve"> dans la décision </w:t>
      </w:r>
      <w:r w:rsidR="00C47F03" w:rsidRPr="00C47F03">
        <w:rPr>
          <w:i/>
        </w:rPr>
        <w:t>Massiah</w:t>
      </w:r>
      <w:r w:rsidR="00C47F03">
        <w:t xml:space="preserve">, le </w:t>
      </w:r>
      <w:r w:rsidR="00E034D7">
        <w:t>comité</w:t>
      </w:r>
      <w:r w:rsidR="00C47F03">
        <w:t xml:space="preserve"> a débuté ses délibérations en partant du principe qu’il devrait recommander le paiement des frais pour services juridiques.</w:t>
      </w:r>
    </w:p>
    <w:p w:rsidR="000874EB" w:rsidRDefault="000874EB" w:rsidP="00A63A42">
      <w:pPr>
        <w:pStyle w:val="AParaNumbering"/>
      </w:pPr>
      <w:r w:rsidRPr="000874EB">
        <w:t xml:space="preserve">En conservant à l’esprit le principe de départ, le </w:t>
      </w:r>
      <w:r w:rsidR="00E034D7">
        <w:t>comité</w:t>
      </w:r>
      <w:r w:rsidR="00130380">
        <w:t xml:space="preserve"> a</w:t>
      </w:r>
      <w:r w:rsidRPr="000874EB">
        <w:t xml:space="preserve"> ensuite </w:t>
      </w:r>
      <w:r w:rsidR="00130380">
        <w:t>examiné les</w:t>
      </w:r>
      <w:r w:rsidR="001F0923">
        <w:t xml:space="preserve"> aspects suivants</w:t>
      </w:r>
      <w:r w:rsidRPr="000874EB">
        <w:t xml:space="preserve"> : </w:t>
      </w:r>
      <w:r w:rsidR="00F22489">
        <w:t>a) la natur</w:t>
      </w:r>
      <w:r w:rsidR="00130380">
        <w:t>e et la gravité de l’inconduite;</w:t>
      </w:r>
      <w:r w:rsidR="00F22489">
        <w:t xml:space="preserve"> b) </w:t>
      </w:r>
      <w:r w:rsidR="001F0923">
        <w:t xml:space="preserve">le rapport </w:t>
      </w:r>
      <w:r w:rsidR="00F22489">
        <w:t>entre l’incon</w:t>
      </w:r>
      <w:r w:rsidR="00130380">
        <w:t>duite et la fonction judiciaire;</w:t>
      </w:r>
      <w:r w:rsidR="00F22489">
        <w:t xml:space="preserve"> c) la question de savoir si la conduite était telle que toute personne aurait dû savoir qu’</w:t>
      </w:r>
      <w:r w:rsidR="00130380">
        <w:t>elle était inappropriée;</w:t>
      </w:r>
      <w:r w:rsidR="00FA192E">
        <w:t xml:space="preserve"> d) la question de savoir si l’inconduite consistait en plusieurs incidents ou se limitait à un seul; </w:t>
      </w:r>
      <w:r w:rsidR="001F0923">
        <w:t xml:space="preserve">e) </w:t>
      </w:r>
      <w:r w:rsidR="00FA192E">
        <w:t>la question de savoir s’il y avait déjà eu des incidents d’inconduite dans le passé</w:t>
      </w:r>
      <w:r w:rsidR="00130380">
        <w:t>;</w:t>
      </w:r>
      <w:r w:rsidR="00FA192E">
        <w:t xml:space="preserve"> et f) la question de savoir si les mesures prises au cours du processus d’audience</w:t>
      </w:r>
      <w:r w:rsidR="001F0923">
        <w:t xml:space="preserve"> étaient sans fondement ou inutiles</w:t>
      </w:r>
      <w:r w:rsidR="00FA192E">
        <w:t xml:space="preserve"> (le « déroulement de l’audience »). </w:t>
      </w:r>
    </w:p>
    <w:p w:rsidR="00FA192E" w:rsidRPr="000874EB" w:rsidRDefault="00FA192E" w:rsidP="00A63A42">
      <w:pPr>
        <w:pStyle w:val="AParaNumbering"/>
      </w:pPr>
      <w:r w:rsidRPr="00FA192E">
        <w:rPr>
          <w:b/>
        </w:rPr>
        <w:t>Nature et gravité de l</w:t>
      </w:r>
      <w:r>
        <w:rPr>
          <w:b/>
        </w:rPr>
        <w:t xml:space="preserve">’inconduite – </w:t>
      </w:r>
      <w:r>
        <w:t>En ce qui concerne la nature de l’inconduite, il importe de souligner que l’inconduite reprochée en l’espèce n’éta</w:t>
      </w:r>
      <w:r w:rsidR="00130380">
        <w:t>it pas de nature unique. Les ac</w:t>
      </w:r>
      <w:r>
        <w:t>tes reprochés au juge </w:t>
      </w:r>
      <w:r w:rsidRPr="00FA192E">
        <w:t>Keast</w:t>
      </w:r>
      <w:r>
        <w:t xml:space="preserve"> </w:t>
      </w:r>
      <w:r w:rsidR="001F0923">
        <w:t>r</w:t>
      </w:r>
      <w:r w:rsidR="00130380">
        <w:t>elevaient</w:t>
      </w:r>
      <w:r>
        <w:t xml:space="preserve"> plutôt d</w:t>
      </w:r>
      <w:r w:rsidR="00130380">
        <w:t>e plusieurs</w:t>
      </w:r>
      <w:r w:rsidR="001F0923">
        <w:t xml:space="preserve"> types de faute</w:t>
      </w:r>
      <w:r>
        <w:t xml:space="preserve">. </w:t>
      </w:r>
      <w:r w:rsidR="00130380">
        <w:t>Ainsi qu’il est résumé ci-dessus</w:t>
      </w:r>
      <w:r>
        <w:t>, au moyen des textos qu’il a envoyés à son ami</w:t>
      </w:r>
      <w:r w:rsidR="001F0923">
        <w:t>(e)</w:t>
      </w:r>
      <w:r>
        <w:t>, le juge </w:t>
      </w:r>
      <w:r w:rsidRPr="00FA192E">
        <w:t>Keast</w:t>
      </w:r>
      <w:r>
        <w:t xml:space="preserve"> a </w:t>
      </w:r>
      <w:r w:rsidR="001F0923">
        <w:t>indûment</w:t>
      </w:r>
      <w:r w:rsidR="00E35E81">
        <w:t> :</w:t>
      </w:r>
      <w:r>
        <w:t xml:space="preserve"> </w:t>
      </w:r>
    </w:p>
    <w:p w:rsidR="003D3BDB" w:rsidRDefault="008003FD" w:rsidP="003D3BDB">
      <w:pPr>
        <w:pStyle w:val="Default"/>
        <w:spacing w:after="446"/>
        <w:ind w:firstLine="720"/>
        <w:rPr>
          <w:sz w:val="26"/>
          <w:szCs w:val="26"/>
          <w:lang w:val="fr-CA"/>
        </w:rPr>
      </w:pPr>
      <w:r w:rsidRPr="003D3BDB">
        <w:rPr>
          <w:sz w:val="26"/>
          <w:szCs w:val="26"/>
          <w:lang w:val="fr-CA"/>
        </w:rPr>
        <w:t xml:space="preserve">- </w:t>
      </w:r>
      <w:r w:rsidRPr="003D3BDB">
        <w:rPr>
          <w:sz w:val="26"/>
          <w:szCs w:val="26"/>
          <w:lang w:val="fr-CA"/>
        </w:rPr>
        <w:tab/>
      </w:r>
      <w:r w:rsidR="003D3BDB" w:rsidRPr="00037C39">
        <w:rPr>
          <w:sz w:val="26"/>
          <w:szCs w:val="26"/>
          <w:lang w:val="fr-CA"/>
        </w:rPr>
        <w:t xml:space="preserve">communiqué des </w:t>
      </w:r>
      <w:r w:rsidR="003D3BDB">
        <w:rPr>
          <w:sz w:val="26"/>
          <w:szCs w:val="26"/>
          <w:lang w:val="fr-CA"/>
        </w:rPr>
        <w:t>renseignements confidentiels</w:t>
      </w:r>
      <w:r w:rsidR="003D3BDB" w:rsidRPr="00037C39">
        <w:rPr>
          <w:sz w:val="26"/>
          <w:szCs w:val="26"/>
          <w:lang w:val="fr-CA"/>
        </w:rPr>
        <w:t xml:space="preserve"> à une partie;</w:t>
      </w:r>
    </w:p>
    <w:p w:rsidR="003D3BDB" w:rsidRDefault="003D3BDB" w:rsidP="003D3BDB">
      <w:pPr>
        <w:pStyle w:val="Default"/>
        <w:spacing w:after="446"/>
        <w:ind w:left="1440" w:hanging="720"/>
        <w:rPr>
          <w:sz w:val="26"/>
          <w:szCs w:val="26"/>
          <w:lang w:val="fr-CA"/>
        </w:rPr>
      </w:pPr>
      <w:r w:rsidRPr="00037C39">
        <w:rPr>
          <w:sz w:val="26"/>
          <w:szCs w:val="26"/>
          <w:lang w:val="fr-CA"/>
        </w:rPr>
        <w:t>-</w:t>
      </w:r>
      <w:r w:rsidRPr="00037C39">
        <w:rPr>
          <w:sz w:val="26"/>
          <w:szCs w:val="26"/>
          <w:lang w:val="fr-CA"/>
        </w:rPr>
        <w:tab/>
        <w:t>utilisé l’amitié qu’il entretenait a</w:t>
      </w:r>
      <w:r>
        <w:rPr>
          <w:sz w:val="26"/>
          <w:szCs w:val="26"/>
          <w:lang w:val="fr-CA"/>
        </w:rPr>
        <w:t>vec le</w:t>
      </w:r>
      <w:r w:rsidR="001F0923">
        <w:rPr>
          <w:sz w:val="26"/>
          <w:szCs w:val="26"/>
          <w:lang w:val="fr-CA"/>
        </w:rPr>
        <w:t>/la</w:t>
      </w:r>
      <w:r>
        <w:rPr>
          <w:sz w:val="26"/>
          <w:szCs w:val="26"/>
          <w:lang w:val="fr-CA"/>
        </w:rPr>
        <w:t xml:space="preserve"> destinataire des messages textos pour obtenir l’accès à des renseignements confidentiels;</w:t>
      </w:r>
    </w:p>
    <w:p w:rsidR="003D3BDB" w:rsidRDefault="003D3BDB" w:rsidP="003D3BDB">
      <w:pPr>
        <w:pStyle w:val="Default"/>
        <w:spacing w:after="446"/>
        <w:ind w:left="1440" w:hanging="720"/>
        <w:rPr>
          <w:sz w:val="26"/>
          <w:szCs w:val="26"/>
          <w:lang w:val="fr-CA"/>
        </w:rPr>
      </w:pPr>
      <w:r w:rsidRPr="00037C39">
        <w:rPr>
          <w:sz w:val="26"/>
          <w:szCs w:val="26"/>
          <w:lang w:val="fr-CA"/>
        </w:rPr>
        <w:t>-</w:t>
      </w:r>
      <w:r w:rsidRPr="00037C39">
        <w:rPr>
          <w:sz w:val="26"/>
          <w:szCs w:val="26"/>
          <w:lang w:val="fr-CA"/>
        </w:rPr>
        <w:tab/>
        <w:t>exprimé son avis au s</w:t>
      </w:r>
      <w:r>
        <w:rPr>
          <w:sz w:val="26"/>
          <w:szCs w:val="26"/>
          <w:lang w:val="fr-CA"/>
        </w:rPr>
        <w:t>ujet d’une affaire de la SAE dont il était saisi;</w:t>
      </w:r>
    </w:p>
    <w:p w:rsidR="003D3BDB" w:rsidRDefault="003D3BDB" w:rsidP="003D3BDB">
      <w:pPr>
        <w:pStyle w:val="Default"/>
        <w:spacing w:after="446"/>
        <w:ind w:left="1440" w:hanging="720"/>
        <w:rPr>
          <w:sz w:val="26"/>
          <w:szCs w:val="26"/>
          <w:lang w:val="fr-CA"/>
        </w:rPr>
      </w:pPr>
      <w:r>
        <w:rPr>
          <w:sz w:val="26"/>
          <w:szCs w:val="26"/>
          <w:lang w:val="fr-CA"/>
        </w:rPr>
        <w:lastRenderedPageBreak/>
        <w:t>-</w:t>
      </w:r>
      <w:r>
        <w:rPr>
          <w:sz w:val="26"/>
          <w:szCs w:val="26"/>
          <w:lang w:val="fr-CA"/>
        </w:rPr>
        <w:tab/>
        <w:t xml:space="preserve">formulé des commentaires inappropriés qui pouvaient être perçus comme des remarques empreintes de partialité à l’endroit de la SAE, </w:t>
      </w:r>
      <w:r w:rsidR="001F0923">
        <w:rPr>
          <w:sz w:val="26"/>
          <w:szCs w:val="26"/>
          <w:lang w:val="fr-CA"/>
        </w:rPr>
        <w:t xml:space="preserve">institution </w:t>
      </w:r>
      <w:r>
        <w:rPr>
          <w:sz w:val="26"/>
          <w:szCs w:val="26"/>
          <w:lang w:val="fr-CA"/>
        </w:rPr>
        <w:t>dont d</w:t>
      </w:r>
      <w:r w:rsidR="00130380">
        <w:rPr>
          <w:sz w:val="26"/>
          <w:szCs w:val="26"/>
          <w:lang w:val="fr-CA"/>
        </w:rPr>
        <w:t>es représentants ont</w:t>
      </w:r>
      <w:r>
        <w:rPr>
          <w:sz w:val="26"/>
          <w:szCs w:val="26"/>
          <w:lang w:val="fr-CA"/>
        </w:rPr>
        <w:t xml:space="preserve"> régulièrement </w:t>
      </w:r>
      <w:r w:rsidR="00130380">
        <w:rPr>
          <w:sz w:val="26"/>
          <w:szCs w:val="26"/>
          <w:lang w:val="fr-CA"/>
        </w:rPr>
        <w:t xml:space="preserve">comparu </w:t>
      </w:r>
      <w:r>
        <w:rPr>
          <w:sz w:val="26"/>
          <w:szCs w:val="26"/>
          <w:lang w:val="fr-CA"/>
        </w:rPr>
        <w:t>devant lui;</w:t>
      </w:r>
    </w:p>
    <w:p w:rsidR="003D3BDB" w:rsidRDefault="003D3BDB" w:rsidP="003D3BDB">
      <w:pPr>
        <w:pStyle w:val="Default"/>
        <w:spacing w:after="446"/>
        <w:ind w:left="1440" w:hanging="720"/>
        <w:rPr>
          <w:sz w:val="26"/>
          <w:szCs w:val="26"/>
          <w:lang w:val="fr-CA"/>
        </w:rPr>
      </w:pPr>
      <w:r>
        <w:rPr>
          <w:sz w:val="26"/>
          <w:szCs w:val="26"/>
          <w:lang w:val="fr-CA"/>
        </w:rPr>
        <w:t>-</w:t>
      </w:r>
      <w:r>
        <w:rPr>
          <w:sz w:val="26"/>
          <w:szCs w:val="26"/>
          <w:lang w:val="fr-CA"/>
        </w:rPr>
        <w:tab/>
        <w:t>donné des conseils juridiques à son ami</w:t>
      </w:r>
      <w:r w:rsidR="001F0923">
        <w:rPr>
          <w:sz w:val="26"/>
          <w:szCs w:val="26"/>
          <w:lang w:val="fr-CA"/>
        </w:rPr>
        <w:t>(e)</w:t>
      </w:r>
      <w:r>
        <w:rPr>
          <w:sz w:val="26"/>
          <w:szCs w:val="26"/>
          <w:lang w:val="fr-CA"/>
        </w:rPr>
        <w:t>;</w:t>
      </w:r>
    </w:p>
    <w:p w:rsidR="008003FD" w:rsidRPr="00696AC0" w:rsidRDefault="003D3BDB" w:rsidP="006642DD">
      <w:pPr>
        <w:pStyle w:val="Default"/>
        <w:spacing w:after="446"/>
        <w:ind w:right="-138" w:firstLine="720"/>
        <w:rPr>
          <w:sz w:val="26"/>
          <w:szCs w:val="26"/>
          <w:lang w:val="fr-CA"/>
        </w:rPr>
      </w:pPr>
      <w:r>
        <w:rPr>
          <w:sz w:val="26"/>
          <w:szCs w:val="26"/>
          <w:lang w:val="fr-CA"/>
        </w:rPr>
        <w:t>-</w:t>
      </w:r>
      <w:r>
        <w:rPr>
          <w:sz w:val="26"/>
          <w:szCs w:val="26"/>
          <w:lang w:val="fr-CA"/>
        </w:rPr>
        <w:tab/>
        <w:t xml:space="preserve">tenté de dissimuler les messages textos aux personnes susceptibles </w:t>
      </w:r>
      <w:r>
        <w:rPr>
          <w:sz w:val="26"/>
          <w:szCs w:val="26"/>
          <w:lang w:val="fr-CA"/>
        </w:rPr>
        <w:tab/>
      </w:r>
      <w:r>
        <w:rPr>
          <w:sz w:val="26"/>
          <w:szCs w:val="26"/>
          <w:lang w:val="fr-CA"/>
        </w:rPr>
        <w:tab/>
        <w:t>d’être touchées par l’échange de</w:t>
      </w:r>
      <w:r w:rsidR="006642DD">
        <w:rPr>
          <w:sz w:val="26"/>
          <w:szCs w:val="26"/>
          <w:lang w:val="fr-CA"/>
        </w:rPr>
        <w:t>s</w:t>
      </w:r>
      <w:r>
        <w:rPr>
          <w:sz w:val="26"/>
          <w:szCs w:val="26"/>
          <w:lang w:val="fr-CA"/>
        </w:rPr>
        <w:t xml:space="preserve"> renseignements qu’ils contenaient.</w:t>
      </w:r>
    </w:p>
    <w:p w:rsidR="007A6BA7" w:rsidRPr="003D3BDB" w:rsidRDefault="00130380" w:rsidP="00AD445B">
      <w:pPr>
        <w:pStyle w:val="AParaNumbering"/>
      </w:pPr>
      <w:r>
        <w:t>Qui plus est, comme l’</w:t>
      </w:r>
      <w:r w:rsidR="003D3BDB" w:rsidRPr="003D3BDB">
        <w:t xml:space="preserve">a conclu le </w:t>
      </w:r>
      <w:r w:rsidR="00E034D7">
        <w:t>comité</w:t>
      </w:r>
      <w:r w:rsidR="003D3BDB" w:rsidRPr="003D3BDB">
        <w:t xml:space="preserve"> à </w:t>
      </w:r>
      <w:r w:rsidR="003D3BDB">
        <w:t>l’alinéa 51(ii) de la décision, les textos ont créé une apparence de partialité à l’endroit de la SAE, institution dont des représentants comparaissaient régulièrement devant le juge </w:t>
      </w:r>
      <w:r>
        <w:t>Keast</w:t>
      </w:r>
      <w:r w:rsidR="003D3BDB">
        <w:t xml:space="preserve">. </w:t>
      </w:r>
    </w:p>
    <w:p w:rsidR="003D3BDB" w:rsidRPr="003D3BDB" w:rsidRDefault="003D3BDB" w:rsidP="00AD445B">
      <w:pPr>
        <w:pStyle w:val="AParaNumbering"/>
      </w:pPr>
      <w:r w:rsidRPr="003D3BDB">
        <w:t xml:space="preserve">Il est bien </w:t>
      </w:r>
      <w:r>
        <w:t>é</w:t>
      </w:r>
      <w:r w:rsidRPr="003D3BDB">
        <w:t>vident que chacune de ces form</w:t>
      </w:r>
      <w:r>
        <w:t>e</w:t>
      </w:r>
      <w:r w:rsidRPr="003D3BDB">
        <w:t xml:space="preserve">s d’inconduite est </w:t>
      </w:r>
      <w:r>
        <w:t xml:space="preserve">grave. De l’avis du </w:t>
      </w:r>
      <w:r w:rsidR="00E034D7">
        <w:t>comité</w:t>
      </w:r>
      <w:r>
        <w:t xml:space="preserve">, </w:t>
      </w:r>
      <w:r w:rsidR="00660BA5">
        <w:t xml:space="preserve">l’inconduite constituait une violation des principes de déontologie judiciaire qui était tellement grave que les seules </w:t>
      </w:r>
      <w:r w:rsidR="006642DD">
        <w:t xml:space="preserve">sanctions possibles </w:t>
      </w:r>
      <w:r w:rsidR="00660BA5">
        <w:t xml:space="preserve">étaient les deux plus graves sanctions </w:t>
      </w:r>
      <w:r w:rsidR="006642DD">
        <w:t>prévues</w:t>
      </w:r>
      <w:r w:rsidR="00660BA5">
        <w:t xml:space="preserve">, soit une recommandation en faveur de la destitution ou la suspension sans rémunération pendant </w:t>
      </w:r>
      <w:r w:rsidR="006642DD">
        <w:t xml:space="preserve">une période de </w:t>
      </w:r>
      <w:r w:rsidR="00660BA5">
        <w:t>trente (3</w:t>
      </w:r>
      <w:r w:rsidR="006642DD">
        <w:t>0</w:t>
      </w:r>
      <w:r w:rsidR="00660BA5">
        <w:t>) jours (par. 53 de la décision).</w:t>
      </w:r>
    </w:p>
    <w:p w:rsidR="00172B1C" w:rsidRPr="00660BA5" w:rsidRDefault="006642DD" w:rsidP="00A63A42">
      <w:pPr>
        <w:pStyle w:val="AParaNumbering"/>
      </w:pPr>
      <w:r>
        <w:rPr>
          <w:b/>
        </w:rPr>
        <w:t>Rapport</w:t>
      </w:r>
      <w:r w:rsidR="00660BA5">
        <w:rPr>
          <w:b/>
        </w:rPr>
        <w:t xml:space="preserve"> entre l’inconduite et la fonction judiciaire </w:t>
      </w:r>
      <w:r w:rsidR="00C77CA4" w:rsidRPr="00660BA5">
        <w:rPr>
          <w:b/>
        </w:rPr>
        <w:t xml:space="preserve">– </w:t>
      </w:r>
      <w:r w:rsidR="00660BA5">
        <w:t>L’inconduite n’a pas eu lieu dans la salle d’audience ni dans le cadre des fonctions du juge </w:t>
      </w:r>
      <w:r w:rsidR="00130380">
        <w:t>Keast</w:t>
      </w:r>
      <w:r w:rsidR="00660BA5">
        <w:t xml:space="preserve">. Les textos découlaient d’une situation </w:t>
      </w:r>
      <w:r w:rsidR="001F76E4">
        <w:t xml:space="preserve">liée à </w:t>
      </w:r>
      <w:r w:rsidR="00660BA5">
        <w:t>la vie personnelle du juge </w:t>
      </w:r>
      <w:r w:rsidR="00130380">
        <w:t>Keast</w:t>
      </w:r>
      <w:r w:rsidR="00660BA5">
        <w:t xml:space="preserve"> et ont été échangés avec son ami</w:t>
      </w:r>
      <w:r>
        <w:t>(e)</w:t>
      </w:r>
      <w:r w:rsidR="00660BA5">
        <w:t xml:space="preserve"> personnel</w:t>
      </w:r>
      <w:r>
        <w:t>(le)</w:t>
      </w:r>
      <w:r w:rsidR="00660BA5">
        <w:t xml:space="preserve">, </w:t>
      </w:r>
      <w:r w:rsidR="00245E4D">
        <w:t>qui était un</w:t>
      </w:r>
      <w:r>
        <w:t>(e)</w:t>
      </w:r>
      <w:r w:rsidR="00245E4D">
        <w:t xml:space="preserve"> employé</w:t>
      </w:r>
      <w:r>
        <w:t>(e)</w:t>
      </w:r>
      <w:r w:rsidR="007D7C29">
        <w:t xml:space="preserve"> de la SAE, au moyen</w:t>
      </w:r>
      <w:r w:rsidR="00245E4D">
        <w:t xml:space="preserve"> du téléphone cellulaire personnel du juge.</w:t>
      </w:r>
    </w:p>
    <w:p w:rsidR="00245E4D" w:rsidRPr="00245E4D" w:rsidRDefault="00245E4D" w:rsidP="00AD445B">
      <w:pPr>
        <w:pStyle w:val="AParaNumbering"/>
      </w:pPr>
      <w:r>
        <w:lastRenderedPageBreak/>
        <w:t>Cependant</w:t>
      </w:r>
      <w:r w:rsidRPr="00245E4D">
        <w:t xml:space="preserve">, </w:t>
      </w:r>
      <w:r>
        <w:t xml:space="preserve">la situation </w:t>
      </w:r>
      <w:r w:rsidR="00F17B4C">
        <w:t xml:space="preserve">dans le cadre </w:t>
      </w:r>
      <w:r w:rsidR="007D7C29">
        <w:t>duquel</w:t>
      </w:r>
      <w:r>
        <w:t xml:space="preserve"> l’inconduite a eu lieu </w:t>
      </w:r>
      <w:proofErr w:type="spellStart"/>
      <w:r>
        <w:t>a</w:t>
      </w:r>
      <w:proofErr w:type="spellEnd"/>
      <w:r>
        <w:t xml:space="preserve"> obscurci la frontière entre la vie personnelle et la charge judiciaire du juge </w:t>
      </w:r>
      <w:r w:rsidR="00130380">
        <w:t>Keast</w:t>
      </w:r>
      <w:r>
        <w:t>. Il en est ainsi parce que la situation personnelle du juge </w:t>
      </w:r>
      <w:r w:rsidR="00130380">
        <w:t>Keast</w:t>
      </w:r>
      <w:r>
        <w:t xml:space="preserve"> concernait un dossier de la SAE et que, en </w:t>
      </w:r>
      <w:r w:rsidR="007D7C29">
        <w:t xml:space="preserve">sa </w:t>
      </w:r>
      <w:r>
        <w:t>qualité de juge, le juge </w:t>
      </w:r>
      <w:r w:rsidR="00130380">
        <w:t>Keast</w:t>
      </w:r>
      <w:r>
        <w:t xml:space="preserve"> était régulièrement saisi d’affaires de </w:t>
      </w:r>
      <w:r w:rsidR="003F31A2">
        <w:t>cet organisme</w:t>
      </w:r>
      <w:r>
        <w:t>. Effectivement, un incident d’inconduite était lié à une affaire de la SAE dont le juge </w:t>
      </w:r>
      <w:r w:rsidR="00130380">
        <w:t>Keast</w:t>
      </w:r>
      <w:r w:rsidR="007D7C29">
        <w:t xml:space="preserve"> était alors saisi (il avait exposé son point de vue sur cette affaire à son ami(e)).</w:t>
      </w:r>
    </w:p>
    <w:p w:rsidR="00A059E6" w:rsidRPr="00696AC0" w:rsidRDefault="00245E4D" w:rsidP="00A63A42">
      <w:pPr>
        <w:pStyle w:val="AParaNumbering"/>
        <w:rPr>
          <w:b/>
        </w:rPr>
      </w:pPr>
      <w:r w:rsidRPr="00245E4D">
        <w:rPr>
          <w:b/>
        </w:rPr>
        <w:t xml:space="preserve">La </w:t>
      </w:r>
      <w:r w:rsidR="000A38F6">
        <w:rPr>
          <w:b/>
        </w:rPr>
        <w:t xml:space="preserve">question </w:t>
      </w:r>
      <w:r w:rsidRPr="00245E4D">
        <w:rPr>
          <w:b/>
        </w:rPr>
        <w:t>de savoir si la conduit</w:t>
      </w:r>
      <w:r w:rsidR="000A38F6">
        <w:rPr>
          <w:b/>
        </w:rPr>
        <w:t>e</w:t>
      </w:r>
      <w:r w:rsidRPr="00245E4D">
        <w:rPr>
          <w:b/>
        </w:rPr>
        <w:t xml:space="preserve"> était telle que toute personne aurait dû savoir qu’elle était inappropriée</w:t>
      </w:r>
      <w:r w:rsidR="00A14DCC" w:rsidRPr="00245E4D">
        <w:rPr>
          <w:b/>
        </w:rPr>
        <w:t xml:space="preserve"> –</w:t>
      </w:r>
      <w:r w:rsidR="00A059E6" w:rsidRPr="00245E4D">
        <w:rPr>
          <w:b/>
        </w:rPr>
        <w:t xml:space="preserve"> </w:t>
      </w:r>
      <w:r w:rsidR="00696AC0">
        <w:t>À notre avis, il est évident que toute personne aurait dû savoir qu’il était inapproprié de</w:t>
      </w:r>
      <w:r w:rsidR="003904FF" w:rsidRPr="00245E4D">
        <w:t xml:space="preserve"> </w:t>
      </w:r>
      <w:r w:rsidR="00696AC0">
        <w:t xml:space="preserve">communiquer des renseignements confidentiels et d’obtenir l’accès à </w:t>
      </w:r>
      <w:r w:rsidR="001D5E1E">
        <w:t>de tels renseignements</w:t>
      </w:r>
      <w:r w:rsidR="00696AC0">
        <w:t xml:space="preserve">. </w:t>
      </w:r>
      <w:r w:rsidR="00696AC0" w:rsidRPr="00696AC0">
        <w:t>Toute personne aurait également dû savoir qu’il est inapproprié d’employer des propos dé</w:t>
      </w:r>
      <w:r w:rsidR="003F31A2">
        <w:t>sobligeants pour</w:t>
      </w:r>
      <w:r w:rsidR="00696AC0" w:rsidRPr="00696AC0">
        <w:t xml:space="preserve"> dé</w:t>
      </w:r>
      <w:r w:rsidR="00696AC0">
        <w:t xml:space="preserve">crire des personnes et des institutions. </w:t>
      </w:r>
      <w:r w:rsidR="00696AC0" w:rsidRPr="00696AC0">
        <w:t xml:space="preserve">Étant donné que </w:t>
      </w:r>
      <w:r w:rsidR="009A231E">
        <w:t>le juge Keast lui-même avait cherché à</w:t>
      </w:r>
      <w:r w:rsidR="00696AC0" w:rsidRPr="00696AC0">
        <w:t xml:space="preserve"> dissimuler les textos et </w:t>
      </w:r>
      <w:r w:rsidR="00696AC0">
        <w:t>a</w:t>
      </w:r>
      <w:r w:rsidR="009A231E">
        <w:t>vait</w:t>
      </w:r>
      <w:r w:rsidR="00696AC0" w:rsidRPr="00696AC0">
        <w:t xml:space="preserve"> pri</w:t>
      </w:r>
      <w:r w:rsidR="00696AC0">
        <w:t>é</w:t>
      </w:r>
      <w:r w:rsidR="00696AC0" w:rsidRPr="00696AC0">
        <w:t xml:space="preserve"> le</w:t>
      </w:r>
      <w:r w:rsidR="003F31A2">
        <w:t>/la</w:t>
      </w:r>
      <w:r w:rsidR="00696AC0" w:rsidRPr="00696AC0">
        <w:t xml:space="preserve"> destin</w:t>
      </w:r>
      <w:r w:rsidR="00696AC0">
        <w:t xml:space="preserve">ataire de ces messages d’en préserver le secret, </w:t>
      </w:r>
      <w:r w:rsidR="009A231E">
        <w:t>on ne saurait douter qu’</w:t>
      </w:r>
      <w:r w:rsidR="00696AC0">
        <w:t>il savai</w:t>
      </w:r>
      <w:r w:rsidR="009A231E">
        <w:t>t</w:t>
      </w:r>
      <w:r w:rsidR="00696AC0">
        <w:t xml:space="preserve"> que les textos en question étaient inappropriés.</w:t>
      </w:r>
    </w:p>
    <w:p w:rsidR="00E041AE" w:rsidRPr="00696AC0" w:rsidRDefault="00696AC0" w:rsidP="00A63A42">
      <w:pPr>
        <w:pStyle w:val="AParaNumbering"/>
        <w:rPr>
          <w:b/>
        </w:rPr>
      </w:pPr>
      <w:r>
        <w:t xml:space="preserve">Eu égard aux circonstances de la présente affaire, nous croyons que les </w:t>
      </w:r>
      <w:r w:rsidR="003F31A2">
        <w:t xml:space="preserve">éléments </w:t>
      </w:r>
      <w:r>
        <w:t>suivants sont</w:t>
      </w:r>
      <w:r w:rsidR="003F31A2">
        <w:t xml:space="preserve"> également</w:t>
      </w:r>
      <w:r>
        <w:t xml:space="preserve"> pertinents</w:t>
      </w:r>
      <w:r w:rsidR="009A231E">
        <w:t xml:space="preserve"> au regard de notre analyse</w:t>
      </w:r>
      <w:r w:rsidR="003F31A2">
        <w:t>.</w:t>
      </w:r>
      <w:r>
        <w:t xml:space="preserve"> La nature de l’inconduite est telle que </w:t>
      </w:r>
      <w:r w:rsidR="009A231E">
        <w:t>tout juge aurait su</w:t>
      </w:r>
      <w:r w:rsidR="00AC122E">
        <w:t xml:space="preserve"> qu’elle était inappropriée. Les juges savent que, dès qu’ils sont nommés, ils ne peuvent plus donner de conseils juridiques. Ils savent aussi qu’ils ne peuvent faire connaître aux </w:t>
      </w:r>
      <w:r w:rsidR="00AC122E">
        <w:lastRenderedPageBreak/>
        <w:t xml:space="preserve">membres du public leur point de vue sur les </w:t>
      </w:r>
      <w:r w:rsidR="003F31A2">
        <w:t>affaires</w:t>
      </w:r>
      <w:r w:rsidR="00AC122E">
        <w:t xml:space="preserve"> dont ils sont saisis. Ils connaissent les règles régissant </w:t>
      </w:r>
      <w:r w:rsidR="009A231E">
        <w:t xml:space="preserve">l’accès à des </w:t>
      </w:r>
      <w:r w:rsidR="00AC122E">
        <w:t>r</w:t>
      </w:r>
      <w:r w:rsidR="009A231E">
        <w:t xml:space="preserve">enseignements confidentiels </w:t>
      </w:r>
      <w:r w:rsidR="009A231E" w:rsidRPr="009A231E">
        <w:t>et la communication de</w:t>
      </w:r>
      <w:r w:rsidR="00AC122E">
        <w:t xml:space="preserve"> ceux-ci. </w:t>
      </w:r>
    </w:p>
    <w:p w:rsidR="007318A2" w:rsidRPr="001C5069" w:rsidRDefault="001C5069" w:rsidP="00AD445B">
      <w:pPr>
        <w:pStyle w:val="AParaNumbering"/>
      </w:pPr>
      <w:r>
        <w:rPr>
          <w:b/>
        </w:rPr>
        <w:t xml:space="preserve">La question de savoir si l’inconduite consistait en plusieurs incidents ou se </w:t>
      </w:r>
      <w:r w:rsidR="003F31A2">
        <w:rPr>
          <w:b/>
        </w:rPr>
        <w:t>limit</w:t>
      </w:r>
      <w:r>
        <w:rPr>
          <w:b/>
        </w:rPr>
        <w:t>ait à un seul</w:t>
      </w:r>
      <w:r w:rsidR="002975F5" w:rsidRPr="001C5069">
        <w:t xml:space="preserve"> – </w:t>
      </w:r>
      <w:r>
        <w:t>L’inconduite n’était pas un incident isolé. Même si elle découlait d’une seule situation personnelle, plusieurs actes fautifs ont été commis au cours d’une période de trois mois.</w:t>
      </w:r>
    </w:p>
    <w:p w:rsidR="002975F5" w:rsidRPr="001C5069" w:rsidRDefault="001C5069" w:rsidP="00A63A42">
      <w:pPr>
        <w:pStyle w:val="AParaNumbering"/>
      </w:pPr>
      <w:r w:rsidRPr="001C5069">
        <w:rPr>
          <w:b/>
        </w:rPr>
        <w:t>La question de savoir s</w:t>
      </w:r>
      <w:r w:rsidR="003F31A2">
        <w:rPr>
          <w:b/>
        </w:rPr>
        <w:t xml:space="preserve">i d’autres </w:t>
      </w:r>
      <w:r w:rsidRPr="001C5069">
        <w:rPr>
          <w:b/>
        </w:rPr>
        <w:t>incidents d’inconduite</w:t>
      </w:r>
      <w:r w:rsidR="003F31A2">
        <w:rPr>
          <w:b/>
        </w:rPr>
        <w:t xml:space="preserve"> avaient déjà eu lieu dans le passé</w:t>
      </w:r>
      <w:r>
        <w:rPr>
          <w:b/>
        </w:rPr>
        <w:t xml:space="preserve"> </w:t>
      </w:r>
      <w:r w:rsidR="009D620B" w:rsidRPr="001C5069">
        <w:t>–</w:t>
      </w:r>
      <w:r w:rsidR="002975F5" w:rsidRPr="001C5069">
        <w:t xml:space="preserve"> </w:t>
      </w:r>
      <w:r>
        <w:t>Aucune conclusion d’inconduite n’a été tirée dans le passé à l’endroit du</w:t>
      </w:r>
      <w:r w:rsidR="005F6A5B" w:rsidRPr="001C5069">
        <w:t xml:space="preserve"> </w:t>
      </w:r>
      <w:r w:rsidR="00F4128F" w:rsidRPr="001C5069">
        <w:t>juge Keast</w:t>
      </w:r>
      <w:r w:rsidR="005F6A5B" w:rsidRPr="001C5069">
        <w:t>.</w:t>
      </w:r>
    </w:p>
    <w:p w:rsidR="00DB3C9B" w:rsidRDefault="001C5069" w:rsidP="00A63A42">
      <w:pPr>
        <w:pStyle w:val="AParaNumbering"/>
      </w:pPr>
      <w:r w:rsidRPr="001C5069">
        <w:rPr>
          <w:b/>
        </w:rPr>
        <w:t>Le déroulement de l’audience</w:t>
      </w:r>
      <w:r w:rsidR="0024596C" w:rsidRPr="001C5069">
        <w:t xml:space="preserve"> </w:t>
      </w:r>
      <w:r w:rsidR="007318A2" w:rsidRPr="001C5069">
        <w:t xml:space="preserve">– </w:t>
      </w:r>
      <w:r w:rsidRPr="001C5069">
        <w:t>L’audience n’a pas débuté par une admission de</w:t>
      </w:r>
      <w:r>
        <w:t xml:space="preserve"> l’inconduite. </w:t>
      </w:r>
      <w:r w:rsidRPr="001C5069">
        <w:t>Le premier jour de l’</w:t>
      </w:r>
      <w:r w:rsidR="00093D9B">
        <w:t>audience</w:t>
      </w:r>
      <w:r w:rsidRPr="001C5069">
        <w:t xml:space="preserve">, le </w:t>
      </w:r>
      <w:r w:rsidR="00E034D7">
        <w:t>comité</w:t>
      </w:r>
      <w:r>
        <w:t xml:space="preserve"> a ordonné</w:t>
      </w:r>
      <w:r w:rsidR="009A231E">
        <w:t>,</w:t>
      </w:r>
      <w:r>
        <w:t xml:space="preserve"> </w:t>
      </w:r>
      <w:r w:rsidR="009A231E">
        <w:t>du</w:t>
      </w:r>
      <w:r w:rsidR="009A231E" w:rsidRPr="001C5069">
        <w:t xml:space="preserve"> consentement des parties,</w:t>
      </w:r>
      <w:r w:rsidR="009A231E">
        <w:t xml:space="preserve"> la prise</w:t>
      </w:r>
      <w:r w:rsidR="003F31A2">
        <w:t xml:space="preserve"> de</w:t>
      </w:r>
      <w:r>
        <w:t xml:space="preserve"> certaines mesures </w:t>
      </w:r>
      <w:r w:rsidR="003F31A2">
        <w:t xml:space="preserve">afin de protéger </w:t>
      </w:r>
      <w:r>
        <w:t xml:space="preserve">les personnes </w:t>
      </w:r>
      <w:r w:rsidR="003F31A2">
        <w:t>dont les droits au respect de la vie privée étaient touchés.</w:t>
      </w:r>
      <w:r>
        <w:t xml:space="preserve"> </w:t>
      </w:r>
      <w:r w:rsidR="00093D9B" w:rsidRPr="00093D9B">
        <w:t>Le reste de l’</w:t>
      </w:r>
      <w:r w:rsidR="00093D9B">
        <w:t xml:space="preserve">audience </w:t>
      </w:r>
      <w:r w:rsidR="00093D9B" w:rsidRPr="00093D9B">
        <w:t>a</w:t>
      </w:r>
      <w:r w:rsidR="00431B56">
        <w:t xml:space="preserve"> </w:t>
      </w:r>
      <w:r w:rsidR="009A231E">
        <w:t xml:space="preserve">surtout porté </w:t>
      </w:r>
      <w:r w:rsidR="00431B56">
        <w:t xml:space="preserve">sur les </w:t>
      </w:r>
      <w:r w:rsidR="00093D9B">
        <w:t xml:space="preserve">motions </w:t>
      </w:r>
      <w:r w:rsidR="00431B56">
        <w:t>que le juge </w:t>
      </w:r>
      <w:r w:rsidR="00093D9B" w:rsidRPr="00093D9B">
        <w:t>Keast</w:t>
      </w:r>
      <w:r w:rsidR="00431B56">
        <w:t xml:space="preserve"> a présentées et</w:t>
      </w:r>
      <w:r w:rsidR="009A231E">
        <w:t xml:space="preserve"> qui sont décrites ci-dessus</w:t>
      </w:r>
      <w:r w:rsidR="00093D9B">
        <w:t xml:space="preserve">. </w:t>
      </w:r>
      <w:r w:rsidR="00093D9B" w:rsidRPr="00093D9B">
        <w:t xml:space="preserve">Ce n’est qu’après que le </w:t>
      </w:r>
      <w:r w:rsidR="00E034D7">
        <w:t>comité</w:t>
      </w:r>
      <w:r w:rsidR="00093D9B" w:rsidRPr="00093D9B">
        <w:t xml:space="preserve"> eut </w:t>
      </w:r>
      <w:r w:rsidR="00093D9B">
        <w:t xml:space="preserve">décidé </w:t>
      </w:r>
      <w:r w:rsidR="00093D9B" w:rsidRPr="00093D9B">
        <w:t>que le</w:t>
      </w:r>
      <w:r w:rsidR="00431B56">
        <w:t>s</w:t>
      </w:r>
      <w:r w:rsidR="00093D9B" w:rsidRPr="00093D9B">
        <w:t xml:space="preserve"> texto</w:t>
      </w:r>
      <w:r w:rsidR="00431B56">
        <w:t>s</w:t>
      </w:r>
      <w:r w:rsidR="00093D9B" w:rsidRPr="00093D9B">
        <w:t xml:space="preserve"> étai</w:t>
      </w:r>
      <w:r w:rsidR="00431B56">
        <w:t>en</w:t>
      </w:r>
      <w:r w:rsidR="00093D9B" w:rsidRPr="00093D9B">
        <w:t>t admissible</w:t>
      </w:r>
      <w:r w:rsidR="00431B56">
        <w:t>s</w:t>
      </w:r>
      <w:r w:rsidR="00093D9B" w:rsidRPr="00093D9B">
        <w:t xml:space="preserve"> </w:t>
      </w:r>
      <w:r w:rsidR="00093D9B">
        <w:t xml:space="preserve">que l’exposé conjoint des faits a été présenté en preuve et que le </w:t>
      </w:r>
      <w:r w:rsidR="00093D9B" w:rsidRPr="00093D9B">
        <w:t>juge Keast a</w:t>
      </w:r>
      <w:r w:rsidR="00093D9B">
        <w:t xml:space="preserve"> admis devant le </w:t>
      </w:r>
      <w:r w:rsidR="00E034D7">
        <w:t>comité</w:t>
      </w:r>
      <w:r w:rsidR="00093D9B">
        <w:t xml:space="preserve"> que ses gestes constituaient une inconduite judiciaire. </w:t>
      </w:r>
    </w:p>
    <w:p w:rsidR="00761268" w:rsidRPr="001C5069" w:rsidRDefault="00093D9B" w:rsidP="00A63A42">
      <w:pPr>
        <w:pStyle w:val="AParaNumbering"/>
      </w:pPr>
      <w:r w:rsidRPr="00093D9B">
        <w:t>À notre avis, les mesures que le juge Keast a prises ont eu po</w:t>
      </w:r>
      <w:r>
        <w:t xml:space="preserve">ur effet de prolonger la durée de l’audience et certainement pas d’en accélérer le </w:t>
      </w:r>
      <w:r>
        <w:lastRenderedPageBreak/>
        <w:t xml:space="preserve">déroulement. </w:t>
      </w:r>
      <w:r w:rsidR="00DB3C9B">
        <w:t>Cependant</w:t>
      </w:r>
      <w:r w:rsidR="00D82FC7">
        <w:t>, compte tenu de</w:t>
      </w:r>
      <w:r w:rsidRPr="00093D9B">
        <w:t xml:space="preserve"> la complexité des </w:t>
      </w:r>
      <w:r w:rsidR="00DB3C9B">
        <w:t>questions</w:t>
      </w:r>
      <w:r w:rsidRPr="00093D9B">
        <w:t xml:space="preserve"> en litige et </w:t>
      </w:r>
      <w:r w:rsidR="00D82FC7">
        <w:t>des</w:t>
      </w:r>
      <w:r w:rsidR="00431B56">
        <w:t xml:space="preserve"> droits en jeu en matière de respect de la vie privée,</w:t>
      </w:r>
      <w:r>
        <w:t xml:space="preserve"> nous ne croyons pas qu’elles </w:t>
      </w:r>
      <w:r w:rsidR="00431B56">
        <w:t>étai</w:t>
      </w:r>
      <w:r>
        <w:t>ent sans fondement ou inutiles.</w:t>
      </w:r>
    </w:p>
    <w:p w:rsidR="00130BDA" w:rsidRPr="001C5069" w:rsidRDefault="00130BDA" w:rsidP="00130BDA">
      <w:pPr>
        <w:pStyle w:val="AParaNumbering"/>
        <w:numPr>
          <w:ilvl w:val="0"/>
          <w:numId w:val="0"/>
        </w:numPr>
        <w:ind w:left="180"/>
        <w:rPr>
          <w:b/>
        </w:rPr>
      </w:pPr>
      <w:r w:rsidRPr="001C5069">
        <w:rPr>
          <w:b/>
        </w:rPr>
        <w:t>CONCLUSION</w:t>
      </w:r>
    </w:p>
    <w:p w:rsidR="00751BAC" w:rsidRPr="00DB3C9B" w:rsidRDefault="00DB3C9B" w:rsidP="00A63A42">
      <w:pPr>
        <w:pStyle w:val="AParaNumbering"/>
        <w:tabs>
          <w:tab w:val="clear" w:pos="540"/>
        </w:tabs>
      </w:pPr>
      <w:r w:rsidRPr="00DB3C9B">
        <w:t xml:space="preserve">Le </w:t>
      </w:r>
      <w:r w:rsidR="00E034D7">
        <w:t>comité</w:t>
      </w:r>
      <w:r w:rsidR="00D82FC7">
        <w:t xml:space="preserve"> </w:t>
      </w:r>
      <w:r w:rsidR="00D82FC7" w:rsidRPr="00734C8A">
        <w:t>a commencé</w:t>
      </w:r>
      <w:r w:rsidRPr="00734C8A">
        <w:t xml:space="preserve"> son analyse </w:t>
      </w:r>
      <w:r w:rsidR="00431B56" w:rsidRPr="00734C8A">
        <w:t>en</w:t>
      </w:r>
      <w:r w:rsidR="00431B56">
        <w:t xml:space="preserve"> r</w:t>
      </w:r>
      <w:r w:rsidRPr="00DB3C9B">
        <w:t>a</w:t>
      </w:r>
      <w:r w:rsidR="00431B56">
        <w:t>ppelant</w:t>
      </w:r>
      <w:r w:rsidRPr="00DB3C9B">
        <w:t xml:space="preserve"> le principe de </w:t>
      </w:r>
      <w:r>
        <w:t xml:space="preserve">départ. </w:t>
      </w:r>
      <w:r w:rsidRPr="00DB3C9B">
        <w:t xml:space="preserve">Selon ce principe, les frais </w:t>
      </w:r>
      <w:r w:rsidR="00431B56">
        <w:t>des</w:t>
      </w:r>
      <w:r w:rsidRPr="00DB3C9B">
        <w:t xml:space="preserve"> mesures à pren</w:t>
      </w:r>
      <w:r>
        <w:t xml:space="preserve">dre pour assurer un processus de traitement des plaintes équitable et complet devraient habituellement être supportés par le trésor public, parce que ce processus </w:t>
      </w:r>
      <w:r w:rsidR="00431B56">
        <w:t>vise à promouvoir</w:t>
      </w:r>
      <w:r>
        <w:t xml:space="preserve"> l’intérêt public et qu</w:t>
      </w:r>
      <w:r w:rsidR="00431B56">
        <w:t>e</w:t>
      </w:r>
      <w:r>
        <w:t xml:space="preserve"> l’intérêt de l’administration de la justice </w:t>
      </w:r>
      <w:r w:rsidR="00431B56">
        <w:t xml:space="preserve">commande </w:t>
      </w:r>
      <w:r>
        <w:t xml:space="preserve">que le fonctionnaire judiciaire </w:t>
      </w:r>
      <w:r w:rsidR="00431B56">
        <w:t>ait accès à</w:t>
      </w:r>
      <w:r>
        <w:t xml:space="preserve"> un conseiller juridique pendant le processus. </w:t>
      </w:r>
      <w:r w:rsidRPr="00DB3C9B">
        <w:t xml:space="preserve">Cependant, après avoir </w:t>
      </w:r>
      <w:r w:rsidR="00431B56">
        <w:t xml:space="preserve">examiné </w:t>
      </w:r>
      <w:r w:rsidRPr="00DB3C9B">
        <w:t xml:space="preserve">les </w:t>
      </w:r>
      <w:r w:rsidR="00781EA1">
        <w:t xml:space="preserve">circonstances </w:t>
      </w:r>
      <w:r w:rsidRPr="00DB3C9B">
        <w:t xml:space="preserve">particulières de la </w:t>
      </w:r>
      <w:r>
        <w:t xml:space="preserve">présente affaire </w:t>
      </w:r>
      <w:r w:rsidR="00431B56">
        <w:t>au regard</w:t>
      </w:r>
      <w:r w:rsidR="00786C8C">
        <w:t xml:space="preserve"> </w:t>
      </w:r>
      <w:r>
        <w:t>de l’objectif du processus de traitement des plaintes, nous avons conclu qu</w:t>
      </w:r>
      <w:r w:rsidR="00786C8C">
        <w:t xml:space="preserve">’il convient de recommander </w:t>
      </w:r>
      <w:r>
        <w:t xml:space="preserve">que le </w:t>
      </w:r>
      <w:r w:rsidRPr="00DB3C9B">
        <w:t>juge Keast o</w:t>
      </w:r>
      <w:r>
        <w:t xml:space="preserve">btienne le remboursement d’environ le tiers de ses frais pour services juridiques. </w:t>
      </w:r>
    </w:p>
    <w:p w:rsidR="006D68BA" w:rsidRPr="00C0689E" w:rsidRDefault="00C0689E" w:rsidP="006D68BA">
      <w:pPr>
        <w:pStyle w:val="AParaNumbering"/>
        <w:tabs>
          <w:tab w:val="clear" w:pos="540"/>
        </w:tabs>
      </w:pPr>
      <w:r>
        <w:t>Comme nous l’</w:t>
      </w:r>
      <w:r w:rsidR="00786C8C">
        <w:t xml:space="preserve">avons </w:t>
      </w:r>
      <w:r w:rsidR="00512785">
        <w:t xml:space="preserve">déjà </w:t>
      </w:r>
      <w:r>
        <w:t>expliqu</w:t>
      </w:r>
      <w:r w:rsidR="00786C8C">
        <w:t>é</w:t>
      </w:r>
      <w:r>
        <w:t>, les tr</w:t>
      </w:r>
      <w:r w:rsidR="00512785">
        <w:t>ois premiers facteurs militent contre une recommandation de</w:t>
      </w:r>
      <w:r>
        <w:t xml:space="preserve"> remboursement de la totalité</w:t>
      </w:r>
      <w:r w:rsidR="00512785">
        <w:t>,</w:t>
      </w:r>
      <w:r>
        <w:t xml:space="preserve"> ou même d’une partie importante</w:t>
      </w:r>
      <w:r w:rsidR="00512785">
        <w:t>,</w:t>
      </w:r>
      <w:r>
        <w:t xml:space="preserve"> des frais pour services juridiques. </w:t>
      </w:r>
    </w:p>
    <w:p w:rsidR="00172B1C" w:rsidRPr="004808C2" w:rsidRDefault="00C0689E" w:rsidP="00A63A42">
      <w:pPr>
        <w:pStyle w:val="AParaNumbering"/>
      </w:pPr>
      <w:r w:rsidRPr="00C0689E">
        <w:t>D’abord, le</w:t>
      </w:r>
      <w:r w:rsidR="00751BAC" w:rsidRPr="00C0689E">
        <w:t xml:space="preserve"> </w:t>
      </w:r>
      <w:r w:rsidR="00F4128F" w:rsidRPr="00C0689E">
        <w:t>juge Keast</w:t>
      </w:r>
      <w:r w:rsidR="00FE110E" w:rsidRPr="00C0689E">
        <w:t xml:space="preserve"> </w:t>
      </w:r>
      <w:r w:rsidRPr="00C0689E">
        <w:t xml:space="preserve">a </w:t>
      </w:r>
      <w:r w:rsidR="00FE110E" w:rsidRPr="00C0689E">
        <w:t>commi</w:t>
      </w:r>
      <w:r w:rsidRPr="00C0689E">
        <w:t xml:space="preserve">s plusieurs fautes de nature différente </w:t>
      </w:r>
      <w:r>
        <w:t xml:space="preserve">qui constituent une inconduite grave. </w:t>
      </w:r>
      <w:r w:rsidRPr="00C0689E">
        <w:t xml:space="preserve">En deuxième lieu, l’inconduite n’était pas directement liée </w:t>
      </w:r>
      <w:r>
        <w:t>à sa charge judiciaire</w:t>
      </w:r>
      <w:r w:rsidR="00786C8C">
        <w:t>,</w:t>
      </w:r>
      <w:r>
        <w:t xml:space="preserve"> mais découlait plutôt d’une situation </w:t>
      </w:r>
      <w:r w:rsidR="00786C8C">
        <w:t>r</w:t>
      </w:r>
      <w:r>
        <w:t>e</w:t>
      </w:r>
      <w:r w:rsidR="00786C8C">
        <w:t>lative à</w:t>
      </w:r>
      <w:r>
        <w:t xml:space="preserve"> sa vie personnelle et a eu lieu dans le contexte de </w:t>
      </w:r>
      <w:r w:rsidR="00786C8C">
        <w:t>celle-ci</w:t>
      </w:r>
      <w:r>
        <w:t xml:space="preserve">. </w:t>
      </w:r>
      <w:r w:rsidRPr="00C0689E">
        <w:t xml:space="preserve">Malgré </w:t>
      </w:r>
      <w:r w:rsidRPr="00C0689E">
        <w:lastRenderedPageBreak/>
        <w:t xml:space="preserve">l’existence d’un </w:t>
      </w:r>
      <w:r w:rsidR="00512785">
        <w:t>lien</w:t>
      </w:r>
      <w:r w:rsidR="00786C8C">
        <w:t xml:space="preserve"> </w:t>
      </w:r>
      <w:r w:rsidRPr="00C0689E">
        <w:t>avec sa charge judiciaire, les actes en</w:t>
      </w:r>
      <w:r w:rsidR="00512785">
        <w:t xml:space="preserve"> question étaient</w:t>
      </w:r>
      <w:r>
        <w:t xml:space="preserve"> surtout </w:t>
      </w:r>
      <w:r w:rsidR="00512785">
        <w:t xml:space="preserve">liés </w:t>
      </w:r>
      <w:r>
        <w:t xml:space="preserve">à sa vie personnelle. </w:t>
      </w:r>
      <w:r w:rsidRPr="00036E06">
        <w:t xml:space="preserve">Ainsi qu’il est mentionné dans la </w:t>
      </w:r>
      <w:r w:rsidR="006611B7" w:rsidRPr="00036E06">
        <w:t xml:space="preserve">décision </w:t>
      </w:r>
      <w:r w:rsidR="00172B1C" w:rsidRPr="00036E06">
        <w:rPr>
          <w:i/>
        </w:rPr>
        <w:t>Massiah</w:t>
      </w:r>
      <w:r w:rsidR="006611B7" w:rsidRPr="00036E06">
        <w:rPr>
          <w:i/>
        </w:rPr>
        <w:t>,</w:t>
      </w:r>
      <w:r w:rsidR="00172B1C" w:rsidRPr="00036E06">
        <w:t xml:space="preserve"> </w:t>
      </w:r>
      <w:r w:rsidR="00036E06" w:rsidRPr="00036E06">
        <w:t>au par</w:t>
      </w:r>
      <w:r w:rsidR="00AF3519">
        <w:t>agraphe</w:t>
      </w:r>
      <w:r w:rsidR="00036E06" w:rsidRPr="00036E06">
        <w:t> </w:t>
      </w:r>
      <w:r w:rsidR="00172B1C" w:rsidRPr="00036E06">
        <w:t xml:space="preserve">57, </w:t>
      </w:r>
      <w:r w:rsidR="00036E06" w:rsidRPr="00036E06">
        <w:t>étant donné que l’inconduite</w:t>
      </w:r>
      <w:r w:rsidR="00036E06">
        <w:t xml:space="preserve"> judiciaire examiné</w:t>
      </w:r>
      <w:r w:rsidR="00786C8C">
        <w:t>e</w:t>
      </w:r>
      <w:r w:rsidR="00036E06">
        <w:t xml:space="preserve"> en l’espèce n’était pas directement lié</w:t>
      </w:r>
      <w:r w:rsidR="00786C8C">
        <w:t>e</w:t>
      </w:r>
      <w:r w:rsidR="00036E06">
        <w:t xml:space="preserve"> à la charge judiciaire, l’ordonnance d’indemnisation </w:t>
      </w:r>
      <w:r w:rsidR="00786C8C">
        <w:t>est</w:t>
      </w:r>
      <w:r w:rsidR="00036E06">
        <w:t xml:space="preserve"> moins justifiée. </w:t>
      </w:r>
      <w:r w:rsidR="00512785">
        <w:t>Troisièmement, u</w:t>
      </w:r>
      <w:r w:rsidR="00786C8C">
        <w:t xml:space="preserve">ne conclusion semblable peut aussi être tirée du fait que </w:t>
      </w:r>
      <w:r w:rsidR="00036E06" w:rsidRPr="00036E06">
        <w:t xml:space="preserve">toute personne aurait dû savoir que les </w:t>
      </w:r>
      <w:r w:rsidR="00036E06">
        <w:t>actes étaient inappropriés</w:t>
      </w:r>
      <w:r w:rsidR="00786C8C">
        <w:t>.</w:t>
      </w:r>
    </w:p>
    <w:p w:rsidR="00405885" w:rsidRPr="00036E06" w:rsidRDefault="00036E06" w:rsidP="00C261BC">
      <w:pPr>
        <w:pStyle w:val="AParaNumbering"/>
      </w:pPr>
      <w:r w:rsidRPr="00036E06">
        <w:t>Nous avons soupesé tous ces facteurs au regard du dossier par ailleurs sans tache du</w:t>
      </w:r>
      <w:r>
        <w:t xml:space="preserve"> </w:t>
      </w:r>
      <w:r w:rsidR="00F4128F" w:rsidRPr="00036E06">
        <w:t>juge Keast</w:t>
      </w:r>
      <w:r>
        <w:t xml:space="preserve"> quant à la </w:t>
      </w:r>
      <w:r w:rsidR="00786C8C">
        <w:t>manière</w:t>
      </w:r>
      <w:r>
        <w:t xml:space="preserve"> dont il s’est acquitté de sa charge judiciaire pendant sa longue carrière.</w:t>
      </w:r>
    </w:p>
    <w:p w:rsidR="005532B8" w:rsidRPr="00036E06" w:rsidRDefault="00036E06" w:rsidP="00C261BC">
      <w:pPr>
        <w:pStyle w:val="AParaNumbering"/>
      </w:pPr>
      <w:r w:rsidRPr="00036E06">
        <w:t xml:space="preserve">Enfin, nous avons considéré </w:t>
      </w:r>
      <w:r w:rsidR="00AF3519">
        <w:t xml:space="preserve">le déroulement du processus d’audience </w:t>
      </w:r>
      <w:r w:rsidRPr="00036E06">
        <w:t xml:space="preserve">comme </w:t>
      </w:r>
      <w:r w:rsidR="00786C8C">
        <w:t xml:space="preserve">un facteur </w:t>
      </w:r>
      <w:r w:rsidRPr="00036E06">
        <w:t>neut</w:t>
      </w:r>
      <w:r>
        <w:t>r</w:t>
      </w:r>
      <w:r w:rsidRPr="00036E06">
        <w:t>e</w:t>
      </w:r>
      <w:r w:rsidR="00AF3519">
        <w:t xml:space="preserve">. </w:t>
      </w:r>
      <w:r w:rsidRPr="00036E06">
        <w:t xml:space="preserve">Le </w:t>
      </w:r>
      <w:r w:rsidR="00F4128F" w:rsidRPr="00036E06">
        <w:t>juge Keast</w:t>
      </w:r>
      <w:r w:rsidR="00405885" w:rsidRPr="00036E06">
        <w:t xml:space="preserve"> </w:t>
      </w:r>
      <w:r w:rsidRPr="00036E06">
        <w:t>n’a reconnu son inconduite au cours d</w:t>
      </w:r>
      <w:r w:rsidR="00786C8C">
        <w:t>e ce</w:t>
      </w:r>
      <w:r w:rsidRPr="00036E06">
        <w:t xml:space="preserve"> processus qu’après que le </w:t>
      </w:r>
      <w:r w:rsidR="00E034D7">
        <w:t>comité</w:t>
      </w:r>
      <w:r w:rsidRPr="00036E06">
        <w:t xml:space="preserve"> eut dé</w:t>
      </w:r>
      <w:r>
        <w:t xml:space="preserve">cidé que les textos étaient admissibles en preuve. </w:t>
      </w:r>
      <w:r w:rsidRPr="00036E06">
        <w:t>Ajoutée à la pr</w:t>
      </w:r>
      <w:r w:rsidR="00FC3C31">
        <w:t>é</w:t>
      </w:r>
      <w:r w:rsidRPr="00036E06">
        <w:t>sentation de motions qui ont eu relativement peu de succès, ce</w:t>
      </w:r>
      <w:r>
        <w:t xml:space="preserve">tte attitude a eu pour effet </w:t>
      </w:r>
      <w:r w:rsidR="00FC3C31">
        <w:t>de prolonger le processus d’audience. Cependant</w:t>
      </w:r>
      <w:r w:rsidR="00512785">
        <w:t>, il n’y a pas lieu de conclure</w:t>
      </w:r>
      <w:r w:rsidR="00FC3C31" w:rsidRPr="00FC3C31">
        <w:t xml:space="preserve"> que les motions étaient sans fondement ou qu’elles ét</w:t>
      </w:r>
      <w:r w:rsidR="00FC3C31">
        <w:t xml:space="preserve">aient inutiles. </w:t>
      </w:r>
      <w:r w:rsidR="00FC3C31" w:rsidRPr="00FC3C31">
        <w:t>Qui plus est, comme nous l’avons appris après le dépôt de l’exposé conjoint des faits, le</w:t>
      </w:r>
      <w:r w:rsidR="00FC3C31">
        <w:t xml:space="preserve"> juge Keas</w:t>
      </w:r>
      <w:r w:rsidR="00512785">
        <w:t>t a immédiatement reconnu devant</w:t>
      </w:r>
      <w:r w:rsidR="00FC3C31">
        <w:t xml:space="preserve"> le Conseil que ses </w:t>
      </w:r>
      <w:r w:rsidR="00512785">
        <w:t>ac</w:t>
      </w:r>
      <w:r w:rsidR="00867D6D">
        <w:t>tes</w:t>
      </w:r>
      <w:r w:rsidR="00FC3C31">
        <w:t xml:space="preserve"> constituaient une inconduite.</w:t>
      </w:r>
    </w:p>
    <w:p w:rsidR="006E4D81" w:rsidRPr="00C0689E" w:rsidRDefault="00FC3C31" w:rsidP="00867D6D">
      <w:pPr>
        <w:pStyle w:val="AParaNumbering"/>
        <w:keepNext/>
        <w:numPr>
          <w:ilvl w:val="0"/>
          <w:numId w:val="0"/>
        </w:numPr>
        <w:ind w:firstLine="180"/>
        <w:rPr>
          <w:b/>
        </w:rPr>
      </w:pPr>
      <w:r>
        <w:rPr>
          <w:b/>
        </w:rPr>
        <w:lastRenderedPageBreak/>
        <w:t>LA</w:t>
      </w:r>
      <w:r w:rsidR="00682F0B" w:rsidRPr="00C0689E">
        <w:rPr>
          <w:b/>
        </w:rPr>
        <w:t xml:space="preserve"> RECOMM</w:t>
      </w:r>
      <w:r>
        <w:rPr>
          <w:b/>
        </w:rPr>
        <w:t>A</w:t>
      </w:r>
      <w:r w:rsidR="00682F0B" w:rsidRPr="00C0689E">
        <w:rPr>
          <w:b/>
        </w:rPr>
        <w:t>NDATION</w:t>
      </w:r>
    </w:p>
    <w:p w:rsidR="007B7560" w:rsidRPr="00FC3C31" w:rsidRDefault="00FC3C31" w:rsidP="00867D6D">
      <w:pPr>
        <w:pStyle w:val="AParaNumbering"/>
        <w:keepNext/>
      </w:pPr>
      <w:r w:rsidRPr="00FC3C31">
        <w:t xml:space="preserve">Pour les motifs exposés ci-dessus, le </w:t>
      </w:r>
      <w:r w:rsidR="00E034D7">
        <w:t>comité</w:t>
      </w:r>
      <w:r w:rsidRPr="00FC3C31">
        <w:t xml:space="preserve"> recommande au procureu</w:t>
      </w:r>
      <w:r>
        <w:t>r général qu’une indemnité de 50 000 $ soit accordé</w:t>
      </w:r>
      <w:r w:rsidR="00867D6D">
        <w:t>e</w:t>
      </w:r>
      <w:r>
        <w:t xml:space="preserve"> au juge </w:t>
      </w:r>
      <w:r w:rsidR="00F4128F" w:rsidRPr="00FC3C31">
        <w:t>Keast</w:t>
      </w:r>
      <w:r w:rsidR="00593C30" w:rsidRPr="00FC3C31">
        <w:t xml:space="preserve"> </w:t>
      </w:r>
      <w:r>
        <w:t>au titre de ses frais pour services juridiques.</w:t>
      </w:r>
    </w:p>
    <w:p w:rsidR="00AD445B" w:rsidRPr="00FC3C31" w:rsidRDefault="00AD445B" w:rsidP="00AD445B">
      <w:pPr>
        <w:pStyle w:val="AParaNumbering"/>
        <w:numPr>
          <w:ilvl w:val="0"/>
          <w:numId w:val="0"/>
        </w:numPr>
      </w:pPr>
    </w:p>
    <w:p w:rsidR="00AD445B" w:rsidRPr="00FC3C31" w:rsidRDefault="00FC3C31" w:rsidP="00AD445B">
      <w:pPr>
        <w:pStyle w:val="AParaNumbering"/>
        <w:numPr>
          <w:ilvl w:val="0"/>
          <w:numId w:val="0"/>
        </w:numPr>
      </w:pPr>
      <w:r w:rsidRPr="00FC3C31">
        <w:t xml:space="preserve">Décision communiquée le </w:t>
      </w:r>
      <w:r w:rsidR="00A12691" w:rsidRPr="00FC3C31">
        <w:t>6</w:t>
      </w:r>
      <w:r w:rsidRPr="00FC3C31">
        <w:t> février 2018.</w:t>
      </w:r>
    </w:p>
    <w:p w:rsidR="00AD445B" w:rsidRPr="00FC3C31" w:rsidRDefault="00867D6D" w:rsidP="00AD445B">
      <w:pPr>
        <w:pStyle w:val="CQuote"/>
        <w:ind w:left="0"/>
      </w:pPr>
      <w:r>
        <w:t>« </w:t>
      </w:r>
      <w:r w:rsidR="00FC3C31">
        <w:t>La juge </w:t>
      </w:r>
      <w:r w:rsidR="00AD445B" w:rsidRPr="00FC3C31">
        <w:t xml:space="preserve">Eileen E. </w:t>
      </w:r>
      <w:proofErr w:type="spellStart"/>
      <w:r w:rsidR="00AD445B" w:rsidRPr="00FC3C31">
        <w:t>Gillese</w:t>
      </w:r>
      <w:proofErr w:type="spellEnd"/>
      <w:r w:rsidR="00FC3C31">
        <w:t> »</w:t>
      </w:r>
    </w:p>
    <w:p w:rsidR="00AD445B" w:rsidRPr="00FC3C31" w:rsidRDefault="00867D6D" w:rsidP="00AD445B">
      <w:pPr>
        <w:pStyle w:val="CQuote"/>
        <w:ind w:left="0"/>
      </w:pPr>
      <w:r>
        <w:t>« </w:t>
      </w:r>
      <w:r w:rsidR="00FC3C31">
        <w:t xml:space="preserve">La juge </w:t>
      </w:r>
      <w:r w:rsidR="00AD445B" w:rsidRPr="00FC3C31">
        <w:t>Lise S. Parent</w:t>
      </w:r>
      <w:r w:rsidR="00FC3C31">
        <w:t> »</w:t>
      </w:r>
    </w:p>
    <w:p w:rsidR="00AD445B" w:rsidRPr="00FC3C31" w:rsidRDefault="00FC3C31" w:rsidP="00AD445B">
      <w:pPr>
        <w:pStyle w:val="CQuote"/>
        <w:ind w:left="0"/>
      </w:pPr>
      <w:r>
        <w:t>« M</w:t>
      </w:r>
      <w:r w:rsidR="00210189" w:rsidRPr="00FC3C31">
        <w:t>. </w:t>
      </w:r>
      <w:r w:rsidR="00AD445B" w:rsidRPr="00FC3C31">
        <w:t xml:space="preserve">Christopher D. </w:t>
      </w:r>
      <w:proofErr w:type="spellStart"/>
      <w:r w:rsidR="00AD445B" w:rsidRPr="00FC3C31">
        <w:t>Bredt</w:t>
      </w:r>
      <w:proofErr w:type="spellEnd"/>
      <w:r>
        <w:t> »</w:t>
      </w:r>
    </w:p>
    <w:p w:rsidR="00AD445B" w:rsidRPr="00FC3C31" w:rsidRDefault="00FC3C31" w:rsidP="00AD445B">
      <w:pPr>
        <w:pStyle w:val="CQuote"/>
        <w:ind w:left="0"/>
      </w:pPr>
      <w:r>
        <w:t>« M</w:t>
      </w:r>
      <w:r w:rsidRPr="00FC3C31">
        <w:rPr>
          <w:vertAlign w:val="superscript"/>
        </w:rPr>
        <w:t>me</w:t>
      </w:r>
      <w:r w:rsidR="00AD445B" w:rsidRPr="00FC3C31">
        <w:t xml:space="preserve"> Judith A. Larocque</w:t>
      </w:r>
      <w:r w:rsidR="005E0749">
        <w:t> »</w:t>
      </w:r>
    </w:p>
    <w:p w:rsidR="00AD445B" w:rsidRPr="00C0689E" w:rsidRDefault="00AD445B" w:rsidP="00AD445B">
      <w:pPr>
        <w:pStyle w:val="AParaNumbering"/>
        <w:numPr>
          <w:ilvl w:val="0"/>
          <w:numId w:val="0"/>
        </w:numPr>
      </w:pPr>
    </w:p>
    <w:p w:rsidR="00AD445B" w:rsidRPr="002B1E0B" w:rsidRDefault="00AD445B" w:rsidP="00AD445B">
      <w:pPr>
        <w:pStyle w:val="AParaNumbering"/>
        <w:numPr>
          <w:ilvl w:val="0"/>
          <w:numId w:val="0"/>
        </w:numPr>
      </w:pPr>
    </w:p>
    <w:sectPr w:rsidR="00AD445B" w:rsidRPr="002B1E0B" w:rsidSect="00FB278C">
      <w:footerReference w:type="default" r:id="rId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B35" w:rsidRDefault="00971B35" w:rsidP="00FB278C">
      <w:r>
        <w:separator/>
      </w:r>
    </w:p>
  </w:endnote>
  <w:endnote w:type="continuationSeparator" w:id="0">
    <w:p w:rsidR="00971B35" w:rsidRDefault="00971B35" w:rsidP="00FB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692877"/>
      <w:docPartObj>
        <w:docPartGallery w:val="Page Numbers (Bottom of Page)"/>
        <w:docPartUnique/>
      </w:docPartObj>
    </w:sdtPr>
    <w:sdtEndPr>
      <w:rPr>
        <w:noProof/>
      </w:rPr>
    </w:sdtEndPr>
    <w:sdtContent>
      <w:p w:rsidR="004808C2" w:rsidRDefault="004808C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808C2" w:rsidRDefault="004808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250255"/>
      <w:docPartObj>
        <w:docPartGallery w:val="Page Numbers (Bottom of Page)"/>
        <w:docPartUnique/>
      </w:docPartObj>
    </w:sdtPr>
    <w:sdtEndPr>
      <w:rPr>
        <w:noProof/>
      </w:rPr>
    </w:sdtEndPr>
    <w:sdtContent>
      <w:p w:rsidR="00036E06" w:rsidRDefault="00036E06">
        <w:pPr>
          <w:pStyle w:val="Footer"/>
          <w:jc w:val="right"/>
        </w:pPr>
        <w:r>
          <w:fldChar w:fldCharType="begin"/>
        </w:r>
        <w:r>
          <w:instrText xml:space="preserve"> PAGE   \* MERGEFORMAT </w:instrText>
        </w:r>
        <w:r>
          <w:fldChar w:fldCharType="separate"/>
        </w:r>
        <w:r w:rsidR="00E60FD2">
          <w:rPr>
            <w:noProof/>
          </w:rPr>
          <w:t>15</w:t>
        </w:r>
        <w:r>
          <w:rPr>
            <w:noProof/>
          </w:rPr>
          <w:fldChar w:fldCharType="end"/>
        </w:r>
      </w:p>
    </w:sdtContent>
  </w:sdt>
  <w:p w:rsidR="00036E06" w:rsidRDefault="00036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B35" w:rsidRDefault="00971B35" w:rsidP="00FB278C">
      <w:r>
        <w:separator/>
      </w:r>
    </w:p>
  </w:footnote>
  <w:footnote w:type="continuationSeparator" w:id="0">
    <w:p w:rsidR="00971B35" w:rsidRDefault="00971B35" w:rsidP="00FB2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012BF"/>
    <w:multiLevelType w:val="hybridMultilevel"/>
    <w:tmpl w:val="998ABE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B644945"/>
    <w:multiLevelType w:val="multilevel"/>
    <w:tmpl w:val="BB4A8CB0"/>
    <w:lvl w:ilvl="0">
      <w:start w:val="6"/>
      <w:numFmt w:val="decimal"/>
      <w:pStyle w:val="AParaNumbering"/>
      <w:lvlText w:val="%1."/>
      <w:lvlJc w:val="left"/>
      <w:pPr>
        <w:tabs>
          <w:tab w:val="num" w:pos="1800"/>
        </w:tabs>
        <w:ind w:left="1800" w:hanging="360"/>
      </w:pPr>
      <w:rPr>
        <w:rFonts w:hint="default"/>
      </w:rPr>
    </w:lvl>
    <w:lvl w:ilvl="1">
      <w:start w:val="1"/>
      <w:numFmt w:val="decimal"/>
      <w:lvlRestart w:val="0"/>
      <w:pStyle w:val="AParaNumbering"/>
      <w:lvlText w:val="[%2]"/>
      <w:lvlJc w:val="left"/>
      <w:pPr>
        <w:tabs>
          <w:tab w:val="num" w:pos="540"/>
        </w:tabs>
        <w:ind w:left="180" w:firstLine="0"/>
      </w:pPr>
      <w:rPr>
        <w:rFonts w:ascii="Arial" w:hAnsi="Arial" w:cs="Arial" w:hint="default"/>
        <w:b w:val="0"/>
        <w:i w:val="0"/>
        <w:sz w:val="26"/>
      </w:rPr>
    </w:lvl>
    <w:lvl w:ilvl="2">
      <w:start w:val="1"/>
      <w:numFmt w:val="none"/>
      <w:lvlRestart w:val="0"/>
      <w:suff w:val="nothing"/>
      <w:lvlText w:val="%3"/>
      <w:lvlJc w:val="left"/>
      <w:pPr>
        <w:ind w:left="1440" w:firstLine="0"/>
      </w:pPr>
    </w:lvl>
    <w:lvl w:ilvl="3">
      <w:start w:val="1"/>
      <w:numFmt w:val="decimal"/>
      <w:lvlRestart w:val="0"/>
      <w:suff w:val="nothing"/>
      <w:lvlText w:val="%4."/>
      <w:lvlJc w:val="left"/>
      <w:pPr>
        <w:ind w:left="1440" w:firstLine="0"/>
      </w:pPr>
    </w:lvl>
    <w:lvl w:ilvl="4">
      <w:start w:val="1"/>
      <w:numFmt w:val="lowerLetter"/>
      <w:lvlRestart w:val="0"/>
      <w:suff w:val="nothing"/>
      <w:lvlText w:val="(%5)"/>
      <w:lvlJc w:val="left"/>
      <w:pPr>
        <w:ind w:left="1440" w:firstLine="0"/>
      </w:pPr>
    </w:lvl>
    <w:lvl w:ilvl="5">
      <w:start w:val="1"/>
      <w:numFmt w:val="lowerRoman"/>
      <w:lvlRestart w:val="0"/>
      <w:suff w:val="nothing"/>
      <w:lvlText w:val="(%6)"/>
      <w:lvlJc w:val="left"/>
      <w:pPr>
        <w:ind w:left="1440" w:firstLine="72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
    <w:nsid w:val="4BB365BD"/>
    <w:multiLevelType w:val="hybridMultilevel"/>
    <w:tmpl w:val="8F182342"/>
    <w:lvl w:ilvl="0" w:tplc="579096F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7B09673D"/>
    <w:multiLevelType w:val="hybridMultilevel"/>
    <w:tmpl w:val="44CCCD8A"/>
    <w:lvl w:ilvl="0" w:tplc="9098947E">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
    <w:nsid w:val="7CEB14C5"/>
    <w:multiLevelType w:val="hybridMultilevel"/>
    <w:tmpl w:val="DFBAA0AE"/>
    <w:lvl w:ilvl="0" w:tplc="4976CC5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10"/>
    <w:rsid w:val="00011D3D"/>
    <w:rsid w:val="00015F00"/>
    <w:rsid w:val="000179F6"/>
    <w:rsid w:val="00026A88"/>
    <w:rsid w:val="0003162D"/>
    <w:rsid w:val="00032628"/>
    <w:rsid w:val="00036E06"/>
    <w:rsid w:val="00037C39"/>
    <w:rsid w:val="00037C91"/>
    <w:rsid w:val="0004016B"/>
    <w:rsid w:val="00043D96"/>
    <w:rsid w:val="00044D0F"/>
    <w:rsid w:val="00065F4C"/>
    <w:rsid w:val="00066B08"/>
    <w:rsid w:val="00071BA5"/>
    <w:rsid w:val="000874EB"/>
    <w:rsid w:val="00093D9B"/>
    <w:rsid w:val="000A38F6"/>
    <w:rsid w:val="000D2784"/>
    <w:rsid w:val="000D4552"/>
    <w:rsid w:val="000E3D4F"/>
    <w:rsid w:val="00112848"/>
    <w:rsid w:val="001152B2"/>
    <w:rsid w:val="00130380"/>
    <w:rsid w:val="00130BDA"/>
    <w:rsid w:val="0013560A"/>
    <w:rsid w:val="00155D74"/>
    <w:rsid w:val="001616C6"/>
    <w:rsid w:val="00172B1C"/>
    <w:rsid w:val="00175006"/>
    <w:rsid w:val="00192CB0"/>
    <w:rsid w:val="00194C58"/>
    <w:rsid w:val="00197C82"/>
    <w:rsid w:val="001A0B37"/>
    <w:rsid w:val="001A5A1B"/>
    <w:rsid w:val="001C5069"/>
    <w:rsid w:val="001D5E1E"/>
    <w:rsid w:val="001F0923"/>
    <w:rsid w:val="001F0DAE"/>
    <w:rsid w:val="001F2B44"/>
    <w:rsid w:val="001F700F"/>
    <w:rsid w:val="001F76E4"/>
    <w:rsid w:val="00206483"/>
    <w:rsid w:val="00210189"/>
    <w:rsid w:val="0022082E"/>
    <w:rsid w:val="00230472"/>
    <w:rsid w:val="002317F8"/>
    <w:rsid w:val="00231EFC"/>
    <w:rsid w:val="00242782"/>
    <w:rsid w:val="00245685"/>
    <w:rsid w:val="0024596C"/>
    <w:rsid w:val="00245E4D"/>
    <w:rsid w:val="00261718"/>
    <w:rsid w:val="002856BF"/>
    <w:rsid w:val="002975F5"/>
    <w:rsid w:val="002A0C54"/>
    <w:rsid w:val="002B15F1"/>
    <w:rsid w:val="002B17FC"/>
    <w:rsid w:val="002B1E0B"/>
    <w:rsid w:val="002C7413"/>
    <w:rsid w:val="002E3A4E"/>
    <w:rsid w:val="002F618F"/>
    <w:rsid w:val="0030634D"/>
    <w:rsid w:val="00316461"/>
    <w:rsid w:val="00321BAD"/>
    <w:rsid w:val="00337A67"/>
    <w:rsid w:val="00340AD7"/>
    <w:rsid w:val="00346BC0"/>
    <w:rsid w:val="00362F55"/>
    <w:rsid w:val="00383272"/>
    <w:rsid w:val="003904FF"/>
    <w:rsid w:val="003B014E"/>
    <w:rsid w:val="003C4B75"/>
    <w:rsid w:val="003C6563"/>
    <w:rsid w:val="003D3BDB"/>
    <w:rsid w:val="003E4613"/>
    <w:rsid w:val="003E7803"/>
    <w:rsid w:val="003F0AD7"/>
    <w:rsid w:val="003F31A2"/>
    <w:rsid w:val="00403D54"/>
    <w:rsid w:val="00405885"/>
    <w:rsid w:val="00427F43"/>
    <w:rsid w:val="00431B56"/>
    <w:rsid w:val="00434BB4"/>
    <w:rsid w:val="0044748C"/>
    <w:rsid w:val="00453EE0"/>
    <w:rsid w:val="0045475F"/>
    <w:rsid w:val="00470E24"/>
    <w:rsid w:val="004808C2"/>
    <w:rsid w:val="0049461D"/>
    <w:rsid w:val="004972FA"/>
    <w:rsid w:val="004A7725"/>
    <w:rsid w:val="004C25E0"/>
    <w:rsid w:val="004D0673"/>
    <w:rsid w:val="004E05C2"/>
    <w:rsid w:val="00512785"/>
    <w:rsid w:val="005172C9"/>
    <w:rsid w:val="00541698"/>
    <w:rsid w:val="005532B8"/>
    <w:rsid w:val="0055663C"/>
    <w:rsid w:val="00557F7B"/>
    <w:rsid w:val="00575F8D"/>
    <w:rsid w:val="00583D66"/>
    <w:rsid w:val="005874D3"/>
    <w:rsid w:val="00593C30"/>
    <w:rsid w:val="005A5FCC"/>
    <w:rsid w:val="005C5D64"/>
    <w:rsid w:val="005D48F3"/>
    <w:rsid w:val="005D643C"/>
    <w:rsid w:val="005E0749"/>
    <w:rsid w:val="005F20D4"/>
    <w:rsid w:val="005F6A5B"/>
    <w:rsid w:val="005F74EC"/>
    <w:rsid w:val="0060553D"/>
    <w:rsid w:val="00617697"/>
    <w:rsid w:val="006178F9"/>
    <w:rsid w:val="006303F0"/>
    <w:rsid w:val="00630C13"/>
    <w:rsid w:val="00660BA5"/>
    <w:rsid w:val="006611B7"/>
    <w:rsid w:val="006642DD"/>
    <w:rsid w:val="0067089C"/>
    <w:rsid w:val="00682F0B"/>
    <w:rsid w:val="0068768D"/>
    <w:rsid w:val="0069536E"/>
    <w:rsid w:val="00696AC0"/>
    <w:rsid w:val="006A15BD"/>
    <w:rsid w:val="006A3617"/>
    <w:rsid w:val="006B4F5D"/>
    <w:rsid w:val="006C009C"/>
    <w:rsid w:val="006C2BDD"/>
    <w:rsid w:val="006D68BA"/>
    <w:rsid w:val="006E26B4"/>
    <w:rsid w:val="006E4D81"/>
    <w:rsid w:val="006E7BDD"/>
    <w:rsid w:val="00700A74"/>
    <w:rsid w:val="007120FD"/>
    <w:rsid w:val="007226EF"/>
    <w:rsid w:val="00724BEA"/>
    <w:rsid w:val="007318A2"/>
    <w:rsid w:val="00734C8A"/>
    <w:rsid w:val="00742E9D"/>
    <w:rsid w:val="00751BAC"/>
    <w:rsid w:val="00761268"/>
    <w:rsid w:val="00766931"/>
    <w:rsid w:val="00772A04"/>
    <w:rsid w:val="00774F20"/>
    <w:rsid w:val="00781EA1"/>
    <w:rsid w:val="0078230D"/>
    <w:rsid w:val="00782370"/>
    <w:rsid w:val="00786C8C"/>
    <w:rsid w:val="00787866"/>
    <w:rsid w:val="00797087"/>
    <w:rsid w:val="007A6BA7"/>
    <w:rsid w:val="007B694E"/>
    <w:rsid w:val="007B7560"/>
    <w:rsid w:val="007C1D6B"/>
    <w:rsid w:val="007D4FCC"/>
    <w:rsid w:val="007D7C29"/>
    <w:rsid w:val="008003FD"/>
    <w:rsid w:val="00811D7D"/>
    <w:rsid w:val="00812655"/>
    <w:rsid w:val="00813AE1"/>
    <w:rsid w:val="0081660A"/>
    <w:rsid w:val="008217F7"/>
    <w:rsid w:val="00833406"/>
    <w:rsid w:val="00835526"/>
    <w:rsid w:val="008457A9"/>
    <w:rsid w:val="00867D6D"/>
    <w:rsid w:val="008925C7"/>
    <w:rsid w:val="00897839"/>
    <w:rsid w:val="008A1A47"/>
    <w:rsid w:val="008A721F"/>
    <w:rsid w:val="008D5F67"/>
    <w:rsid w:val="00900DF5"/>
    <w:rsid w:val="00905A78"/>
    <w:rsid w:val="009144C8"/>
    <w:rsid w:val="00934735"/>
    <w:rsid w:val="00936B06"/>
    <w:rsid w:val="00940867"/>
    <w:rsid w:val="009423DA"/>
    <w:rsid w:val="00960BA9"/>
    <w:rsid w:val="00964BB4"/>
    <w:rsid w:val="00971B35"/>
    <w:rsid w:val="00972FF0"/>
    <w:rsid w:val="00974CBF"/>
    <w:rsid w:val="0099197C"/>
    <w:rsid w:val="00994D4E"/>
    <w:rsid w:val="009A0C04"/>
    <w:rsid w:val="009A231E"/>
    <w:rsid w:val="009D55CF"/>
    <w:rsid w:val="009D620B"/>
    <w:rsid w:val="009E0AE5"/>
    <w:rsid w:val="009E4040"/>
    <w:rsid w:val="00A059E6"/>
    <w:rsid w:val="00A06B78"/>
    <w:rsid w:val="00A12691"/>
    <w:rsid w:val="00A14DCC"/>
    <w:rsid w:val="00A15EC9"/>
    <w:rsid w:val="00A20196"/>
    <w:rsid w:val="00A36DF9"/>
    <w:rsid w:val="00A63A42"/>
    <w:rsid w:val="00A67E5B"/>
    <w:rsid w:val="00A71AF9"/>
    <w:rsid w:val="00A83307"/>
    <w:rsid w:val="00A87865"/>
    <w:rsid w:val="00AA06A0"/>
    <w:rsid w:val="00AA06BB"/>
    <w:rsid w:val="00AA7710"/>
    <w:rsid w:val="00AA79E5"/>
    <w:rsid w:val="00AB227F"/>
    <w:rsid w:val="00AC122E"/>
    <w:rsid w:val="00AD445B"/>
    <w:rsid w:val="00AF3519"/>
    <w:rsid w:val="00B03553"/>
    <w:rsid w:val="00B265A2"/>
    <w:rsid w:val="00B363C6"/>
    <w:rsid w:val="00B41E6C"/>
    <w:rsid w:val="00B61149"/>
    <w:rsid w:val="00BB2FB0"/>
    <w:rsid w:val="00BF1F4E"/>
    <w:rsid w:val="00C0348C"/>
    <w:rsid w:val="00C062A7"/>
    <w:rsid w:val="00C0689E"/>
    <w:rsid w:val="00C11B64"/>
    <w:rsid w:val="00C261BC"/>
    <w:rsid w:val="00C42EE5"/>
    <w:rsid w:val="00C43A91"/>
    <w:rsid w:val="00C47F03"/>
    <w:rsid w:val="00C53B87"/>
    <w:rsid w:val="00C56455"/>
    <w:rsid w:val="00C77CA4"/>
    <w:rsid w:val="00C834F3"/>
    <w:rsid w:val="00C96DE9"/>
    <w:rsid w:val="00CA4D6A"/>
    <w:rsid w:val="00CB0731"/>
    <w:rsid w:val="00CB4209"/>
    <w:rsid w:val="00CC00CD"/>
    <w:rsid w:val="00CD24C4"/>
    <w:rsid w:val="00CD312F"/>
    <w:rsid w:val="00CE4A7A"/>
    <w:rsid w:val="00D01E6A"/>
    <w:rsid w:val="00D166AA"/>
    <w:rsid w:val="00D2516E"/>
    <w:rsid w:val="00D531ED"/>
    <w:rsid w:val="00D61653"/>
    <w:rsid w:val="00D82FC7"/>
    <w:rsid w:val="00DA043C"/>
    <w:rsid w:val="00DB3C9B"/>
    <w:rsid w:val="00DC33CF"/>
    <w:rsid w:val="00DD3374"/>
    <w:rsid w:val="00DE665F"/>
    <w:rsid w:val="00E034D7"/>
    <w:rsid w:val="00E041AE"/>
    <w:rsid w:val="00E139ED"/>
    <w:rsid w:val="00E208A4"/>
    <w:rsid w:val="00E35E81"/>
    <w:rsid w:val="00E56332"/>
    <w:rsid w:val="00E60FD2"/>
    <w:rsid w:val="00E8623F"/>
    <w:rsid w:val="00EA759A"/>
    <w:rsid w:val="00EB4EE3"/>
    <w:rsid w:val="00ED5331"/>
    <w:rsid w:val="00F07D47"/>
    <w:rsid w:val="00F1740C"/>
    <w:rsid w:val="00F17B4C"/>
    <w:rsid w:val="00F22489"/>
    <w:rsid w:val="00F2561C"/>
    <w:rsid w:val="00F27B86"/>
    <w:rsid w:val="00F30E34"/>
    <w:rsid w:val="00F4128F"/>
    <w:rsid w:val="00F56BB5"/>
    <w:rsid w:val="00FA0523"/>
    <w:rsid w:val="00FA10B5"/>
    <w:rsid w:val="00FA192E"/>
    <w:rsid w:val="00FA669F"/>
    <w:rsid w:val="00FB278C"/>
    <w:rsid w:val="00FB2F50"/>
    <w:rsid w:val="00FC1015"/>
    <w:rsid w:val="00FC3C31"/>
    <w:rsid w:val="00FD530B"/>
    <w:rsid w:val="00FE110E"/>
    <w:rsid w:val="00FF3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710"/>
    <w:pPr>
      <w:spacing w:after="0" w:line="240" w:lineRule="auto"/>
    </w:pPr>
    <w:rPr>
      <w:rFonts w:eastAsia="Times New Roman"/>
      <w:sz w:val="2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tofAppealforOntario">
    <w:name w:val="Court of Appeal for Ontario"/>
    <w:basedOn w:val="Normal"/>
    <w:semiHidden/>
    <w:qFormat/>
    <w:rsid w:val="00AA7710"/>
    <w:pPr>
      <w:spacing w:after="360"/>
      <w:jc w:val="center"/>
    </w:pPr>
    <w:rPr>
      <w:sz w:val="30"/>
    </w:rPr>
  </w:style>
  <w:style w:type="paragraph" w:customStyle="1" w:styleId="Nameofcounsel">
    <w:name w:val="Name of counsel"/>
    <w:basedOn w:val="Normal"/>
    <w:semiHidden/>
    <w:qFormat/>
    <w:rsid w:val="00AA7710"/>
    <w:pPr>
      <w:spacing w:before="240" w:after="240"/>
    </w:pPr>
  </w:style>
  <w:style w:type="paragraph" w:customStyle="1" w:styleId="Heard">
    <w:name w:val="Heard"/>
    <w:basedOn w:val="Normal"/>
    <w:semiHidden/>
    <w:qFormat/>
    <w:rsid w:val="00AA7710"/>
    <w:pPr>
      <w:spacing w:before="240" w:after="240"/>
    </w:pPr>
  </w:style>
  <w:style w:type="paragraph" w:customStyle="1" w:styleId="Inthematterof">
    <w:name w:val="In the matter of"/>
    <w:basedOn w:val="Normal"/>
    <w:semiHidden/>
    <w:qFormat/>
    <w:rsid w:val="00AA7710"/>
    <w:pPr>
      <w:jc w:val="center"/>
    </w:pPr>
  </w:style>
  <w:style w:type="paragraph" w:styleId="ListParagraph">
    <w:name w:val="List Paragraph"/>
    <w:basedOn w:val="Normal"/>
    <w:uiPriority w:val="34"/>
    <w:qFormat/>
    <w:rsid w:val="00DE665F"/>
    <w:pPr>
      <w:ind w:left="720"/>
      <w:contextualSpacing/>
    </w:pPr>
  </w:style>
  <w:style w:type="paragraph" w:customStyle="1" w:styleId="AParaNumbering">
    <w:name w:val="A. Para Numbering"/>
    <w:basedOn w:val="Normal"/>
    <w:link w:val="AParaNumberingChar"/>
    <w:autoRedefine/>
    <w:qFormat/>
    <w:rsid w:val="00026A88"/>
    <w:pPr>
      <w:numPr>
        <w:ilvl w:val="1"/>
        <w:numId w:val="2"/>
      </w:numPr>
      <w:spacing w:before="120" w:after="120" w:line="480" w:lineRule="auto"/>
      <w:jc w:val="both"/>
    </w:pPr>
    <w:rPr>
      <w:rFonts w:cs="Times New Roman"/>
      <w:szCs w:val="20"/>
    </w:rPr>
  </w:style>
  <w:style w:type="character" w:customStyle="1" w:styleId="AParaNumberingChar">
    <w:name w:val="A. Para Numbering Char"/>
    <w:basedOn w:val="DefaultParagraphFont"/>
    <w:link w:val="AParaNumbering"/>
    <w:rsid w:val="00026A88"/>
    <w:rPr>
      <w:rFonts w:eastAsia="Times New Roman" w:cs="Times New Roman"/>
      <w:sz w:val="26"/>
      <w:szCs w:val="20"/>
    </w:rPr>
  </w:style>
  <w:style w:type="paragraph" w:customStyle="1" w:styleId="Default">
    <w:name w:val="Default"/>
    <w:rsid w:val="001F2B44"/>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575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F8D"/>
    <w:rPr>
      <w:rFonts w:ascii="Segoe UI" w:eastAsia="Times New Roman" w:hAnsi="Segoe UI" w:cs="Segoe UI"/>
      <w:sz w:val="18"/>
      <w:szCs w:val="18"/>
    </w:rPr>
  </w:style>
  <w:style w:type="paragraph" w:styleId="Header">
    <w:name w:val="header"/>
    <w:basedOn w:val="Normal"/>
    <w:link w:val="HeaderChar"/>
    <w:uiPriority w:val="99"/>
    <w:unhideWhenUsed/>
    <w:rsid w:val="00FB278C"/>
    <w:pPr>
      <w:tabs>
        <w:tab w:val="center" w:pos="4680"/>
        <w:tab w:val="right" w:pos="9360"/>
      </w:tabs>
    </w:pPr>
  </w:style>
  <w:style w:type="character" w:customStyle="1" w:styleId="HeaderChar">
    <w:name w:val="Header Char"/>
    <w:basedOn w:val="DefaultParagraphFont"/>
    <w:link w:val="Header"/>
    <w:uiPriority w:val="99"/>
    <w:rsid w:val="00FB278C"/>
    <w:rPr>
      <w:rFonts w:eastAsia="Times New Roman"/>
      <w:sz w:val="26"/>
    </w:rPr>
  </w:style>
  <w:style w:type="paragraph" w:styleId="Footer">
    <w:name w:val="footer"/>
    <w:basedOn w:val="Normal"/>
    <w:link w:val="FooterChar"/>
    <w:uiPriority w:val="99"/>
    <w:unhideWhenUsed/>
    <w:rsid w:val="00FB278C"/>
    <w:pPr>
      <w:tabs>
        <w:tab w:val="center" w:pos="4680"/>
        <w:tab w:val="right" w:pos="9360"/>
      </w:tabs>
    </w:pPr>
  </w:style>
  <w:style w:type="character" w:customStyle="1" w:styleId="FooterChar">
    <w:name w:val="Footer Char"/>
    <w:basedOn w:val="DefaultParagraphFont"/>
    <w:link w:val="Footer"/>
    <w:uiPriority w:val="99"/>
    <w:rsid w:val="00FB278C"/>
    <w:rPr>
      <w:rFonts w:eastAsia="Times New Roman"/>
      <w:sz w:val="26"/>
    </w:rPr>
  </w:style>
  <w:style w:type="paragraph" w:customStyle="1" w:styleId="CQuote">
    <w:name w:val="C. Quote"/>
    <w:basedOn w:val="Normal"/>
    <w:next w:val="AParaNumbering"/>
    <w:qFormat/>
    <w:rsid w:val="00AD445B"/>
    <w:pPr>
      <w:tabs>
        <w:tab w:val="left" w:pos="2160"/>
      </w:tabs>
      <w:spacing w:before="120" w:after="240"/>
      <w:ind w:left="1440" w:right="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ADD22-4356-4517-888D-547B5FFD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3325</Words>
  <Characters>18954</Characters>
  <Application>Microsoft Office Word</Application>
  <DocSecurity>4</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2018-03-13T17:41:00Z</dcterms:created>
  <dcterms:modified xsi:type="dcterms:W3CDTF">2018-03-13T17:41:00Z</dcterms:modified>
</cp:coreProperties>
</file>