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710" w:rsidRPr="00860300" w:rsidRDefault="00AA7710" w:rsidP="005F6A5B">
      <w:pPr>
        <w:shd w:val="clear" w:color="auto" w:fill="FFFFFF"/>
        <w:spacing w:before="1320"/>
        <w:jc w:val="center"/>
        <w:rPr>
          <w:b/>
          <w:szCs w:val="26"/>
        </w:rPr>
      </w:pPr>
      <w:r w:rsidRPr="00860300">
        <w:rPr>
          <w:b/>
          <w:color w:val="000000" w:themeColor="text1"/>
          <w:szCs w:val="26"/>
        </w:rPr>
        <w:t>ONTARIO JUDICIAL COUNCIL</w:t>
      </w:r>
    </w:p>
    <w:p w:rsidR="00AA7710" w:rsidRPr="00860300" w:rsidRDefault="00AA7710" w:rsidP="00AA7710">
      <w:pPr>
        <w:spacing w:before="960"/>
        <w:jc w:val="center"/>
        <w:rPr>
          <w:b/>
          <w:szCs w:val="26"/>
        </w:rPr>
      </w:pPr>
      <w:r w:rsidRPr="00860300">
        <w:rPr>
          <w:b/>
          <w:szCs w:val="26"/>
        </w:rPr>
        <w:t>WARNING</w:t>
      </w:r>
    </w:p>
    <w:p w:rsidR="00AA7710" w:rsidRPr="00860300" w:rsidRDefault="00AA7710" w:rsidP="00AA7710">
      <w:pPr>
        <w:rPr>
          <w:b/>
          <w:szCs w:val="26"/>
        </w:rPr>
      </w:pPr>
    </w:p>
    <w:p w:rsidR="00AA7710" w:rsidRPr="00860300" w:rsidRDefault="00AA7710" w:rsidP="00AA7710">
      <w:pPr>
        <w:jc w:val="both"/>
        <w:rPr>
          <w:szCs w:val="26"/>
        </w:rPr>
      </w:pPr>
      <w:r w:rsidRPr="00860300">
        <w:rPr>
          <w:szCs w:val="26"/>
        </w:rPr>
        <w:t xml:space="preserve">The Hearing Panel hearing this matter </w:t>
      </w:r>
      <w:r>
        <w:rPr>
          <w:szCs w:val="26"/>
        </w:rPr>
        <w:t xml:space="preserve">under section 51.6 of the </w:t>
      </w:r>
      <w:r w:rsidRPr="00860300">
        <w:rPr>
          <w:i/>
          <w:szCs w:val="26"/>
        </w:rPr>
        <w:t>Courts of Justice Act</w:t>
      </w:r>
      <w:r>
        <w:rPr>
          <w:szCs w:val="26"/>
        </w:rPr>
        <w:t xml:space="preserve"> </w:t>
      </w:r>
      <w:r w:rsidRPr="00860300">
        <w:rPr>
          <w:szCs w:val="26"/>
        </w:rPr>
        <w:t>directs that the following notice be attached to the file:</w:t>
      </w:r>
    </w:p>
    <w:p w:rsidR="00AA7710" w:rsidRPr="00860300" w:rsidRDefault="00AA7710" w:rsidP="00AA7710">
      <w:pPr>
        <w:rPr>
          <w:b/>
          <w:szCs w:val="26"/>
        </w:rPr>
      </w:pPr>
    </w:p>
    <w:p w:rsidR="00AA7710" w:rsidRPr="00860300" w:rsidRDefault="00AA7710" w:rsidP="00AA7710">
      <w:pPr>
        <w:shd w:val="clear" w:color="auto" w:fill="FFFFFF"/>
        <w:spacing w:before="240" w:after="240" w:line="432" w:lineRule="atLeast"/>
        <w:ind w:left="567" w:right="855"/>
        <w:jc w:val="both"/>
        <w:rPr>
          <w:color w:val="000000"/>
          <w:szCs w:val="26"/>
          <w:lang w:val="en-US"/>
        </w:rPr>
      </w:pPr>
      <w:r w:rsidRPr="00860300">
        <w:rPr>
          <w:color w:val="000000"/>
          <w:szCs w:val="26"/>
          <w:lang w:val="en-US"/>
        </w:rPr>
        <w:t>The Hearing Panel has ordered that there shall be no publication of any information that identifies or tends to identify the child or children or any family member involved in any child protection matter.</w:t>
      </w:r>
    </w:p>
    <w:p w:rsidR="00AA7710" w:rsidRPr="00860300" w:rsidRDefault="00AA7710" w:rsidP="00AA7710">
      <w:pPr>
        <w:jc w:val="both"/>
        <w:rPr>
          <w:szCs w:val="26"/>
        </w:rPr>
      </w:pPr>
    </w:p>
    <w:p w:rsidR="00FB278C" w:rsidRDefault="00AA7710" w:rsidP="00AA7710">
      <w:pPr>
        <w:rPr>
          <w:szCs w:val="26"/>
        </w:rPr>
        <w:sectPr w:rsidR="00FB278C" w:rsidSect="00FB278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pgNumType w:start="0"/>
          <w:cols w:space="708"/>
          <w:titlePg/>
          <w:docGrid w:linePitch="360"/>
        </w:sectPr>
      </w:pPr>
      <w:r w:rsidRPr="00860300">
        <w:rPr>
          <w:szCs w:val="26"/>
        </w:rPr>
        <w:br w:type="page"/>
      </w:r>
    </w:p>
    <w:p w:rsidR="00AA7710" w:rsidRPr="00860300" w:rsidRDefault="00AA7710" w:rsidP="00AA7710">
      <w:pPr>
        <w:rPr>
          <w:szCs w:val="26"/>
        </w:rPr>
      </w:pPr>
    </w:p>
    <w:p w:rsidR="00AA7710" w:rsidRDefault="00AA7710" w:rsidP="00AA7710">
      <w:pPr>
        <w:pStyle w:val="CourtofAppealforOntario"/>
      </w:pPr>
      <w:r w:rsidRPr="00AD37D3">
        <w:rPr>
          <w:b/>
        </w:rPr>
        <w:t>ONTARIO JUDICIAL COUNCIL</w:t>
      </w:r>
    </w:p>
    <w:p w:rsidR="00AA7710" w:rsidRDefault="00AA7710" w:rsidP="00AA7710">
      <w:pPr>
        <w:pStyle w:val="Inthematterof"/>
        <w:rPr>
          <w:b/>
        </w:rPr>
      </w:pPr>
      <w:r w:rsidRPr="00AD37D3">
        <w:rPr>
          <w:b/>
        </w:rPr>
        <w:t>IN THE MATTER OF</w:t>
      </w:r>
      <w:r>
        <w:rPr>
          <w:b/>
        </w:rPr>
        <w:t xml:space="preserve"> A HEARING UNDER SECTION 51.6 of the </w:t>
      </w:r>
    </w:p>
    <w:p w:rsidR="00AA7710" w:rsidRDefault="00AA7710" w:rsidP="00AA7710">
      <w:pPr>
        <w:pStyle w:val="Inthematterof"/>
      </w:pPr>
      <w:r>
        <w:rPr>
          <w:b/>
          <w:i/>
        </w:rPr>
        <w:t>COURTS OF JUSTICE ACT</w:t>
      </w:r>
      <w:r>
        <w:rPr>
          <w:b/>
        </w:rPr>
        <w:t>, R.S.O. 1990, c. C. 43, as amended</w:t>
      </w:r>
      <w:r>
        <w:t xml:space="preserve"> </w:t>
      </w:r>
    </w:p>
    <w:p w:rsidR="00AA7710" w:rsidRDefault="00AA7710" w:rsidP="00AA7710">
      <w:pPr>
        <w:pStyle w:val="Inthematterof"/>
      </w:pPr>
    </w:p>
    <w:p w:rsidR="00AA7710" w:rsidRDefault="00AA7710" w:rsidP="00AA7710">
      <w:pPr>
        <w:pStyle w:val="Inthematterof"/>
        <w:rPr>
          <w:b/>
        </w:rPr>
      </w:pPr>
      <w:r>
        <w:rPr>
          <w:b/>
        </w:rPr>
        <w:t xml:space="preserve">Concerning a Complaint about the Conduct of </w:t>
      </w:r>
    </w:p>
    <w:p w:rsidR="00AA7710" w:rsidRPr="00BD1D26" w:rsidRDefault="00AA7710" w:rsidP="00AA7710">
      <w:pPr>
        <w:pStyle w:val="Inthematterof"/>
        <w:rPr>
          <w:b/>
        </w:rPr>
      </w:pPr>
      <w:bookmarkStart w:id="0" w:name="_GoBack"/>
      <w:bookmarkEnd w:id="0"/>
      <w:r>
        <w:rPr>
          <w:b/>
        </w:rPr>
        <w:t xml:space="preserve">the Honourable Justice John Keast </w:t>
      </w:r>
    </w:p>
    <w:p w:rsidR="00AA7710" w:rsidRDefault="00AA7710" w:rsidP="00AA7710">
      <w:pPr>
        <w:pStyle w:val="Inthematterof"/>
        <w:spacing w:line="480" w:lineRule="auto"/>
      </w:pPr>
    </w:p>
    <w:p w:rsidR="00AA7710" w:rsidRDefault="00AA7710" w:rsidP="00AA7710">
      <w:pPr>
        <w:pStyle w:val="Nameofcounsel"/>
        <w:spacing w:before="0" w:after="0"/>
        <w:rPr>
          <w:b/>
        </w:rPr>
      </w:pPr>
      <w:r>
        <w:rPr>
          <w:b/>
        </w:rPr>
        <w:t xml:space="preserve">Before: </w:t>
      </w:r>
    </w:p>
    <w:p w:rsidR="00AA7710" w:rsidRDefault="00AA7710" w:rsidP="00AA7710">
      <w:pPr>
        <w:pStyle w:val="Nameofcounsel"/>
        <w:spacing w:before="0" w:after="0"/>
        <w:rPr>
          <w:b/>
        </w:rPr>
      </w:pPr>
    </w:p>
    <w:p w:rsidR="00AA7710" w:rsidRDefault="00AA7710" w:rsidP="00AA7710">
      <w:pPr>
        <w:pStyle w:val="Nameofcounsel"/>
        <w:spacing w:before="0" w:after="0"/>
      </w:pPr>
      <w:r>
        <w:t>Justice Eileen E. Gillese, Chair</w:t>
      </w:r>
    </w:p>
    <w:p w:rsidR="00AA7710" w:rsidRDefault="00AA7710" w:rsidP="00AA7710">
      <w:pPr>
        <w:pStyle w:val="Nameofcounsel"/>
        <w:spacing w:before="0" w:after="0"/>
      </w:pPr>
      <w:r>
        <w:t>Court of Appeal for Ontario</w:t>
      </w:r>
    </w:p>
    <w:p w:rsidR="00AA7710" w:rsidRDefault="00AA7710" w:rsidP="00AA7710">
      <w:pPr>
        <w:pStyle w:val="Nameofcounsel"/>
        <w:spacing w:before="0" w:after="0"/>
      </w:pPr>
    </w:p>
    <w:p w:rsidR="00AA7710" w:rsidRDefault="00AA7710" w:rsidP="00AA7710">
      <w:pPr>
        <w:pStyle w:val="Nameofcounsel"/>
        <w:spacing w:before="0" w:after="0"/>
      </w:pPr>
      <w:r>
        <w:t>Justice Lise S. Parent</w:t>
      </w:r>
    </w:p>
    <w:p w:rsidR="00AA7710" w:rsidRDefault="00AA7710" w:rsidP="00AA7710">
      <w:pPr>
        <w:pStyle w:val="Nameofcounsel"/>
        <w:spacing w:before="0" w:after="0"/>
      </w:pPr>
      <w:r>
        <w:t>Ontario Court of Justice</w:t>
      </w:r>
    </w:p>
    <w:p w:rsidR="00AA7710" w:rsidRDefault="00AA7710" w:rsidP="00AA7710">
      <w:pPr>
        <w:pStyle w:val="Nameofcounsel"/>
        <w:spacing w:before="0" w:after="0"/>
        <w:ind w:left="720"/>
      </w:pPr>
    </w:p>
    <w:p w:rsidR="00AA7710" w:rsidRDefault="00AA7710" w:rsidP="00AA7710">
      <w:pPr>
        <w:pStyle w:val="Nameofcounsel"/>
        <w:spacing w:before="0" w:after="0"/>
      </w:pPr>
      <w:r>
        <w:t>Mr. Christopher D. Bredt</w:t>
      </w:r>
    </w:p>
    <w:p w:rsidR="00AA7710" w:rsidRDefault="00AA7710" w:rsidP="00AA7710">
      <w:pPr>
        <w:pStyle w:val="Nameofcounsel"/>
        <w:spacing w:before="0" w:after="0"/>
      </w:pPr>
      <w:r>
        <w:t>Lawyer Member</w:t>
      </w:r>
    </w:p>
    <w:p w:rsidR="00AA7710" w:rsidRDefault="00AA7710" w:rsidP="00AA7710">
      <w:pPr>
        <w:pStyle w:val="Nameofcounsel"/>
        <w:spacing w:before="0" w:after="0"/>
        <w:ind w:left="720"/>
      </w:pPr>
    </w:p>
    <w:p w:rsidR="00AA7710" w:rsidRDefault="00AA7710" w:rsidP="00AA7710">
      <w:pPr>
        <w:pStyle w:val="Nameofcounsel"/>
        <w:spacing w:before="0" w:after="0"/>
      </w:pPr>
      <w:r>
        <w:t>Ms. Judith A. LaRocque</w:t>
      </w:r>
    </w:p>
    <w:p w:rsidR="00AA7710" w:rsidRDefault="00AA7710" w:rsidP="00AA7710">
      <w:pPr>
        <w:pStyle w:val="Nameofcounsel"/>
        <w:spacing w:before="0" w:after="0"/>
      </w:pPr>
      <w:r>
        <w:t>Community Member</w:t>
      </w:r>
    </w:p>
    <w:p w:rsidR="00AA7710" w:rsidRDefault="00AA7710" w:rsidP="00AA7710">
      <w:pPr>
        <w:pStyle w:val="Nameofcounsel"/>
        <w:spacing w:before="0" w:after="0"/>
        <w:ind w:firstLine="720"/>
        <w:rPr>
          <w:b/>
        </w:rPr>
      </w:pPr>
      <w:r>
        <w:rPr>
          <w:b/>
        </w:rPr>
        <w:tab/>
      </w:r>
    </w:p>
    <w:p w:rsidR="00AA7710" w:rsidRPr="006600B7" w:rsidRDefault="00AA7710" w:rsidP="00AA7710">
      <w:pPr>
        <w:pStyle w:val="Nameofcounsel"/>
        <w:rPr>
          <w:b/>
        </w:rPr>
      </w:pPr>
      <w:r w:rsidRPr="006600B7">
        <w:rPr>
          <w:b/>
        </w:rPr>
        <w:t>Hearing Panel of the Ontario Judicial Council</w:t>
      </w:r>
    </w:p>
    <w:p w:rsidR="008A721F" w:rsidRDefault="008A721F" w:rsidP="00575F8D">
      <w:pPr>
        <w:pStyle w:val="Nameofcounsel"/>
        <w:jc w:val="center"/>
        <w:rPr>
          <w:b/>
          <w:sz w:val="32"/>
          <w:szCs w:val="32"/>
        </w:rPr>
      </w:pPr>
    </w:p>
    <w:p w:rsidR="00682F0B" w:rsidRDefault="00A06B78" w:rsidP="00575F8D">
      <w:pPr>
        <w:pStyle w:val="Nameofcounsel"/>
        <w:jc w:val="center"/>
        <w:rPr>
          <w:b/>
          <w:sz w:val="32"/>
          <w:szCs w:val="32"/>
        </w:rPr>
      </w:pPr>
      <w:r>
        <w:rPr>
          <w:b/>
          <w:sz w:val="32"/>
          <w:szCs w:val="32"/>
        </w:rPr>
        <w:t xml:space="preserve">REASONS FOR </w:t>
      </w:r>
      <w:r w:rsidR="00AA7710">
        <w:rPr>
          <w:b/>
          <w:sz w:val="32"/>
          <w:szCs w:val="32"/>
        </w:rPr>
        <w:t xml:space="preserve">DECISION </w:t>
      </w:r>
      <w:r w:rsidR="00682F0B">
        <w:rPr>
          <w:b/>
          <w:sz w:val="32"/>
          <w:szCs w:val="32"/>
        </w:rPr>
        <w:t xml:space="preserve">– </w:t>
      </w:r>
    </w:p>
    <w:p w:rsidR="00AA7710" w:rsidRPr="00783766" w:rsidRDefault="00682F0B" w:rsidP="00575F8D">
      <w:pPr>
        <w:pStyle w:val="Nameofcounsel"/>
        <w:jc w:val="center"/>
        <w:rPr>
          <w:b/>
          <w:sz w:val="32"/>
          <w:szCs w:val="32"/>
        </w:rPr>
      </w:pPr>
      <w:r>
        <w:rPr>
          <w:b/>
          <w:sz w:val="32"/>
          <w:szCs w:val="32"/>
        </w:rPr>
        <w:t>Compensation for legal costs</w:t>
      </w:r>
    </w:p>
    <w:p w:rsidR="00AA7710" w:rsidRPr="00FC5E19" w:rsidRDefault="00AA7710" w:rsidP="00AA7710">
      <w:pPr>
        <w:pStyle w:val="Nameofcounsel"/>
        <w:rPr>
          <w:b/>
          <w:szCs w:val="26"/>
        </w:rPr>
      </w:pPr>
      <w:r w:rsidRPr="00FC5E19">
        <w:rPr>
          <w:b/>
          <w:szCs w:val="26"/>
        </w:rPr>
        <w:t>Counsel:</w:t>
      </w:r>
    </w:p>
    <w:p w:rsidR="00AA7710" w:rsidRPr="00FC5E19" w:rsidRDefault="00AA7710" w:rsidP="00AA7710">
      <w:pPr>
        <w:pStyle w:val="Nameofcounsel"/>
        <w:spacing w:before="0" w:after="0"/>
        <w:rPr>
          <w:szCs w:val="26"/>
        </w:rPr>
      </w:pPr>
      <w:r w:rsidRPr="00FC5E19">
        <w:rPr>
          <w:szCs w:val="26"/>
        </w:rPr>
        <w:t>Ms. Marie Henein, Mr. Scott Hutchison and Ms. Christine Mainville</w:t>
      </w:r>
      <w:r>
        <w:rPr>
          <w:szCs w:val="26"/>
        </w:rPr>
        <w:t>,</w:t>
      </w:r>
    </w:p>
    <w:p w:rsidR="00AA7710" w:rsidRPr="00FC5E19" w:rsidRDefault="00AA7710" w:rsidP="00AA7710">
      <w:pPr>
        <w:pStyle w:val="Nameofcounsel"/>
        <w:spacing w:before="0" w:after="0"/>
        <w:rPr>
          <w:szCs w:val="26"/>
        </w:rPr>
      </w:pPr>
      <w:r w:rsidRPr="00FC5E19">
        <w:rPr>
          <w:szCs w:val="26"/>
        </w:rPr>
        <w:t xml:space="preserve">Presenting Counsel  </w:t>
      </w:r>
    </w:p>
    <w:p w:rsidR="00AA7710" w:rsidRPr="00FC5E19" w:rsidRDefault="00AA7710" w:rsidP="00AA7710">
      <w:pPr>
        <w:pStyle w:val="Nameofcounsel"/>
        <w:rPr>
          <w:szCs w:val="26"/>
        </w:rPr>
      </w:pPr>
      <w:r w:rsidRPr="00FC5E19">
        <w:rPr>
          <w:szCs w:val="26"/>
        </w:rPr>
        <w:t xml:space="preserve">Mr. Paul Stern, </w:t>
      </w:r>
      <w:r>
        <w:rPr>
          <w:szCs w:val="26"/>
        </w:rPr>
        <w:t>c</w:t>
      </w:r>
      <w:r w:rsidRPr="00FC5E19">
        <w:rPr>
          <w:szCs w:val="26"/>
        </w:rPr>
        <w:t xml:space="preserve">ounsel for Justice Keast </w:t>
      </w:r>
    </w:p>
    <w:p w:rsidR="00AA7710" w:rsidRPr="00FC5E19" w:rsidRDefault="00AA7710" w:rsidP="00AA7710">
      <w:pPr>
        <w:pStyle w:val="Heard"/>
        <w:rPr>
          <w:szCs w:val="26"/>
        </w:rPr>
      </w:pPr>
      <w:r w:rsidRPr="00FC5E19">
        <w:rPr>
          <w:szCs w:val="26"/>
        </w:rPr>
        <w:t>Mr. Chris Kinnear Hunter</w:t>
      </w:r>
      <w:r>
        <w:rPr>
          <w:szCs w:val="26"/>
        </w:rPr>
        <w:t>, counsel</w:t>
      </w:r>
      <w:r w:rsidRPr="00FC5E19">
        <w:rPr>
          <w:szCs w:val="26"/>
        </w:rPr>
        <w:t xml:space="preserve"> for the Children’s Aid Society of the Districts of Sudbury and Manitoulin</w:t>
      </w:r>
    </w:p>
    <w:p w:rsidR="00AA7710" w:rsidRDefault="00AA7710" w:rsidP="00AA7710">
      <w:pPr>
        <w:pStyle w:val="Heard"/>
        <w:rPr>
          <w:szCs w:val="26"/>
        </w:rPr>
      </w:pPr>
      <w:r w:rsidRPr="00FC5E19">
        <w:rPr>
          <w:szCs w:val="26"/>
        </w:rPr>
        <w:t>Mr. Sean A. Moreman</w:t>
      </w:r>
      <w:r>
        <w:rPr>
          <w:szCs w:val="26"/>
        </w:rPr>
        <w:t xml:space="preserve">, counsel </w:t>
      </w:r>
      <w:r w:rsidRPr="00FC5E19">
        <w:rPr>
          <w:szCs w:val="26"/>
        </w:rPr>
        <w:t>for the Canadian Broadcasting Corporation</w:t>
      </w:r>
    </w:p>
    <w:p w:rsidR="00583D66" w:rsidRDefault="00194C58" w:rsidP="005F6A5B">
      <w:pPr>
        <w:pStyle w:val="Nameofcounsel"/>
        <w:jc w:val="center"/>
        <w:rPr>
          <w:b/>
        </w:rPr>
      </w:pPr>
      <w:r w:rsidRPr="00175006">
        <w:rPr>
          <w:b/>
          <w:sz w:val="28"/>
          <w:szCs w:val="28"/>
        </w:rPr>
        <w:t xml:space="preserve">REASONS FOR </w:t>
      </w:r>
      <w:r w:rsidR="00DE665F" w:rsidRPr="00175006">
        <w:rPr>
          <w:b/>
          <w:sz w:val="28"/>
          <w:szCs w:val="28"/>
        </w:rPr>
        <w:t xml:space="preserve">DECISION </w:t>
      </w:r>
      <w:r w:rsidR="00682F0B" w:rsidRPr="00175006">
        <w:rPr>
          <w:b/>
          <w:sz w:val="28"/>
          <w:szCs w:val="28"/>
        </w:rPr>
        <w:t>– Compensation for legal costs</w:t>
      </w:r>
    </w:p>
    <w:p w:rsidR="00DE665F" w:rsidRDefault="006E7BDD" w:rsidP="005F6A5B">
      <w:pPr>
        <w:ind w:left="284"/>
        <w:rPr>
          <w:b/>
        </w:rPr>
      </w:pPr>
      <w:r>
        <w:rPr>
          <w:b/>
        </w:rPr>
        <w:t>OVERVIEW</w:t>
      </w:r>
    </w:p>
    <w:p w:rsidR="006E7BDD" w:rsidRDefault="006E7BDD" w:rsidP="00724BEA">
      <w:pPr>
        <w:rPr>
          <w:b/>
        </w:rPr>
      </w:pPr>
    </w:p>
    <w:p w:rsidR="00583D66" w:rsidRPr="006E7BDD" w:rsidRDefault="00583D66" w:rsidP="00724BEA">
      <w:pPr>
        <w:rPr>
          <w:b/>
        </w:rPr>
      </w:pPr>
    </w:p>
    <w:p w:rsidR="00C42EE5" w:rsidRDefault="00787866" w:rsidP="00026A88">
      <w:pPr>
        <w:pStyle w:val="AParaNumbering"/>
      </w:pPr>
      <w:r>
        <w:t xml:space="preserve">Justice John Keast is a judge of the Ontario Court of Justice </w:t>
      </w:r>
      <w:r w:rsidR="002E3A4E">
        <w:t>(the “OCJ”)</w:t>
      </w:r>
      <w:r w:rsidR="00974CBF">
        <w:t xml:space="preserve"> </w:t>
      </w:r>
      <w:r>
        <w:t xml:space="preserve">in the North East Region.  </w:t>
      </w:r>
      <w:r w:rsidR="00C42EE5">
        <w:t xml:space="preserve">A complaint of judicial misconduct against Justice Keast led to a hearing </w:t>
      </w:r>
      <w:r w:rsidR="007D4FCC">
        <w:t xml:space="preserve">(the “Hearing”) </w:t>
      </w:r>
      <w:r w:rsidR="00C42EE5">
        <w:t xml:space="preserve">under s. 51.6 of the </w:t>
      </w:r>
      <w:r w:rsidR="00C42EE5" w:rsidRPr="00C42EE5">
        <w:rPr>
          <w:i/>
        </w:rPr>
        <w:t>Courts of Justice Act</w:t>
      </w:r>
      <w:r w:rsidR="00C42EE5">
        <w:t>, R.S</w:t>
      </w:r>
      <w:r w:rsidR="005F6A5B">
        <w:t>.O. 1990, c. C.43 (the “Act”).</w:t>
      </w:r>
    </w:p>
    <w:p w:rsidR="00787866" w:rsidRDefault="00434BB4" w:rsidP="00AD445B">
      <w:pPr>
        <w:pStyle w:val="AParaNumbering"/>
      </w:pPr>
      <w:r>
        <w:t xml:space="preserve">In reasons for </w:t>
      </w:r>
      <w:r w:rsidR="00C42EE5">
        <w:t>decision dated December 15, 2017</w:t>
      </w:r>
      <w:r w:rsidR="002E3A4E">
        <w:t xml:space="preserve"> (the “Decision”)</w:t>
      </w:r>
      <w:r w:rsidR="00C42EE5">
        <w:t xml:space="preserve">, this </w:t>
      </w:r>
      <w:r w:rsidR="009D620B">
        <w:t>h</w:t>
      </w:r>
      <w:r w:rsidR="00C42EE5">
        <w:t xml:space="preserve">earing </w:t>
      </w:r>
      <w:r w:rsidR="009D620B">
        <w:t>p</w:t>
      </w:r>
      <w:r w:rsidR="00C42EE5">
        <w:t xml:space="preserve">anel (the </w:t>
      </w:r>
      <w:r w:rsidR="00964BB4">
        <w:t>“</w:t>
      </w:r>
      <w:r w:rsidR="00C42EE5">
        <w:t xml:space="preserve">Panel”) of the Ontario Judicial Council (the “Council”) found that certain conduct </w:t>
      </w:r>
      <w:r w:rsidR="00787866">
        <w:t xml:space="preserve">on the part of </w:t>
      </w:r>
      <w:r w:rsidR="00724BEA">
        <w:t>Justice Keast</w:t>
      </w:r>
      <w:r w:rsidR="00C42EE5">
        <w:t xml:space="preserve"> between January 8 and March 17, 2016, constituted judicial misconduct warranting a disposition under s. 51.6(11) of the Act.  </w:t>
      </w:r>
    </w:p>
    <w:p w:rsidR="007D4FCC" w:rsidRDefault="006E7BDD" w:rsidP="00AD445B">
      <w:pPr>
        <w:pStyle w:val="AParaNumbering"/>
      </w:pPr>
      <w:r>
        <w:t>In th</w:t>
      </w:r>
      <w:r w:rsidR="00434BB4">
        <w:t>ese reasons</w:t>
      </w:r>
      <w:r>
        <w:t>, the Panel deals with Justice Keast’s request</w:t>
      </w:r>
      <w:r w:rsidR="00C261BC">
        <w:t xml:space="preserve"> that</w:t>
      </w:r>
      <w:r w:rsidR="0044748C">
        <w:t xml:space="preserve">, pursuant to section </w:t>
      </w:r>
      <w:r w:rsidR="009D620B">
        <w:t>5</w:t>
      </w:r>
      <w:r w:rsidR="0044748C">
        <w:t>1.7 of the Act,</w:t>
      </w:r>
      <w:r>
        <w:t xml:space="preserve"> </w:t>
      </w:r>
      <w:r w:rsidR="00C42EE5">
        <w:t xml:space="preserve">the </w:t>
      </w:r>
      <w:r w:rsidR="00C261BC">
        <w:t xml:space="preserve">Council </w:t>
      </w:r>
      <w:r w:rsidR="00787866">
        <w:t xml:space="preserve">recommend to the Attorney General that he be </w:t>
      </w:r>
      <w:r w:rsidR="00C42EE5">
        <w:t>compensate</w:t>
      </w:r>
      <w:r w:rsidR="00787866">
        <w:t>d</w:t>
      </w:r>
      <w:r w:rsidR="00C42EE5">
        <w:t xml:space="preserve"> for </w:t>
      </w:r>
      <w:r w:rsidR="007D4FCC">
        <w:t xml:space="preserve">his </w:t>
      </w:r>
      <w:r w:rsidR="00787866">
        <w:t xml:space="preserve">costs </w:t>
      </w:r>
      <w:r w:rsidR="007D4FCC">
        <w:t xml:space="preserve">for </w:t>
      </w:r>
      <w:r w:rsidR="00C42EE5">
        <w:t xml:space="preserve">legal </w:t>
      </w:r>
      <w:r w:rsidR="00787866">
        <w:t xml:space="preserve">services incurred </w:t>
      </w:r>
      <w:r w:rsidR="007D4FCC">
        <w:t xml:space="preserve">in connection with </w:t>
      </w:r>
      <w:r w:rsidR="00787866">
        <w:t>the com</w:t>
      </w:r>
      <w:r w:rsidR="00C42EE5">
        <w:t>plaint</w:t>
      </w:r>
      <w:r w:rsidR="007D4FCC">
        <w:t xml:space="preserve"> and Hearing process</w:t>
      </w:r>
      <w:r>
        <w:t xml:space="preserve"> (the “Legal Costs”)</w:t>
      </w:r>
      <w:r w:rsidR="00787866">
        <w:t>.</w:t>
      </w:r>
      <w:r>
        <w:t xml:space="preserve">  </w:t>
      </w:r>
    </w:p>
    <w:p w:rsidR="006E7BDD" w:rsidRDefault="007D4FCC" w:rsidP="00AD445B">
      <w:pPr>
        <w:pStyle w:val="AParaNumbering"/>
      </w:pPr>
      <w:r>
        <w:t xml:space="preserve">Justice Keast seeks compensation for </w:t>
      </w:r>
      <w:r w:rsidR="006E7BDD">
        <w:t>Legal Costs of $149</w:t>
      </w:r>
      <w:r w:rsidR="002E3A4E">
        <w:t>,</w:t>
      </w:r>
      <w:r w:rsidR="006E7BDD">
        <w:t xml:space="preserve">585.92.  </w:t>
      </w:r>
    </w:p>
    <w:p w:rsidR="006E7BDD" w:rsidRDefault="006E7BDD" w:rsidP="00AD445B">
      <w:pPr>
        <w:pStyle w:val="AParaNumbering"/>
      </w:pPr>
      <w:r>
        <w:t>For the reasons that follow, the Panel recommends</w:t>
      </w:r>
      <w:r w:rsidR="0044748C">
        <w:t xml:space="preserve"> </w:t>
      </w:r>
      <w:r>
        <w:t>that Justice Keast be given $50,000 compensation for Legal Costs.</w:t>
      </w:r>
    </w:p>
    <w:p w:rsidR="008A721F" w:rsidRDefault="008A721F">
      <w:pPr>
        <w:spacing w:after="160" w:line="259" w:lineRule="auto"/>
        <w:rPr>
          <w:rFonts w:cs="Times New Roman"/>
          <w:b/>
          <w:szCs w:val="20"/>
        </w:rPr>
      </w:pPr>
      <w:r>
        <w:rPr>
          <w:b/>
        </w:rPr>
        <w:br w:type="page"/>
      </w:r>
    </w:p>
    <w:p w:rsidR="006E7BDD" w:rsidRPr="00A20196" w:rsidRDefault="005F6A5B" w:rsidP="005F6A5B">
      <w:pPr>
        <w:pStyle w:val="AParaNumbering"/>
        <w:numPr>
          <w:ilvl w:val="0"/>
          <w:numId w:val="0"/>
        </w:numPr>
        <w:ind w:left="284" w:hanging="284"/>
        <w:rPr>
          <w:b/>
        </w:rPr>
      </w:pPr>
      <w:r>
        <w:rPr>
          <w:b/>
        </w:rPr>
        <w:t xml:space="preserve">  </w:t>
      </w:r>
      <w:r w:rsidR="006E7BDD" w:rsidRPr="00A20196">
        <w:rPr>
          <w:b/>
        </w:rPr>
        <w:t>BACKGROUND</w:t>
      </w:r>
    </w:p>
    <w:p w:rsidR="001A5A1B" w:rsidRDefault="006E7BDD" w:rsidP="00AD445B">
      <w:pPr>
        <w:pStyle w:val="AParaNumbering"/>
      </w:pPr>
      <w:r>
        <w:t xml:space="preserve"> </w:t>
      </w:r>
      <w:r w:rsidR="002E3A4E">
        <w:t xml:space="preserve">Between January 8 and March 17, 2016, Justice Keast exchanged text messages with a </w:t>
      </w:r>
      <w:r w:rsidR="005A5FCC">
        <w:t xml:space="preserve">long-time friend who worked for the CAS, </w:t>
      </w:r>
      <w:r w:rsidR="002E3A4E">
        <w:t xml:space="preserve">in which </w:t>
      </w:r>
      <w:r w:rsidR="005A5FCC">
        <w:t xml:space="preserve">he </w:t>
      </w:r>
      <w:r w:rsidR="002E3A4E">
        <w:t xml:space="preserve">acted contrary to the standard of conduct expected of a judge and to the </w:t>
      </w:r>
      <w:r w:rsidR="002E3A4E" w:rsidRPr="008A721F">
        <w:rPr>
          <w:i/>
        </w:rPr>
        <w:t>Principles of Judicial Office</w:t>
      </w:r>
      <w:r w:rsidR="002E3A4E">
        <w:t xml:space="preserve"> for </w:t>
      </w:r>
      <w:r w:rsidR="008A721F">
        <w:t>j</w:t>
      </w:r>
      <w:r w:rsidR="002E3A4E">
        <w:t>udges of the OCJ, established and approved pursuant to s. 51.9 of the Act. This Panel found that Justice Keast’s actions were a serious breach of the standards of judicial conduct that had an adverse impact upon public confidence in the judiciary and the administration o</w:t>
      </w:r>
      <w:r w:rsidR="005F6A5B">
        <w:t>f justice.</w:t>
      </w:r>
    </w:p>
    <w:p w:rsidR="001F2B44" w:rsidRDefault="00835526" w:rsidP="00AD445B">
      <w:pPr>
        <w:pStyle w:val="AParaNumbering"/>
      </w:pPr>
      <w:r>
        <w:t xml:space="preserve">At para. 28 of </w:t>
      </w:r>
      <w:r w:rsidR="002E3A4E">
        <w:t xml:space="preserve">the Decision, </w:t>
      </w:r>
      <w:r w:rsidR="00C261BC">
        <w:t xml:space="preserve">we gave the following summary of </w:t>
      </w:r>
      <w:r w:rsidR="002E3A4E">
        <w:t>the improprieties revealed through the text messages</w:t>
      </w:r>
      <w:r w:rsidR="00C261BC">
        <w:t xml:space="preserve">.  </w:t>
      </w:r>
      <w:r w:rsidR="002E3A4E">
        <w:t>Justice Keast improperly:</w:t>
      </w:r>
    </w:p>
    <w:p w:rsidR="001F2B44" w:rsidRDefault="001F2B44" w:rsidP="000D2784">
      <w:pPr>
        <w:pStyle w:val="Default"/>
        <w:spacing w:after="446"/>
        <w:ind w:firstLine="720"/>
        <w:rPr>
          <w:sz w:val="26"/>
          <w:szCs w:val="26"/>
        </w:rPr>
      </w:pPr>
      <w:r>
        <w:rPr>
          <w:sz w:val="26"/>
          <w:szCs w:val="26"/>
        </w:rPr>
        <w:t xml:space="preserve">- </w:t>
      </w:r>
      <w:r w:rsidR="000D2784">
        <w:rPr>
          <w:sz w:val="26"/>
          <w:szCs w:val="26"/>
        </w:rPr>
        <w:tab/>
      </w:r>
      <w:r>
        <w:rPr>
          <w:sz w:val="26"/>
          <w:szCs w:val="26"/>
        </w:rPr>
        <w:t>communicated confi</w:t>
      </w:r>
      <w:r w:rsidR="005F6A5B">
        <w:rPr>
          <w:sz w:val="26"/>
          <w:szCs w:val="26"/>
        </w:rPr>
        <w:t>dential information to a party;</w:t>
      </w:r>
    </w:p>
    <w:p w:rsidR="001F2B44" w:rsidRDefault="001F2B44" w:rsidP="000D2784">
      <w:pPr>
        <w:pStyle w:val="Default"/>
        <w:spacing w:after="446"/>
        <w:ind w:left="1440" w:hanging="720"/>
        <w:rPr>
          <w:sz w:val="26"/>
          <w:szCs w:val="26"/>
        </w:rPr>
      </w:pPr>
      <w:r>
        <w:rPr>
          <w:sz w:val="26"/>
          <w:szCs w:val="26"/>
        </w:rPr>
        <w:t xml:space="preserve">- </w:t>
      </w:r>
      <w:r w:rsidR="000D2784">
        <w:rPr>
          <w:sz w:val="26"/>
          <w:szCs w:val="26"/>
        </w:rPr>
        <w:tab/>
      </w:r>
      <w:r>
        <w:rPr>
          <w:sz w:val="26"/>
          <w:szCs w:val="26"/>
        </w:rPr>
        <w:t>used his friendship with the recipient of the text messages to gain acce</w:t>
      </w:r>
      <w:r w:rsidR="005F6A5B">
        <w:rPr>
          <w:sz w:val="26"/>
          <w:szCs w:val="26"/>
        </w:rPr>
        <w:t>ss to confidential information;</w:t>
      </w:r>
    </w:p>
    <w:p w:rsidR="00AA06BB" w:rsidRDefault="001F2B44" w:rsidP="00AA06BB">
      <w:pPr>
        <w:pStyle w:val="Default"/>
        <w:spacing w:after="446"/>
        <w:ind w:left="1418" w:hanging="698"/>
        <w:jc w:val="both"/>
        <w:rPr>
          <w:sz w:val="26"/>
          <w:szCs w:val="26"/>
        </w:rPr>
      </w:pPr>
      <w:r>
        <w:rPr>
          <w:sz w:val="26"/>
          <w:szCs w:val="26"/>
        </w:rPr>
        <w:t>-</w:t>
      </w:r>
      <w:r w:rsidR="000D2784">
        <w:rPr>
          <w:sz w:val="26"/>
          <w:szCs w:val="26"/>
        </w:rPr>
        <w:tab/>
      </w:r>
      <w:r>
        <w:rPr>
          <w:sz w:val="26"/>
          <w:szCs w:val="26"/>
        </w:rPr>
        <w:t xml:space="preserve">expressed his views about </w:t>
      </w:r>
      <w:r w:rsidR="000D2784">
        <w:rPr>
          <w:sz w:val="26"/>
          <w:szCs w:val="26"/>
        </w:rPr>
        <w:t>a</w:t>
      </w:r>
      <w:r>
        <w:rPr>
          <w:sz w:val="26"/>
          <w:szCs w:val="26"/>
        </w:rPr>
        <w:t xml:space="preserve"> CAS matter of which he was seized; </w:t>
      </w:r>
    </w:p>
    <w:p w:rsidR="001F2B44" w:rsidRDefault="001F2B44" w:rsidP="00AA06BB">
      <w:pPr>
        <w:pStyle w:val="Default"/>
        <w:spacing w:after="446"/>
        <w:ind w:left="1418" w:hanging="698"/>
        <w:jc w:val="both"/>
        <w:rPr>
          <w:sz w:val="26"/>
          <w:szCs w:val="26"/>
        </w:rPr>
      </w:pPr>
      <w:r>
        <w:rPr>
          <w:sz w:val="26"/>
          <w:szCs w:val="26"/>
        </w:rPr>
        <w:t>-</w:t>
      </w:r>
      <w:r w:rsidR="000D2784">
        <w:rPr>
          <w:sz w:val="26"/>
          <w:szCs w:val="26"/>
        </w:rPr>
        <w:tab/>
      </w:r>
      <w:r>
        <w:rPr>
          <w:sz w:val="26"/>
          <w:szCs w:val="26"/>
        </w:rPr>
        <w:t>made inappropriate comments that could be perceived as indicating bias against the CAS, an institution that regularly appeared</w:t>
      </w:r>
      <w:r w:rsidR="005F6A5B">
        <w:rPr>
          <w:sz w:val="26"/>
          <w:szCs w:val="26"/>
        </w:rPr>
        <w:t xml:space="preserve"> before him;</w:t>
      </w:r>
    </w:p>
    <w:p w:rsidR="001F2B44" w:rsidRDefault="001F2B44" w:rsidP="000D2784">
      <w:pPr>
        <w:pStyle w:val="Default"/>
        <w:spacing w:after="446"/>
        <w:ind w:firstLine="720"/>
        <w:rPr>
          <w:sz w:val="26"/>
          <w:szCs w:val="26"/>
        </w:rPr>
      </w:pPr>
      <w:r>
        <w:rPr>
          <w:sz w:val="26"/>
          <w:szCs w:val="26"/>
        </w:rPr>
        <w:t>-</w:t>
      </w:r>
      <w:r w:rsidR="000D2784">
        <w:rPr>
          <w:sz w:val="26"/>
          <w:szCs w:val="26"/>
        </w:rPr>
        <w:tab/>
      </w:r>
      <w:r>
        <w:rPr>
          <w:sz w:val="26"/>
          <w:szCs w:val="26"/>
        </w:rPr>
        <w:t>provided l</w:t>
      </w:r>
      <w:r w:rsidR="005F6A5B">
        <w:rPr>
          <w:sz w:val="26"/>
          <w:szCs w:val="26"/>
        </w:rPr>
        <w:t>egal advice to his friend; and,</w:t>
      </w:r>
    </w:p>
    <w:p w:rsidR="002E3A4E" w:rsidRDefault="001F2B44" w:rsidP="000D2784">
      <w:pPr>
        <w:pStyle w:val="Default"/>
        <w:ind w:left="1440" w:hanging="720"/>
        <w:rPr>
          <w:sz w:val="26"/>
          <w:szCs w:val="26"/>
        </w:rPr>
      </w:pPr>
      <w:r>
        <w:rPr>
          <w:sz w:val="26"/>
          <w:szCs w:val="26"/>
        </w:rPr>
        <w:t>-</w:t>
      </w:r>
      <w:r w:rsidR="000D2784">
        <w:rPr>
          <w:sz w:val="26"/>
          <w:szCs w:val="26"/>
        </w:rPr>
        <w:tab/>
      </w:r>
      <w:r>
        <w:rPr>
          <w:sz w:val="26"/>
          <w:szCs w:val="26"/>
        </w:rPr>
        <w:t>sought to conceal the text messages from those who might be affected by the exchange of information which they contained.</w:t>
      </w:r>
    </w:p>
    <w:p w:rsidR="001A5A1B" w:rsidRPr="000D2784" w:rsidRDefault="001A5A1B" w:rsidP="000D2784">
      <w:pPr>
        <w:pStyle w:val="Default"/>
        <w:ind w:left="1440" w:hanging="720"/>
        <w:rPr>
          <w:sz w:val="26"/>
          <w:szCs w:val="26"/>
        </w:rPr>
      </w:pPr>
    </w:p>
    <w:p w:rsidR="00E56332" w:rsidRDefault="00066B08" w:rsidP="008356A8">
      <w:pPr>
        <w:pStyle w:val="AParaNumbering"/>
      </w:pPr>
      <w:r>
        <w:t xml:space="preserve"> The Panel also concluded that the text messages created an appearance of bias in relation to the CAS, an institution that appeared regularly before Justice Keast</w:t>
      </w:r>
      <w:r w:rsidR="00774F20">
        <w:t xml:space="preserve"> (at para. 51(ii) of the Decision)</w:t>
      </w:r>
      <w:r>
        <w:t>.</w:t>
      </w:r>
    </w:p>
    <w:p w:rsidR="001A5A1B" w:rsidRDefault="00066B08" w:rsidP="00026A88">
      <w:pPr>
        <w:pStyle w:val="AParaNumbering"/>
      </w:pPr>
      <w:r>
        <w:t xml:space="preserve"> </w:t>
      </w:r>
      <w:r w:rsidR="000D2784">
        <w:t xml:space="preserve">The </w:t>
      </w:r>
      <w:r w:rsidR="007D4FCC">
        <w:t>H</w:t>
      </w:r>
      <w:r w:rsidR="000D2784">
        <w:t xml:space="preserve">earing </w:t>
      </w:r>
      <w:r w:rsidR="007D4FCC">
        <w:t>took place over approximately six days</w:t>
      </w:r>
      <w:r w:rsidR="000D2784">
        <w:t xml:space="preserve"> between April and November 2017. </w:t>
      </w:r>
      <w:r w:rsidR="007D4FCC">
        <w:t xml:space="preserve">The majority of </w:t>
      </w:r>
      <w:r w:rsidR="000D2784">
        <w:t xml:space="preserve">the </w:t>
      </w:r>
      <w:r w:rsidR="007D4FCC">
        <w:t>H</w:t>
      </w:r>
      <w:r w:rsidR="000D2784">
        <w:t xml:space="preserve">earing time was </w:t>
      </w:r>
      <w:r w:rsidR="001A5A1B">
        <w:t xml:space="preserve">devoted to </w:t>
      </w:r>
      <w:r w:rsidR="000D2784">
        <w:t>motions brought by Justice Keast.</w:t>
      </w:r>
    </w:p>
    <w:p w:rsidR="001616C6" w:rsidRDefault="001A5A1B" w:rsidP="00AD445B">
      <w:pPr>
        <w:pStyle w:val="AParaNumbering"/>
      </w:pPr>
      <w:r>
        <w:t xml:space="preserve">Justice Keast </w:t>
      </w:r>
      <w:r w:rsidR="000D2784">
        <w:t>brought a</w:t>
      </w:r>
      <w:r>
        <w:t xml:space="preserve"> partially succ</w:t>
      </w:r>
      <w:r w:rsidR="005F6A5B">
        <w:t xml:space="preserve">essful confidentiality motion. </w:t>
      </w:r>
      <w:r>
        <w:t>In the confidentiality motion, Justice Keast sought to have treated</w:t>
      </w:r>
      <w:r w:rsidR="007D4FCC">
        <w:t>,</w:t>
      </w:r>
      <w:r>
        <w:t xml:space="preserve"> as confidential</w:t>
      </w:r>
      <w:r w:rsidR="007D4FCC">
        <w:t>,</w:t>
      </w:r>
      <w:r>
        <w:t xml:space="preserve"> his name, the details of the complaint, and all related documents.</w:t>
      </w:r>
    </w:p>
    <w:p w:rsidR="007D4FCC" w:rsidRDefault="00835526" w:rsidP="00AD445B">
      <w:pPr>
        <w:pStyle w:val="AParaNumbering"/>
      </w:pPr>
      <w:r>
        <w:t xml:space="preserve">The </w:t>
      </w:r>
      <w:r w:rsidR="001616C6">
        <w:t xml:space="preserve">Panel </w:t>
      </w:r>
      <w:r>
        <w:t xml:space="preserve">accepted that </w:t>
      </w:r>
      <w:r w:rsidR="001616C6">
        <w:t>the privacy interests</w:t>
      </w:r>
      <w:r w:rsidR="00974CBF">
        <w:t xml:space="preserve"> of a </w:t>
      </w:r>
      <w:r w:rsidR="009144C8">
        <w:t>child or children involved in child protection matters engaged by these proceedings</w:t>
      </w:r>
      <w:r>
        <w:t xml:space="preserve"> had to be protected and made various orders accordingly</w:t>
      </w:r>
      <w:r w:rsidR="005F6A5B">
        <w:t xml:space="preserve">. </w:t>
      </w:r>
      <w:r w:rsidR="007D4FCC">
        <w:t xml:space="preserve">One such order was </w:t>
      </w:r>
      <w:r w:rsidR="001616C6">
        <w:t>a publication ban</w:t>
      </w:r>
      <w:r w:rsidR="007D4FCC">
        <w:t xml:space="preserve"> decreeing </w:t>
      </w:r>
      <w:r w:rsidR="001616C6">
        <w:t>that there be no publication of any information identifying</w:t>
      </w:r>
      <w:r w:rsidR="007D4FCC">
        <w:t>,</w:t>
      </w:r>
      <w:r w:rsidR="001616C6">
        <w:t xml:space="preserve"> or tending to identify</w:t>
      </w:r>
      <w:r w:rsidR="007D4FCC">
        <w:t>,</w:t>
      </w:r>
      <w:r w:rsidR="001616C6">
        <w:t xml:space="preserve"> the child or children of any family member involved i</w:t>
      </w:r>
      <w:r w:rsidR="005F6A5B">
        <w:t xml:space="preserve">n any child protection matter. </w:t>
      </w:r>
      <w:r>
        <w:t xml:space="preserve">The Panel </w:t>
      </w:r>
      <w:r w:rsidR="001616C6">
        <w:t xml:space="preserve">also made an </w:t>
      </w:r>
      <w:r w:rsidR="001A5A1B">
        <w:t xml:space="preserve">interim </w:t>
      </w:r>
      <w:r w:rsidR="003E7803">
        <w:t>sealing order in respect of certain materials fil</w:t>
      </w:r>
      <w:r w:rsidR="009144C8">
        <w:t>ed to that point in the process</w:t>
      </w:r>
      <w:r w:rsidR="005F6A5B">
        <w:t xml:space="preserve">. </w:t>
      </w:r>
      <w:r w:rsidR="00974CBF">
        <w:t xml:space="preserve">The </w:t>
      </w:r>
      <w:r w:rsidR="00C834F3">
        <w:t xml:space="preserve">purpose of the </w:t>
      </w:r>
      <w:r w:rsidR="00974CBF">
        <w:t>interim sea</w:t>
      </w:r>
      <w:r w:rsidR="009144C8">
        <w:t xml:space="preserve">ling order was </w:t>
      </w:r>
      <w:r w:rsidR="00C834F3">
        <w:t xml:space="preserve">to </w:t>
      </w:r>
      <w:r w:rsidR="009144C8">
        <w:t>protect</w:t>
      </w:r>
      <w:r w:rsidR="00C834F3">
        <w:t xml:space="preserve"> </w:t>
      </w:r>
      <w:r w:rsidR="009144C8">
        <w:t>those with affected privacy interests.</w:t>
      </w:r>
    </w:p>
    <w:p w:rsidR="007D4FCC" w:rsidRDefault="007D4FCC" w:rsidP="00AD445B">
      <w:pPr>
        <w:pStyle w:val="AParaNumbering"/>
      </w:pPr>
      <w:r>
        <w:t>Apart from the orders made to protect those with affected privacy interests, the confident</w:t>
      </w:r>
      <w:r w:rsidR="005F6A5B">
        <w:t>iality motion was unsuccessful.</w:t>
      </w:r>
    </w:p>
    <w:p w:rsidR="003E7803" w:rsidRDefault="003E7803" w:rsidP="00AD445B">
      <w:pPr>
        <w:pStyle w:val="AParaNumbering"/>
      </w:pPr>
      <w:r>
        <w:t>Justice Keast</w:t>
      </w:r>
      <w:r w:rsidR="007D4FCC">
        <w:t xml:space="preserve">’s later motion seeking to </w:t>
      </w:r>
      <w:r>
        <w:t>have the interim sealing order remain in effect</w:t>
      </w:r>
      <w:r w:rsidR="007D4FCC">
        <w:t xml:space="preserve"> </w:t>
      </w:r>
      <w:r>
        <w:t>was dismissed. The Panel found that clear and convincing evidence had not been adduced to show that restrictions in addition to the publication ban were necessary. We also ordered that the interim sealing order be lifted.</w:t>
      </w:r>
    </w:p>
    <w:p w:rsidR="003E7803" w:rsidRDefault="001A5A1B" w:rsidP="00AD445B">
      <w:pPr>
        <w:pStyle w:val="AParaNumbering"/>
      </w:pPr>
      <w:r>
        <w:t xml:space="preserve">Justice </w:t>
      </w:r>
      <w:r w:rsidR="003E7803">
        <w:t>K</w:t>
      </w:r>
      <w:r>
        <w:t>east’s</w:t>
      </w:r>
      <w:r w:rsidR="003E7803">
        <w:t xml:space="preserve"> </w:t>
      </w:r>
      <w:r w:rsidR="000D2784">
        <w:t xml:space="preserve">motion to have the </w:t>
      </w:r>
      <w:r w:rsidR="007D4FCC">
        <w:t>H</w:t>
      </w:r>
      <w:r w:rsidR="000D2784">
        <w:t>earing held in private</w:t>
      </w:r>
      <w:r w:rsidR="007D4FCC">
        <w:t xml:space="preserve"> was dismissed.  In </w:t>
      </w:r>
      <w:r w:rsidR="00583D66">
        <w:t xml:space="preserve">dismissing the motion and ordering that the Hearing be held </w:t>
      </w:r>
      <w:r w:rsidR="00C834F3">
        <w:t xml:space="preserve">in </w:t>
      </w:r>
      <w:r w:rsidR="00583D66">
        <w:t xml:space="preserve">public, </w:t>
      </w:r>
      <w:r w:rsidR="007D4FCC">
        <w:t xml:space="preserve">the Panel </w:t>
      </w:r>
      <w:r w:rsidR="000D2784">
        <w:t>not</w:t>
      </w:r>
      <w:r w:rsidR="007D4FCC">
        <w:t xml:space="preserve">ed </w:t>
      </w:r>
      <w:r w:rsidR="000D2784">
        <w:t xml:space="preserve">the strong presumption in favour of openness and public accessibility in the hearing of </w:t>
      </w:r>
      <w:r>
        <w:t>a judicial misconduct</w:t>
      </w:r>
      <w:r w:rsidR="007D4FCC">
        <w:t xml:space="preserve"> complaint</w:t>
      </w:r>
      <w:r w:rsidR="000D2784">
        <w:t xml:space="preserve">.  </w:t>
      </w:r>
    </w:p>
    <w:p w:rsidR="00682F0B" w:rsidRDefault="000D2784" w:rsidP="00AD445B">
      <w:pPr>
        <w:pStyle w:val="AParaNumbering"/>
      </w:pPr>
      <w:r>
        <w:t xml:space="preserve">Justice Keast’s </w:t>
      </w:r>
      <w:r w:rsidRPr="00682F0B">
        <w:rPr>
          <w:i/>
        </w:rPr>
        <w:t xml:space="preserve">Charter </w:t>
      </w:r>
      <w:r>
        <w:t>application to exclude the text messages from evidence was also unsuccessful</w:t>
      </w:r>
      <w:r w:rsidR="007D4FCC">
        <w:t>, for reasons set out in the Decision.</w:t>
      </w:r>
    </w:p>
    <w:p w:rsidR="00682F0B" w:rsidRPr="00A20196" w:rsidRDefault="00CC00CD" w:rsidP="00AD445B">
      <w:pPr>
        <w:pStyle w:val="AParaNumbering"/>
        <w:numPr>
          <w:ilvl w:val="0"/>
          <w:numId w:val="0"/>
        </w:numPr>
        <w:rPr>
          <w:b/>
        </w:rPr>
      </w:pPr>
      <w:r>
        <w:rPr>
          <w:b/>
        </w:rPr>
        <w:t xml:space="preserve"> </w:t>
      </w:r>
      <w:r w:rsidR="00682F0B" w:rsidRPr="00A20196">
        <w:rPr>
          <w:b/>
        </w:rPr>
        <w:t>THE ISSUE</w:t>
      </w:r>
    </w:p>
    <w:p w:rsidR="000D2784" w:rsidRDefault="00682F0B" w:rsidP="00AD445B">
      <w:pPr>
        <w:pStyle w:val="AParaNumbering"/>
      </w:pPr>
      <w:r>
        <w:t>Th</w:t>
      </w:r>
      <w:r w:rsidR="0049461D">
        <w:t xml:space="preserve">e issue </w:t>
      </w:r>
      <w:r w:rsidR="005874D3">
        <w:t xml:space="preserve">for </w:t>
      </w:r>
      <w:r w:rsidR="0049461D">
        <w:t>th</w:t>
      </w:r>
      <w:r>
        <w:t xml:space="preserve">is Panel </w:t>
      </w:r>
      <w:r w:rsidR="0049461D">
        <w:t xml:space="preserve">is </w:t>
      </w:r>
      <w:r>
        <w:t>whether to recommend that Justice Keast receive compensation for his Legal Costs and, if so, in what amount</w:t>
      </w:r>
      <w:r w:rsidR="00066B08">
        <w:t xml:space="preserve"> (the “Issue”)</w:t>
      </w:r>
      <w:r>
        <w:t>.</w:t>
      </w:r>
    </w:p>
    <w:p w:rsidR="00974CBF" w:rsidRPr="005172C9" w:rsidRDefault="005874D3" w:rsidP="00AD445B">
      <w:pPr>
        <w:pStyle w:val="AParaNumbering"/>
        <w:numPr>
          <w:ilvl w:val="0"/>
          <w:numId w:val="0"/>
        </w:numPr>
        <w:rPr>
          <w:b/>
        </w:rPr>
      </w:pPr>
      <w:r>
        <w:rPr>
          <w:b/>
        </w:rPr>
        <w:t xml:space="preserve"> </w:t>
      </w:r>
      <w:r w:rsidR="00974CBF" w:rsidRPr="005172C9">
        <w:rPr>
          <w:b/>
        </w:rPr>
        <w:t xml:space="preserve">THE LEGAL FRAMEWORK </w:t>
      </w:r>
      <w:r w:rsidR="002A0C54" w:rsidRPr="005172C9">
        <w:rPr>
          <w:b/>
        </w:rPr>
        <w:t>THAT GOVERNS</w:t>
      </w:r>
    </w:p>
    <w:p w:rsidR="00742E9D" w:rsidRDefault="005C5D64" w:rsidP="00AD445B">
      <w:pPr>
        <w:pStyle w:val="AParaNumbering"/>
      </w:pPr>
      <w:r>
        <w:t>The legal framework governing th</w:t>
      </w:r>
      <w:r w:rsidR="00682F0B">
        <w:t xml:space="preserve">e </w:t>
      </w:r>
      <w:r w:rsidR="00066B08">
        <w:t>I</w:t>
      </w:r>
      <w:r w:rsidR="00682F0B">
        <w:t xml:space="preserve">ssue comes from </w:t>
      </w:r>
      <w:r>
        <w:t>the relevant legislation and case</w:t>
      </w:r>
      <w:r w:rsidR="00617697">
        <w:t xml:space="preserve"> </w:t>
      </w:r>
      <w:r w:rsidR="005F6A5B">
        <w:t>law.</w:t>
      </w:r>
    </w:p>
    <w:p w:rsidR="00066B08" w:rsidRDefault="0049461D" w:rsidP="00AD445B">
      <w:pPr>
        <w:pStyle w:val="AParaNumbering"/>
      </w:pPr>
      <w:r>
        <w:t xml:space="preserve">Because </w:t>
      </w:r>
      <w:r w:rsidR="00427F43">
        <w:t>there was a finding of judicial misconduct in this matter, t</w:t>
      </w:r>
      <w:r w:rsidR="00787866">
        <w:t xml:space="preserve">he relevant </w:t>
      </w:r>
      <w:r w:rsidR="007B7560">
        <w:t xml:space="preserve">legislative </w:t>
      </w:r>
      <w:r w:rsidR="00787866">
        <w:t xml:space="preserve">provisions are ss. 51.7(1), (4), (7) and </w:t>
      </w:r>
      <w:r w:rsidR="00EB4EE3">
        <w:t>(</w:t>
      </w:r>
      <w:r w:rsidR="00787866">
        <w:t>8</w:t>
      </w:r>
      <w:r w:rsidR="00EB4EE3">
        <w:t>)</w:t>
      </w:r>
      <w:r w:rsidR="00787866">
        <w:t xml:space="preserve"> of the Act</w:t>
      </w:r>
      <w:r w:rsidR="00C834F3">
        <w:t>.</w:t>
      </w:r>
      <w:r w:rsidR="00066B08">
        <w:t xml:space="preserve"> The effect of these </w:t>
      </w:r>
      <w:r w:rsidR="00C834F3">
        <w:t xml:space="preserve">provisions </w:t>
      </w:r>
      <w:r w:rsidR="00066B08">
        <w:t>can be summarized as follows.</w:t>
      </w:r>
    </w:p>
    <w:p w:rsidR="00C834F3" w:rsidRDefault="00066B08" w:rsidP="00AD445B">
      <w:pPr>
        <w:pStyle w:val="AParaNumbering"/>
      </w:pPr>
      <w:r>
        <w:t xml:space="preserve">The </w:t>
      </w:r>
      <w:r w:rsidR="00C834F3">
        <w:t xml:space="preserve">Panel </w:t>
      </w:r>
      <w:r>
        <w:t xml:space="preserve">must </w:t>
      </w:r>
      <w:r w:rsidR="00C834F3">
        <w:t>consider whether Justice Keast should be compensated</w:t>
      </w:r>
      <w:r w:rsidR="00321BAD">
        <w:t xml:space="preserve">, in whole or in part, </w:t>
      </w:r>
      <w:r w:rsidR="00C834F3">
        <w:t xml:space="preserve">for </w:t>
      </w:r>
      <w:r>
        <w:t>his c</w:t>
      </w:r>
      <w:r w:rsidR="00C834F3">
        <w:t xml:space="preserve">osts </w:t>
      </w:r>
      <w:r>
        <w:t>for legal ser</w:t>
      </w:r>
      <w:r w:rsidR="00C834F3">
        <w:t xml:space="preserve">vices incurred </w:t>
      </w:r>
      <w:r w:rsidR="00321BAD">
        <w:t xml:space="preserve">in relation to </w:t>
      </w:r>
      <w:r w:rsidR="00B363C6">
        <w:t xml:space="preserve">the </w:t>
      </w:r>
      <w:r w:rsidR="00C834F3">
        <w:t>complaint process, including the Hearing</w:t>
      </w:r>
      <w:r w:rsidR="00787866">
        <w:t>.</w:t>
      </w:r>
      <w:r w:rsidR="00427F43">
        <w:t xml:space="preserve"> If the Panel is of the opinion that Justice Keast should be compensated for his Legal Costs, it shall make a recommendation to the Attorney General to that effect, indicating the amount of compensation.</w:t>
      </w:r>
      <w:r>
        <w:t xml:space="preserve"> The Attorney General shall pay compensation in accordance with the recommendation.</w:t>
      </w:r>
    </w:p>
    <w:p w:rsidR="00787866" w:rsidRDefault="00787866" w:rsidP="00AD445B">
      <w:pPr>
        <w:pStyle w:val="AParaNumbering"/>
      </w:pPr>
      <w:r>
        <w:t xml:space="preserve">The </w:t>
      </w:r>
      <w:r w:rsidR="00C834F3">
        <w:t xml:space="preserve">relevant </w:t>
      </w:r>
      <w:r>
        <w:t>provisions read as follows:</w:t>
      </w:r>
    </w:p>
    <w:p w:rsidR="004C25E0" w:rsidRDefault="00787866" w:rsidP="006E26B4">
      <w:pPr>
        <w:pStyle w:val="AParaNumbering"/>
        <w:numPr>
          <w:ilvl w:val="0"/>
          <w:numId w:val="0"/>
        </w:numPr>
        <w:spacing w:line="240" w:lineRule="auto"/>
        <w:ind w:left="851" w:right="855" w:hanging="142"/>
      </w:pPr>
      <w:r>
        <w:rPr>
          <w:b/>
        </w:rPr>
        <w:t>51.7(1)</w:t>
      </w:r>
      <w:r w:rsidR="004C25E0">
        <w:rPr>
          <w:b/>
        </w:rPr>
        <w:tab/>
      </w:r>
      <w:r>
        <w:t xml:space="preserve">When the Judicial Council has dealt with a complaint against a provincial </w:t>
      </w:r>
      <w:r w:rsidR="007B7560">
        <w:t>judge, it shall consider whethe</w:t>
      </w:r>
      <w:r>
        <w:t>r</w:t>
      </w:r>
      <w:r w:rsidR="007B7560">
        <w:t xml:space="preserve"> the </w:t>
      </w:r>
      <w:r>
        <w:t>judge should be compensated for his or her costs for legal services incurred in connection with all the steps taken under sections 51.4</w:t>
      </w:r>
      <w:r w:rsidR="007B7560">
        <w:t xml:space="preserve">, 51.5 and 51.6 and this section in relation to the </w:t>
      </w:r>
      <w:r>
        <w:t>c</w:t>
      </w:r>
      <w:r w:rsidR="007B7560">
        <w:t>omplaint.</w:t>
      </w:r>
    </w:p>
    <w:p w:rsidR="004C25E0" w:rsidRDefault="007B7560" w:rsidP="006E26B4">
      <w:pPr>
        <w:pStyle w:val="AParaNumbering"/>
        <w:numPr>
          <w:ilvl w:val="0"/>
          <w:numId w:val="0"/>
        </w:numPr>
        <w:spacing w:line="240" w:lineRule="auto"/>
        <w:ind w:left="851" w:right="855" w:firstLine="283"/>
      </w:pPr>
      <w:r>
        <w:rPr>
          <w:b/>
        </w:rPr>
        <w:t>(4)</w:t>
      </w:r>
      <w:r>
        <w:rPr>
          <w:b/>
        </w:rPr>
        <w:tab/>
      </w:r>
      <w:r>
        <w:t>If the Judicial Council is of the opinion that the judge should be compensated, it shall make a recommendation to the Attorney General to that effect, indicating the amount of compensation.</w:t>
      </w:r>
    </w:p>
    <w:p w:rsidR="00787866" w:rsidRDefault="007B7560" w:rsidP="006E26B4">
      <w:pPr>
        <w:pStyle w:val="AParaNumbering"/>
        <w:numPr>
          <w:ilvl w:val="0"/>
          <w:numId w:val="0"/>
        </w:numPr>
        <w:spacing w:line="240" w:lineRule="auto"/>
        <w:ind w:left="851" w:right="855" w:firstLine="283"/>
        <w:rPr>
          <w:b/>
        </w:rPr>
      </w:pPr>
      <w:r>
        <w:rPr>
          <w:b/>
        </w:rPr>
        <w:t>(7)</w:t>
      </w:r>
      <w:r w:rsidR="004C25E0">
        <w:rPr>
          <w:b/>
        </w:rPr>
        <w:tab/>
      </w:r>
      <w:r w:rsidR="004C25E0" w:rsidRPr="004C25E0">
        <w:t>Th</w:t>
      </w:r>
      <w:r>
        <w:t>e amount of compensation recommended under subsection (4) or (5) may relate to all or part of the judge’s costs for legal services, and shall be based on a rate for legal services that does not exceed the maximum rate normally paid by the Government of Ontario for similar services.</w:t>
      </w:r>
    </w:p>
    <w:p w:rsidR="00C834F3" w:rsidRDefault="00EB4EE3" w:rsidP="006E26B4">
      <w:pPr>
        <w:pStyle w:val="AParaNumbering"/>
        <w:numPr>
          <w:ilvl w:val="0"/>
          <w:numId w:val="0"/>
        </w:numPr>
        <w:spacing w:line="240" w:lineRule="auto"/>
        <w:ind w:left="851" w:right="855" w:firstLine="283"/>
      </w:pPr>
      <w:r>
        <w:rPr>
          <w:b/>
        </w:rPr>
        <w:t xml:space="preserve"> (8)</w:t>
      </w:r>
      <w:r w:rsidR="004C25E0">
        <w:rPr>
          <w:b/>
        </w:rPr>
        <w:tab/>
      </w:r>
      <w:r>
        <w:t>The Attorney General shall pay compensation to the judge in accordance with the recommendation.</w:t>
      </w:r>
    </w:p>
    <w:p w:rsidR="00C261BC" w:rsidRDefault="00C261BC" w:rsidP="00C261BC">
      <w:pPr>
        <w:pStyle w:val="AParaNumbering"/>
        <w:numPr>
          <w:ilvl w:val="0"/>
          <w:numId w:val="0"/>
        </w:numPr>
        <w:spacing w:line="240" w:lineRule="auto"/>
        <w:ind w:left="720" w:right="855"/>
      </w:pPr>
    </w:p>
    <w:p w:rsidR="00192CB0" w:rsidRPr="00742E9D" w:rsidRDefault="002A0C54" w:rsidP="00AD445B">
      <w:pPr>
        <w:pStyle w:val="AParaNumbering"/>
      </w:pPr>
      <w:r w:rsidRPr="00DD3374">
        <w:rPr>
          <w:i/>
        </w:rPr>
        <w:t>Massiah v. Justices of the Peace Review Council</w:t>
      </w:r>
      <w:r w:rsidR="00C834F3">
        <w:t xml:space="preserve">, </w:t>
      </w:r>
      <w:r>
        <w:t>2016 ONSC 6191 (Div. Court)</w:t>
      </w:r>
      <w:r w:rsidR="0049461D">
        <w:t xml:space="preserve"> </w:t>
      </w:r>
      <w:r w:rsidR="00742E9D">
        <w:t xml:space="preserve">provides guidance </w:t>
      </w:r>
      <w:r w:rsidR="0049461D">
        <w:t xml:space="preserve">on how this Panel should approach the </w:t>
      </w:r>
      <w:r w:rsidR="00066B08">
        <w:t>I</w:t>
      </w:r>
      <w:r w:rsidR="0049461D">
        <w:t>ssue</w:t>
      </w:r>
      <w:r w:rsidR="005F6A5B">
        <w:t xml:space="preserve">. </w:t>
      </w:r>
      <w:r w:rsidR="00071BA5">
        <w:t xml:space="preserve">In </w:t>
      </w:r>
      <w:r w:rsidR="00C834F3" w:rsidRPr="00DD3374">
        <w:rPr>
          <w:i/>
        </w:rPr>
        <w:t>Massiah</w:t>
      </w:r>
      <w:r w:rsidR="00071BA5">
        <w:t>, the judicial officer in question was a justice of the peace, rather than</w:t>
      </w:r>
      <w:r w:rsidR="00583D66">
        <w:t xml:space="preserve"> – as in this case – a </w:t>
      </w:r>
      <w:r w:rsidR="00071BA5">
        <w:t>judge of the OCJ</w:t>
      </w:r>
      <w:r w:rsidR="00583D66">
        <w:t xml:space="preserve">. </w:t>
      </w:r>
      <w:r w:rsidR="00CB4209">
        <w:t>T</w:t>
      </w:r>
      <w:r w:rsidR="00071BA5">
        <w:t xml:space="preserve">he principles enunciated in </w:t>
      </w:r>
      <w:r w:rsidR="009E0AE5">
        <w:rPr>
          <w:i/>
        </w:rPr>
        <w:t xml:space="preserve">Massiah </w:t>
      </w:r>
      <w:r w:rsidR="00071BA5">
        <w:t>are</w:t>
      </w:r>
      <w:r w:rsidR="00CB4209">
        <w:t xml:space="preserve">, nonetheless, </w:t>
      </w:r>
      <w:r w:rsidR="005F6A5B">
        <w:t>relevant to this case.</w:t>
      </w:r>
    </w:p>
    <w:p w:rsidR="00242782" w:rsidRDefault="00CB4209" w:rsidP="00AD445B">
      <w:pPr>
        <w:pStyle w:val="AParaNumbering"/>
      </w:pPr>
      <w:r>
        <w:t>I</w:t>
      </w:r>
      <w:r w:rsidR="00FF384F">
        <w:t>n</w:t>
      </w:r>
      <w:r>
        <w:t xml:space="preserve"> </w:t>
      </w:r>
      <w:r w:rsidR="00AA06A0" w:rsidRPr="00242782">
        <w:rPr>
          <w:i/>
        </w:rPr>
        <w:t>Ma</w:t>
      </w:r>
      <w:r w:rsidR="00FF384F" w:rsidRPr="00242782">
        <w:rPr>
          <w:i/>
        </w:rPr>
        <w:t>ssiah</w:t>
      </w:r>
      <w:r w:rsidR="00FF384F">
        <w:t>,</w:t>
      </w:r>
      <w:r w:rsidR="0069536E">
        <w:t xml:space="preserve"> the </w:t>
      </w:r>
      <w:r w:rsidR="00812655">
        <w:t>Divisional Court heard a judicial application from the decisions of the Justices of the Peace Review Council</w:t>
      </w:r>
      <w:r w:rsidR="00242782">
        <w:t xml:space="preserve"> (</w:t>
      </w:r>
      <w:r w:rsidR="00427F43">
        <w:t xml:space="preserve">the </w:t>
      </w:r>
      <w:r w:rsidR="00242782">
        <w:t xml:space="preserve">“JPRC”) </w:t>
      </w:r>
      <w:r w:rsidR="00812655">
        <w:t xml:space="preserve">removing Errol Massiah from the office of justice of the peace and denying him compensation for the legal expenses he incurred through the complaints </w:t>
      </w:r>
      <w:r w:rsidR="0069536E">
        <w:t>p</w:t>
      </w:r>
      <w:r w:rsidR="00812655">
        <w:t>rocess</w:t>
      </w:r>
      <w:r w:rsidR="005F6A5B">
        <w:t>.</w:t>
      </w:r>
    </w:p>
    <w:p w:rsidR="0069536E" w:rsidRDefault="00A71AF9" w:rsidP="00AD445B">
      <w:pPr>
        <w:pStyle w:val="AParaNumbering"/>
      </w:pPr>
      <w:r>
        <w:t xml:space="preserve">Justice Nordheimer (as he then was), writing for the Divisional Court, </w:t>
      </w:r>
      <w:r w:rsidR="00812655">
        <w:t xml:space="preserve">upheld the </w:t>
      </w:r>
      <w:r w:rsidR="00242782">
        <w:t xml:space="preserve">JPRC </w:t>
      </w:r>
      <w:r w:rsidR="00812655">
        <w:t xml:space="preserve">removal decision but set aside </w:t>
      </w:r>
      <w:r w:rsidR="00427F43">
        <w:t xml:space="preserve">its </w:t>
      </w:r>
      <w:r w:rsidR="00812655">
        <w:t xml:space="preserve">decision on compensation and remitted </w:t>
      </w:r>
      <w:r w:rsidR="00427F43">
        <w:t xml:space="preserve">that matter </w:t>
      </w:r>
      <w:r w:rsidR="00812655">
        <w:t xml:space="preserve">to the </w:t>
      </w:r>
      <w:r w:rsidR="00242782">
        <w:t xml:space="preserve">JPRC </w:t>
      </w:r>
      <w:r w:rsidR="00812655">
        <w:t>hearing panel for reconsideration.</w:t>
      </w:r>
      <w:r>
        <w:t xml:space="preserve"> At para. 49 of </w:t>
      </w:r>
      <w:r>
        <w:rPr>
          <w:i/>
        </w:rPr>
        <w:t>Massiah</w:t>
      </w:r>
      <w:r>
        <w:t xml:space="preserve">, </w:t>
      </w:r>
      <w:r w:rsidR="00DC33CF">
        <w:t xml:space="preserve">Nordheimer J. </w:t>
      </w:r>
      <w:r>
        <w:t>state</w:t>
      </w:r>
      <w:r w:rsidR="00DC33CF">
        <w:t>s</w:t>
      </w:r>
      <w:r>
        <w:t xml:space="preserve"> that the JPRC started from a flawed presumption in making its </w:t>
      </w:r>
      <w:r w:rsidR="00DC33CF">
        <w:t xml:space="preserve">compensation </w:t>
      </w:r>
      <w:r>
        <w:t>decision. Th</w:t>
      </w:r>
      <w:r w:rsidR="00DC33CF">
        <w:t>e</w:t>
      </w:r>
      <w:r>
        <w:t xml:space="preserve"> </w:t>
      </w:r>
      <w:r w:rsidR="00DC33CF">
        <w:t xml:space="preserve">JRPC’s </w:t>
      </w:r>
      <w:r>
        <w:t xml:space="preserve">flawed presumption was that </w:t>
      </w:r>
      <w:r w:rsidR="00DC33CF">
        <w:t>because it had made findings of j</w:t>
      </w:r>
      <w:r>
        <w:t>udicial misconduct,</w:t>
      </w:r>
      <w:r w:rsidR="00541698">
        <w:t xml:space="preserve"> a recommendation for </w:t>
      </w:r>
      <w:r>
        <w:t xml:space="preserve">compensation </w:t>
      </w:r>
      <w:r w:rsidR="00541698">
        <w:t>sh</w:t>
      </w:r>
      <w:r>
        <w:t>ould not be made.</w:t>
      </w:r>
    </w:p>
    <w:p w:rsidR="00242782" w:rsidRDefault="00541698" w:rsidP="00026A88">
      <w:pPr>
        <w:pStyle w:val="AParaNumbering"/>
      </w:pPr>
      <w:r>
        <w:t xml:space="preserve">At para. 56 of </w:t>
      </w:r>
      <w:r>
        <w:rPr>
          <w:i/>
        </w:rPr>
        <w:t>Massiah</w:t>
      </w:r>
      <w:r w:rsidR="00A71AF9">
        <w:t>,</w:t>
      </w:r>
      <w:r>
        <w:t xml:space="preserve"> Nordheimer J. states that </w:t>
      </w:r>
      <w:r w:rsidR="008A1A47">
        <w:t>wh</w:t>
      </w:r>
      <w:r w:rsidR="00AA06A0">
        <w:t>en deciding the matter of compensation</w:t>
      </w:r>
      <w:r w:rsidR="00427F43">
        <w:t xml:space="preserve"> for Legal Costs</w:t>
      </w:r>
      <w:r w:rsidR="00AA06A0">
        <w:t xml:space="preserve">, the </w:t>
      </w:r>
      <w:r w:rsidR="008A1A47">
        <w:t>decision</w:t>
      </w:r>
      <w:r>
        <w:t>-</w:t>
      </w:r>
      <w:r w:rsidR="008A1A47">
        <w:t xml:space="preserve">maker </w:t>
      </w:r>
      <w:r w:rsidR="00FA669F">
        <w:t xml:space="preserve">should </w:t>
      </w:r>
      <w:r w:rsidR="00AA06A0">
        <w:t xml:space="preserve">start from the premise that </w:t>
      </w:r>
      <w:r w:rsidR="008925C7">
        <w:t>the costs of ensuring a fair, full and complete process ought usually to be borne by the public purse</w:t>
      </w:r>
      <w:r w:rsidR="00316461">
        <w:t xml:space="preserve"> (the “Starting Premise”)</w:t>
      </w:r>
      <w:r w:rsidR="00FA669F">
        <w:t xml:space="preserve">. This is the proper starting point because </w:t>
      </w:r>
      <w:r>
        <w:t xml:space="preserve">it is </w:t>
      </w:r>
      <w:r w:rsidR="000E3D4F">
        <w:t xml:space="preserve">the public interest that is being advanced and maintained by the complaint process and </w:t>
      </w:r>
      <w:r w:rsidR="00FA669F">
        <w:t xml:space="preserve">because </w:t>
      </w:r>
      <w:r w:rsidR="000E3D4F">
        <w:t xml:space="preserve">it is </w:t>
      </w:r>
      <w:r>
        <w:t>in the best interests of the administration of justice that the judicial officer subject to a complaint has</w:t>
      </w:r>
      <w:r w:rsidR="005F6A5B">
        <w:t xml:space="preserve"> the benefit of legal counsel.</w:t>
      </w:r>
    </w:p>
    <w:p w:rsidR="000E3D4F" w:rsidRDefault="00316461" w:rsidP="00AD445B">
      <w:pPr>
        <w:pStyle w:val="AParaNumbering"/>
      </w:pPr>
      <w:r>
        <w:t xml:space="preserve">The Starting Premise rests on the </w:t>
      </w:r>
      <w:r w:rsidR="0013560A">
        <w:t>principal objective of the complaint process</w:t>
      </w:r>
      <w:r>
        <w:t xml:space="preserve">, which </w:t>
      </w:r>
      <w:r w:rsidR="0013560A">
        <w:t>is to restore and maintain public confidence in the integrity of the judiciary, not to punish the judicial</w:t>
      </w:r>
      <w:r w:rsidR="0069536E">
        <w:t xml:space="preserve"> officer holder (</w:t>
      </w:r>
      <w:r w:rsidR="00C261BC">
        <w:rPr>
          <w:i/>
        </w:rPr>
        <w:t>Massiah</w:t>
      </w:r>
      <w:r w:rsidR="005A5FCC">
        <w:t>, at para. 51)</w:t>
      </w:r>
      <w:r w:rsidR="0069536E">
        <w:t>.</w:t>
      </w:r>
      <w:r w:rsidR="00FA669F">
        <w:t xml:space="preserve"> The Starting Premise </w:t>
      </w:r>
      <w:r w:rsidR="000E3D4F">
        <w:t>operates regardless of whether there has been a finding of judicial misconduct on the part of the judicial officer (</w:t>
      </w:r>
      <w:r w:rsidR="00C261BC">
        <w:rPr>
          <w:i/>
        </w:rPr>
        <w:t>Massiah</w:t>
      </w:r>
      <w:r w:rsidR="005A5FCC">
        <w:t>, at para. 49</w:t>
      </w:r>
      <w:r w:rsidR="000E3D4F">
        <w:t>).</w:t>
      </w:r>
    </w:p>
    <w:p w:rsidR="007120FD" w:rsidRDefault="00C56455" w:rsidP="00AD445B">
      <w:pPr>
        <w:pStyle w:val="AParaNumbering"/>
      </w:pPr>
      <w:r>
        <w:t>However,</w:t>
      </w:r>
      <w:r w:rsidR="00FA669F">
        <w:t xml:space="preserve"> as </w:t>
      </w:r>
      <w:r w:rsidR="00192CB0">
        <w:rPr>
          <w:i/>
        </w:rPr>
        <w:t>Massiah</w:t>
      </w:r>
      <w:r w:rsidR="005A5FCC">
        <w:t xml:space="preserve"> makes clear at para. 57, </w:t>
      </w:r>
      <w:r w:rsidR="00192CB0">
        <w:t>c</w:t>
      </w:r>
      <w:r w:rsidR="006178F9">
        <w:t xml:space="preserve">ompensation for </w:t>
      </w:r>
      <w:r w:rsidR="008925C7">
        <w:t>L</w:t>
      </w:r>
      <w:r w:rsidR="006178F9">
        <w:t xml:space="preserve">egal </w:t>
      </w:r>
      <w:r w:rsidR="008925C7">
        <w:t>C</w:t>
      </w:r>
      <w:r w:rsidR="006178F9">
        <w:t xml:space="preserve">osts in cases of successful complaints </w:t>
      </w:r>
      <w:r w:rsidR="00C062A7">
        <w:t>i</w:t>
      </w:r>
      <w:r w:rsidR="006178F9">
        <w:t xml:space="preserve">s not automatic. </w:t>
      </w:r>
      <w:r w:rsidR="00D01E6A">
        <w:t xml:space="preserve">The decision whether to recommend compensation must be made </w:t>
      </w:r>
      <w:r w:rsidR="00FA669F">
        <w:t>after</w:t>
      </w:r>
      <w:r w:rsidR="00D01E6A">
        <w:t xml:space="preserve"> due consideration </w:t>
      </w:r>
      <w:r w:rsidR="00FA669F">
        <w:t xml:space="preserve">of </w:t>
      </w:r>
      <w:r w:rsidR="00D01E6A">
        <w:t>the particular circumstances of the case</w:t>
      </w:r>
      <w:r w:rsidR="00B363C6">
        <w:t>,</w:t>
      </w:r>
      <w:r w:rsidR="00D01E6A">
        <w:t xml:space="preserve"> viewed in the context of the objective of the process</w:t>
      </w:r>
      <w:r w:rsidR="005F6A5B">
        <w:t>:</w:t>
      </w:r>
    </w:p>
    <w:p w:rsidR="00C062A7" w:rsidRDefault="00D01E6A" w:rsidP="00026A88">
      <w:pPr>
        <w:pStyle w:val="AParaNumbering"/>
        <w:numPr>
          <w:ilvl w:val="0"/>
          <w:numId w:val="0"/>
        </w:numPr>
        <w:spacing w:after="320" w:line="240" w:lineRule="auto"/>
        <w:ind w:left="720" w:right="856"/>
      </w:pPr>
      <w:r w:rsidRPr="00EA759A">
        <w:t>Chief among those circumstances will be the nature of the misconduct an</w:t>
      </w:r>
      <w:r w:rsidR="006178F9" w:rsidRPr="00EA759A">
        <w:t xml:space="preserve">d </w:t>
      </w:r>
      <w:r w:rsidRPr="00EA759A">
        <w:t>its connection to the judicial function.  For example, misconduct that</w:t>
      </w:r>
      <w:r w:rsidR="006178F9" w:rsidRPr="00EA759A">
        <w:t xml:space="preserve"> </w:t>
      </w:r>
      <w:r w:rsidRPr="00EA759A">
        <w:t>is more directly related to the judicial function may be more deserving of a compensation order than conduct tha</w:t>
      </w:r>
      <w:r w:rsidR="006178F9" w:rsidRPr="00EA759A">
        <w:t>t</w:t>
      </w:r>
      <w:r w:rsidRPr="00EA759A">
        <w:t xml:space="preserve"> is less directly related.  In contrast, conduct that any person ought to have known w</w:t>
      </w:r>
      <w:r w:rsidR="006178F9" w:rsidRPr="00EA759A">
        <w:t>a</w:t>
      </w:r>
      <w:r w:rsidRPr="00EA759A">
        <w:t>s inappropriate will be less deserving of a compensation decision than would conduct that is on</w:t>
      </w:r>
      <w:r w:rsidR="006178F9" w:rsidRPr="00EA759A">
        <w:t>l</w:t>
      </w:r>
      <w:r w:rsidRPr="00EA759A">
        <w:t>y determined to be inappropriate as a resu</w:t>
      </w:r>
      <w:r w:rsidR="006178F9" w:rsidRPr="00EA759A">
        <w:t>l</w:t>
      </w:r>
      <w:r w:rsidRPr="00EA759A">
        <w:t>t of the ultimate decis</w:t>
      </w:r>
      <w:r w:rsidR="006178F9" w:rsidRPr="00EA759A">
        <w:t>i</w:t>
      </w:r>
      <w:r w:rsidRPr="00EA759A">
        <w:t>on in a particular case.  Further, misconduct where ther</w:t>
      </w:r>
      <w:r w:rsidR="006178F9" w:rsidRPr="00EA759A">
        <w:t>e</w:t>
      </w:r>
      <w:r w:rsidRPr="00EA759A">
        <w:t xml:space="preserve"> are multiple instances may be less deserving of a compensation recommendation than would a single instance</w:t>
      </w:r>
      <w:r>
        <w:t xml:space="preserve"> of misconduct.  Similarly, repeated instances of</w:t>
      </w:r>
      <w:r w:rsidR="006178F9">
        <w:t xml:space="preserve"> </w:t>
      </w:r>
      <w:r>
        <w:t>mis</w:t>
      </w:r>
      <w:r w:rsidR="006178F9">
        <w:t>c</w:t>
      </w:r>
      <w:r>
        <w:t>onduct may be less deserving of a compensation recommendat</w:t>
      </w:r>
      <w:r w:rsidR="006178F9">
        <w:t>i</w:t>
      </w:r>
      <w:r>
        <w:t>on tha</w:t>
      </w:r>
      <w:r w:rsidR="006178F9">
        <w:t>n on</w:t>
      </w:r>
      <w:r>
        <w:t>e</w:t>
      </w:r>
      <w:r w:rsidR="006178F9">
        <w:t xml:space="preserve"> </w:t>
      </w:r>
      <w:r>
        <w:t>isolated incident.</w:t>
      </w:r>
      <w:r w:rsidR="00C062A7">
        <w:t xml:space="preserve"> </w:t>
      </w:r>
    </w:p>
    <w:p w:rsidR="00C56455" w:rsidRDefault="00D01E6A" w:rsidP="00026A88">
      <w:pPr>
        <w:pStyle w:val="AParaNumbering"/>
      </w:pPr>
      <w:r>
        <w:t xml:space="preserve">Further, </w:t>
      </w:r>
      <w:r w:rsidR="002B17FC">
        <w:t xml:space="preserve">the decision-maker </w:t>
      </w:r>
      <w:r>
        <w:t xml:space="preserve">may include in its recommendation that compensation should not include the costs associated with steps </w:t>
      </w:r>
      <w:r w:rsidR="00960BA9">
        <w:t xml:space="preserve">which the </w:t>
      </w:r>
      <w:r w:rsidR="002B17FC">
        <w:t xml:space="preserve">decision-maker </w:t>
      </w:r>
      <w:r w:rsidR="00960BA9">
        <w:t xml:space="preserve">views </w:t>
      </w:r>
      <w:r w:rsidR="002B17FC">
        <w:t>as</w:t>
      </w:r>
      <w:r w:rsidR="00960BA9">
        <w:t xml:space="preserve"> </w:t>
      </w:r>
      <w:r>
        <w:t>unmeritorious or unnecessary (</w:t>
      </w:r>
      <w:r w:rsidR="00C261BC">
        <w:rPr>
          <w:i/>
        </w:rPr>
        <w:t>Massiah</w:t>
      </w:r>
      <w:r w:rsidR="005A5FCC">
        <w:t>, at para. 60</w:t>
      </w:r>
      <w:r>
        <w:t>).</w:t>
      </w:r>
    </w:p>
    <w:p w:rsidR="00C56455" w:rsidRPr="0078230D" w:rsidRDefault="00B363C6" w:rsidP="00026A88">
      <w:pPr>
        <w:pStyle w:val="AParaNumbering"/>
        <w:numPr>
          <w:ilvl w:val="0"/>
          <w:numId w:val="0"/>
        </w:numPr>
        <w:rPr>
          <w:b/>
        </w:rPr>
      </w:pPr>
      <w:r>
        <w:rPr>
          <w:b/>
        </w:rPr>
        <w:t xml:space="preserve">  </w:t>
      </w:r>
      <w:r w:rsidR="00C56455" w:rsidRPr="0078230D">
        <w:rPr>
          <w:b/>
        </w:rPr>
        <w:t>APPLICATION TO THIS CASE</w:t>
      </w:r>
    </w:p>
    <w:p w:rsidR="00C261BC" w:rsidRDefault="00CB0731" w:rsidP="00026A88">
      <w:pPr>
        <w:pStyle w:val="AParaNumbering"/>
      </w:pPr>
      <w:r>
        <w:t xml:space="preserve">In accordance with </w:t>
      </w:r>
      <w:r w:rsidR="00F56BB5">
        <w:rPr>
          <w:i/>
        </w:rPr>
        <w:t xml:space="preserve">Massiah, </w:t>
      </w:r>
      <w:r w:rsidR="00F56BB5">
        <w:t xml:space="preserve">the Panel </w:t>
      </w:r>
      <w:r w:rsidR="00470E24">
        <w:t xml:space="preserve">began </w:t>
      </w:r>
      <w:r>
        <w:t xml:space="preserve">its deliberations </w:t>
      </w:r>
      <w:r w:rsidR="00470E24">
        <w:t xml:space="preserve">from the </w:t>
      </w:r>
      <w:r w:rsidR="00F27B86">
        <w:t>Starting Premise</w:t>
      </w:r>
      <w:r>
        <w:t xml:space="preserve"> </w:t>
      </w:r>
      <w:r w:rsidR="00F27B86">
        <w:t>t</w:t>
      </w:r>
      <w:r w:rsidR="00797087">
        <w:t xml:space="preserve">hat </w:t>
      </w:r>
      <w:r w:rsidR="00F27B86">
        <w:t xml:space="preserve">it should recommend payment of the </w:t>
      </w:r>
      <w:r w:rsidR="00797087">
        <w:t>Legal Costs</w:t>
      </w:r>
      <w:r w:rsidR="005F6A5B">
        <w:t>.</w:t>
      </w:r>
    </w:p>
    <w:p w:rsidR="00E041AE" w:rsidRDefault="00797087" w:rsidP="0019285B">
      <w:pPr>
        <w:pStyle w:val="AParaNumbering"/>
      </w:pPr>
      <w:r>
        <w:t>With th</w:t>
      </w:r>
      <w:r w:rsidR="00C261BC">
        <w:t>e Starting P</w:t>
      </w:r>
      <w:r>
        <w:t xml:space="preserve">remise squarely in mind, the Panel </w:t>
      </w:r>
      <w:r w:rsidR="00470E24">
        <w:t xml:space="preserve">then </w:t>
      </w:r>
      <w:r w:rsidR="00C261BC">
        <w:t>considered</w:t>
      </w:r>
      <w:r w:rsidR="009E0AE5">
        <w:t xml:space="preserve">: </w:t>
      </w:r>
      <w:r w:rsidR="00DD3374">
        <w:t xml:space="preserve">(a) </w:t>
      </w:r>
      <w:r w:rsidR="00065F4C">
        <w:t xml:space="preserve">the nature </w:t>
      </w:r>
      <w:r w:rsidR="00DA043C">
        <w:t>and se</w:t>
      </w:r>
      <w:r w:rsidR="00751BAC">
        <w:t>riousness</w:t>
      </w:r>
      <w:r w:rsidR="00DA043C">
        <w:t xml:space="preserve"> </w:t>
      </w:r>
      <w:r w:rsidR="00065F4C">
        <w:t>of the misconduct</w:t>
      </w:r>
      <w:r w:rsidR="00DD3374">
        <w:t xml:space="preserve">, (b) </w:t>
      </w:r>
      <w:r w:rsidR="009E4040">
        <w:t xml:space="preserve">the </w:t>
      </w:r>
      <w:r w:rsidR="00065F4C">
        <w:t xml:space="preserve">connection </w:t>
      </w:r>
      <w:r w:rsidR="009E4040">
        <w:t xml:space="preserve">of the misconduct </w:t>
      </w:r>
      <w:r w:rsidR="00065F4C">
        <w:t>to the judicial function</w:t>
      </w:r>
      <w:r w:rsidR="00DD3374">
        <w:t>;</w:t>
      </w:r>
      <w:r w:rsidR="00C261BC">
        <w:t xml:space="preserve"> </w:t>
      </w:r>
      <w:r w:rsidR="00DD3374">
        <w:t>(c)</w:t>
      </w:r>
      <w:r w:rsidR="008A721F">
        <w:t xml:space="preserve"> </w:t>
      </w:r>
      <w:r w:rsidR="00DD3374">
        <w:t>whe</w:t>
      </w:r>
      <w:r w:rsidR="009E0AE5">
        <w:t xml:space="preserve">ther </w:t>
      </w:r>
      <w:r w:rsidR="00DD3374">
        <w:t xml:space="preserve">the conduct was such that </w:t>
      </w:r>
      <w:r w:rsidR="0024596C">
        <w:t>a</w:t>
      </w:r>
      <w:r w:rsidR="00DD3374">
        <w:t>ny person ought to have known it was inappropriate; (d)</w:t>
      </w:r>
      <w:r w:rsidR="00065F4C">
        <w:t xml:space="preserve"> </w:t>
      </w:r>
      <w:r w:rsidR="009E0AE5">
        <w:t xml:space="preserve">whether the misconduct </w:t>
      </w:r>
      <w:r w:rsidR="009E4040">
        <w:t xml:space="preserve">consisted of </w:t>
      </w:r>
      <w:r w:rsidR="009E0AE5">
        <w:t xml:space="preserve">a single </w:t>
      </w:r>
      <w:r w:rsidR="00C261BC">
        <w:t xml:space="preserve">instance </w:t>
      </w:r>
      <w:r w:rsidR="009E4040">
        <w:t xml:space="preserve">or multiple </w:t>
      </w:r>
      <w:r w:rsidR="009E0AE5">
        <w:t>instance</w:t>
      </w:r>
      <w:r w:rsidR="009E4040">
        <w:t xml:space="preserve">s; (e) whether there had been prior instances of misconduct; and (f) </w:t>
      </w:r>
      <w:r w:rsidR="004A7725">
        <w:t xml:space="preserve">whether </w:t>
      </w:r>
      <w:r w:rsidR="00DA043C">
        <w:t xml:space="preserve">steps taken in the </w:t>
      </w:r>
      <w:r w:rsidR="009E4040">
        <w:t xml:space="preserve">Hearing </w:t>
      </w:r>
      <w:r w:rsidR="00DA043C">
        <w:t>process were unmeritorious or unnecessary</w:t>
      </w:r>
      <w:r w:rsidR="00C261BC">
        <w:t xml:space="preserve"> (the “conduct of the Hearing”)</w:t>
      </w:r>
      <w:r w:rsidR="004A7725">
        <w:t>.</w:t>
      </w:r>
    </w:p>
    <w:p w:rsidR="008003FD" w:rsidRDefault="004A7725" w:rsidP="00AD445B">
      <w:pPr>
        <w:pStyle w:val="AParaNumbering"/>
      </w:pPr>
      <w:r>
        <w:rPr>
          <w:b/>
        </w:rPr>
        <w:t xml:space="preserve">Nature </w:t>
      </w:r>
      <w:r w:rsidR="0022082E">
        <w:rPr>
          <w:b/>
        </w:rPr>
        <w:t>and se</w:t>
      </w:r>
      <w:r w:rsidR="00751BAC">
        <w:rPr>
          <w:b/>
        </w:rPr>
        <w:t xml:space="preserve">riousness </w:t>
      </w:r>
      <w:r>
        <w:rPr>
          <w:b/>
        </w:rPr>
        <w:t xml:space="preserve">of the misconduct </w:t>
      </w:r>
      <w:r w:rsidR="0022082E">
        <w:rPr>
          <w:b/>
        </w:rPr>
        <w:t>–</w:t>
      </w:r>
      <w:r w:rsidR="002975F5">
        <w:rPr>
          <w:b/>
        </w:rPr>
        <w:t xml:space="preserve"> </w:t>
      </w:r>
      <w:r w:rsidR="00172B1C">
        <w:t>I</w:t>
      </w:r>
      <w:r w:rsidR="002975F5">
        <w:t>n terms of the nature of the misconduct, i</w:t>
      </w:r>
      <w:r w:rsidR="00172B1C">
        <w:t>t</w:t>
      </w:r>
      <w:r w:rsidR="002975F5">
        <w:t xml:space="preserve"> is important to note </w:t>
      </w:r>
      <w:r w:rsidR="00F27B86">
        <w:t xml:space="preserve">that </w:t>
      </w:r>
      <w:r w:rsidR="00A059E6">
        <w:t>the misconduct in this case was not of a single type. Justice Keast’s acts constituted v</w:t>
      </w:r>
      <w:r w:rsidR="0003162D">
        <w:t xml:space="preserve">arious types of </w:t>
      </w:r>
      <w:r w:rsidR="002975F5">
        <w:t>misconduct</w:t>
      </w:r>
      <w:r w:rsidR="0003162D">
        <w:t xml:space="preserve">. </w:t>
      </w:r>
      <w:r w:rsidR="00FD530B">
        <w:t xml:space="preserve">As </w:t>
      </w:r>
      <w:r w:rsidR="00A059E6">
        <w:t xml:space="preserve">summarized above, </w:t>
      </w:r>
      <w:r w:rsidR="00FD530B">
        <w:t>t</w:t>
      </w:r>
      <w:r w:rsidR="0022082E">
        <w:t xml:space="preserve">hrough </w:t>
      </w:r>
      <w:r w:rsidR="00FD530B">
        <w:t>th</w:t>
      </w:r>
      <w:r w:rsidR="00F27B86">
        <w:t>e</w:t>
      </w:r>
      <w:r w:rsidR="00FD530B">
        <w:t xml:space="preserve"> </w:t>
      </w:r>
      <w:r w:rsidR="0022082E">
        <w:t xml:space="preserve">text messages </w:t>
      </w:r>
      <w:r w:rsidR="00FD530B">
        <w:t xml:space="preserve">that </w:t>
      </w:r>
      <w:r w:rsidR="009E4040">
        <w:t xml:space="preserve">Justice Keast </w:t>
      </w:r>
      <w:r w:rsidR="0022082E">
        <w:t xml:space="preserve">sent to </w:t>
      </w:r>
      <w:r w:rsidR="009E4040">
        <w:t xml:space="preserve">his </w:t>
      </w:r>
      <w:r w:rsidR="0022082E">
        <w:t xml:space="preserve">friend, </w:t>
      </w:r>
      <w:r w:rsidR="009E4040">
        <w:t xml:space="preserve">he </w:t>
      </w:r>
      <w:r w:rsidR="008003FD">
        <w:t>improperly:</w:t>
      </w:r>
    </w:p>
    <w:p w:rsidR="008003FD" w:rsidRDefault="008003FD" w:rsidP="008003FD">
      <w:pPr>
        <w:pStyle w:val="Default"/>
        <w:spacing w:after="446"/>
        <w:ind w:firstLine="720"/>
        <w:rPr>
          <w:sz w:val="26"/>
          <w:szCs w:val="26"/>
        </w:rPr>
      </w:pPr>
      <w:r>
        <w:rPr>
          <w:sz w:val="26"/>
          <w:szCs w:val="26"/>
        </w:rPr>
        <w:t xml:space="preserve">- </w:t>
      </w:r>
      <w:r>
        <w:rPr>
          <w:sz w:val="26"/>
          <w:szCs w:val="26"/>
        </w:rPr>
        <w:tab/>
        <w:t xml:space="preserve">communicated confidential information to a party; </w:t>
      </w:r>
    </w:p>
    <w:p w:rsidR="008003FD" w:rsidRDefault="008003FD" w:rsidP="008003FD">
      <w:pPr>
        <w:pStyle w:val="Default"/>
        <w:spacing w:after="446"/>
        <w:ind w:left="1440" w:hanging="720"/>
        <w:rPr>
          <w:sz w:val="26"/>
          <w:szCs w:val="26"/>
        </w:rPr>
      </w:pPr>
      <w:r>
        <w:rPr>
          <w:sz w:val="26"/>
          <w:szCs w:val="26"/>
        </w:rPr>
        <w:t xml:space="preserve">- </w:t>
      </w:r>
      <w:r>
        <w:rPr>
          <w:sz w:val="26"/>
          <w:szCs w:val="26"/>
        </w:rPr>
        <w:tab/>
        <w:t xml:space="preserve">used his friendship with the recipient of the text messages to gain access to confidential information; </w:t>
      </w:r>
    </w:p>
    <w:p w:rsidR="008003FD" w:rsidRDefault="008003FD" w:rsidP="008003FD">
      <w:pPr>
        <w:pStyle w:val="Default"/>
        <w:spacing w:after="446"/>
        <w:ind w:firstLine="720"/>
        <w:rPr>
          <w:sz w:val="26"/>
          <w:szCs w:val="26"/>
        </w:rPr>
      </w:pPr>
      <w:r>
        <w:rPr>
          <w:sz w:val="26"/>
          <w:szCs w:val="26"/>
        </w:rPr>
        <w:t>-</w:t>
      </w:r>
      <w:r>
        <w:rPr>
          <w:sz w:val="26"/>
          <w:szCs w:val="26"/>
        </w:rPr>
        <w:tab/>
        <w:t xml:space="preserve">expressed his views about a CAS matter of which he was seized; </w:t>
      </w:r>
    </w:p>
    <w:p w:rsidR="008003FD" w:rsidRDefault="008003FD" w:rsidP="008003FD">
      <w:pPr>
        <w:pStyle w:val="Default"/>
        <w:spacing w:after="446"/>
        <w:ind w:left="1440" w:hanging="720"/>
        <w:rPr>
          <w:sz w:val="26"/>
          <w:szCs w:val="26"/>
        </w:rPr>
      </w:pPr>
      <w:r>
        <w:rPr>
          <w:sz w:val="26"/>
          <w:szCs w:val="26"/>
        </w:rPr>
        <w:t>-</w:t>
      </w:r>
      <w:r>
        <w:rPr>
          <w:sz w:val="26"/>
          <w:szCs w:val="26"/>
        </w:rPr>
        <w:tab/>
        <w:t xml:space="preserve">made inappropriate comments that could be perceived as indicating bias against the CAS, an institution that regularly appeared before him; </w:t>
      </w:r>
    </w:p>
    <w:p w:rsidR="008003FD" w:rsidRDefault="008003FD" w:rsidP="008003FD">
      <w:pPr>
        <w:pStyle w:val="Default"/>
        <w:spacing w:after="446"/>
        <w:ind w:firstLine="720"/>
        <w:rPr>
          <w:sz w:val="26"/>
          <w:szCs w:val="26"/>
        </w:rPr>
      </w:pPr>
      <w:r>
        <w:rPr>
          <w:sz w:val="26"/>
          <w:szCs w:val="26"/>
        </w:rPr>
        <w:t>-</w:t>
      </w:r>
      <w:r>
        <w:rPr>
          <w:sz w:val="26"/>
          <w:szCs w:val="26"/>
        </w:rPr>
        <w:tab/>
        <w:t xml:space="preserve">provided legal advice to his friend; and, </w:t>
      </w:r>
    </w:p>
    <w:p w:rsidR="008003FD" w:rsidRDefault="008003FD" w:rsidP="008003FD">
      <w:pPr>
        <w:pStyle w:val="Default"/>
        <w:ind w:left="1440" w:hanging="720"/>
        <w:rPr>
          <w:sz w:val="26"/>
          <w:szCs w:val="26"/>
        </w:rPr>
      </w:pPr>
      <w:r>
        <w:rPr>
          <w:sz w:val="26"/>
          <w:szCs w:val="26"/>
        </w:rPr>
        <w:t>-</w:t>
      </w:r>
      <w:r>
        <w:rPr>
          <w:sz w:val="26"/>
          <w:szCs w:val="26"/>
        </w:rPr>
        <w:tab/>
        <w:t xml:space="preserve">sought to conceal the text messages from those who might be affected by the exchange of information which they contained. </w:t>
      </w:r>
    </w:p>
    <w:p w:rsidR="008A721F" w:rsidRDefault="008A721F" w:rsidP="00026A88">
      <w:pPr>
        <w:pStyle w:val="AParaNumbering"/>
        <w:numPr>
          <w:ilvl w:val="0"/>
          <w:numId w:val="0"/>
        </w:numPr>
      </w:pPr>
    </w:p>
    <w:p w:rsidR="007A6BA7" w:rsidRDefault="00F27B86" w:rsidP="00AD445B">
      <w:pPr>
        <w:pStyle w:val="AParaNumbering"/>
      </w:pPr>
      <w:r>
        <w:t>Further, as t</w:t>
      </w:r>
      <w:r w:rsidR="0022082E">
        <w:t xml:space="preserve">he Panel </w:t>
      </w:r>
      <w:r w:rsidR="007A6BA7">
        <w:t xml:space="preserve">concluded </w:t>
      </w:r>
      <w:r>
        <w:t>a</w:t>
      </w:r>
      <w:r w:rsidR="007A6BA7">
        <w:t>t para. 51(ii) of the Decision</w:t>
      </w:r>
      <w:r>
        <w:t xml:space="preserve">, </w:t>
      </w:r>
      <w:r w:rsidR="007A6BA7">
        <w:t>the text messages created an appearance of bias in relation to the CAS, an institution that appeared regularly before Justice Keast.</w:t>
      </w:r>
    </w:p>
    <w:p w:rsidR="00936B06" w:rsidRDefault="00FD530B" w:rsidP="00AD445B">
      <w:pPr>
        <w:pStyle w:val="AParaNumbering"/>
      </w:pPr>
      <w:r>
        <w:t xml:space="preserve">It will be readily apparent that each of these forms of misconduct is serious.  The Panel viewed the </w:t>
      </w:r>
      <w:r w:rsidR="007C1D6B">
        <w:t>misconduct</w:t>
      </w:r>
      <w:r>
        <w:t xml:space="preserve"> </w:t>
      </w:r>
      <w:r w:rsidR="0022082E">
        <w:t xml:space="preserve">as </w:t>
      </w:r>
      <w:r w:rsidR="00A059E6">
        <w:t xml:space="preserve">constituting </w:t>
      </w:r>
      <w:r w:rsidR="0022082E">
        <w:t xml:space="preserve">such a serious </w:t>
      </w:r>
      <w:r w:rsidR="00DD3374">
        <w:t xml:space="preserve">breach of </w:t>
      </w:r>
      <w:r w:rsidR="007C1D6B">
        <w:t>the standards of judicial conduct</w:t>
      </w:r>
      <w:r w:rsidR="007226EF">
        <w:t xml:space="preserve"> that</w:t>
      </w:r>
      <w:r w:rsidR="00DD3374">
        <w:t xml:space="preserve"> </w:t>
      </w:r>
      <w:r w:rsidR="00403D54">
        <w:t xml:space="preserve">the </w:t>
      </w:r>
      <w:r w:rsidR="007226EF">
        <w:t xml:space="preserve">only real choice when deciding </w:t>
      </w:r>
      <w:r w:rsidR="00403D54">
        <w:t>sanction was between the first and second most serious sanctions available – either a recommendation for removal from office or suspension without pay for 30 days</w:t>
      </w:r>
      <w:r w:rsidR="00936B06">
        <w:t xml:space="preserve"> (at para. 53 of the Decision).</w:t>
      </w:r>
    </w:p>
    <w:p w:rsidR="00172B1C" w:rsidRDefault="00C77CA4" w:rsidP="006A6ED7">
      <w:pPr>
        <w:pStyle w:val="AParaNumbering"/>
      </w:pPr>
      <w:r w:rsidRPr="00A059E6">
        <w:rPr>
          <w:b/>
        </w:rPr>
        <w:t xml:space="preserve">Connection of the misconduct to the judicial function – </w:t>
      </w:r>
      <w:r>
        <w:t xml:space="preserve">The misconduct did not take place in the courtroom nor did it occur in Justice Keast’s judicial capacity.  The text messages </w:t>
      </w:r>
      <w:r w:rsidR="00936B06">
        <w:t xml:space="preserve">arose </w:t>
      </w:r>
      <w:r w:rsidR="00A059E6">
        <w:t xml:space="preserve">from </w:t>
      </w:r>
      <w:r w:rsidR="00172B1C">
        <w:t xml:space="preserve">a situation in </w:t>
      </w:r>
      <w:r w:rsidR="00936B06">
        <w:t xml:space="preserve">Justice Keast’s </w:t>
      </w:r>
      <w:r w:rsidR="00A059E6">
        <w:t xml:space="preserve">personal </w:t>
      </w:r>
      <w:r w:rsidR="00172B1C">
        <w:t xml:space="preserve">life </w:t>
      </w:r>
      <w:r w:rsidR="00A059E6">
        <w:t xml:space="preserve">and the text messages were exchanged with </w:t>
      </w:r>
      <w:r w:rsidR="005A5FCC">
        <w:t xml:space="preserve">his personal friend, a CAS employee, </w:t>
      </w:r>
      <w:r w:rsidR="00A059E6">
        <w:t xml:space="preserve">by means of Justice Keast’s </w:t>
      </w:r>
      <w:r w:rsidR="00172B1C">
        <w:t>personal cell phone.</w:t>
      </w:r>
    </w:p>
    <w:p w:rsidR="00936B06" w:rsidRDefault="00172B1C" w:rsidP="00AD445B">
      <w:pPr>
        <w:pStyle w:val="AParaNumbering"/>
      </w:pPr>
      <w:r>
        <w:t xml:space="preserve">However, the situation in which the misconduct took place did blur the lines between Justice Keast’s judicial and personal lives.  This was so because Justice Keast’s personal situation related to a CAS matter and, as a judge, </w:t>
      </w:r>
      <w:r w:rsidR="00CB0731">
        <w:t xml:space="preserve">Justice </w:t>
      </w:r>
      <w:r>
        <w:t xml:space="preserve">Keast routinely heard CAS matters. Indeed, one </w:t>
      </w:r>
      <w:r w:rsidR="00CB0731">
        <w:t xml:space="preserve">act of </w:t>
      </w:r>
      <w:r>
        <w:t xml:space="preserve">misconduct related to a CAS matter of which </w:t>
      </w:r>
      <w:r w:rsidR="00CB0731">
        <w:t xml:space="preserve">Justice Keast </w:t>
      </w:r>
      <w:r>
        <w:t>was then seized</w:t>
      </w:r>
      <w:r w:rsidR="00CB0731">
        <w:t xml:space="preserve"> (</w:t>
      </w:r>
      <w:r>
        <w:t>he expressed his views of that matter to his friend</w:t>
      </w:r>
      <w:r w:rsidR="00CB0731">
        <w:t>)</w:t>
      </w:r>
      <w:r>
        <w:t>.</w:t>
      </w:r>
    </w:p>
    <w:p w:rsidR="00A059E6" w:rsidRPr="00A059E6" w:rsidRDefault="00A14DCC" w:rsidP="0067224B">
      <w:pPr>
        <w:pStyle w:val="AParaNumbering"/>
        <w:rPr>
          <w:b/>
        </w:rPr>
      </w:pPr>
      <w:r w:rsidRPr="00A059E6">
        <w:rPr>
          <w:b/>
        </w:rPr>
        <w:t>Whether the conduct was such that any person ought to have known it was inappropriate –</w:t>
      </w:r>
      <w:r w:rsidR="00A059E6" w:rsidRPr="00A059E6">
        <w:rPr>
          <w:b/>
        </w:rPr>
        <w:t xml:space="preserve"> </w:t>
      </w:r>
      <w:r w:rsidR="00A059E6">
        <w:t>I</w:t>
      </w:r>
      <w:r w:rsidR="003904FF">
        <w:t>n our view</w:t>
      </w:r>
      <w:r w:rsidR="00A059E6">
        <w:t xml:space="preserve">, </w:t>
      </w:r>
      <w:r w:rsidR="003904FF">
        <w:t>i</w:t>
      </w:r>
      <w:r>
        <w:t xml:space="preserve">t is self-evident that any person ought to have known that it was inappropriate to </w:t>
      </w:r>
      <w:r w:rsidR="00CB0731">
        <w:t xml:space="preserve">improperly </w:t>
      </w:r>
      <w:r w:rsidR="00A059E6">
        <w:t xml:space="preserve">communicate </w:t>
      </w:r>
      <w:r>
        <w:t>confidential information</w:t>
      </w:r>
      <w:r w:rsidR="00F27B86">
        <w:t xml:space="preserve"> and gain access to such information.  Any person ought also to know that it is inappropriate </w:t>
      </w:r>
      <w:r w:rsidR="00A059E6">
        <w:t xml:space="preserve">to </w:t>
      </w:r>
      <w:r>
        <w:t>use derogatory language when describing individuals and institutions</w:t>
      </w:r>
      <w:r w:rsidR="00A059E6">
        <w:t>.  Given that Justice Keast himself sought to conceal the text messages and urged the recipient of those messages to keep them confidential, there can be little doubt that he knew the text messages were inappropriate.</w:t>
      </w:r>
    </w:p>
    <w:p w:rsidR="00E041AE" w:rsidRPr="00A059E6" w:rsidRDefault="00F27B86" w:rsidP="0067224B">
      <w:pPr>
        <w:pStyle w:val="AParaNumbering"/>
        <w:rPr>
          <w:b/>
        </w:rPr>
      </w:pPr>
      <w:r>
        <w:t xml:space="preserve">In the circumstances of this case, we think the following is also relevant as part of this consideration.  </w:t>
      </w:r>
      <w:r w:rsidR="00FE110E">
        <w:t xml:space="preserve">The nature of the misconduct is such that </w:t>
      </w:r>
      <w:r w:rsidR="00A059E6">
        <w:t xml:space="preserve">any judge would </w:t>
      </w:r>
      <w:r w:rsidR="0004016B">
        <w:t xml:space="preserve">have </w:t>
      </w:r>
      <w:r w:rsidR="00A059E6">
        <w:t>know</w:t>
      </w:r>
      <w:r w:rsidR="0004016B">
        <w:t xml:space="preserve">n </w:t>
      </w:r>
      <w:r w:rsidR="00FE110E">
        <w:t xml:space="preserve">it was inappropriate. Judges know that immediately upon appointment, they may no longer give </w:t>
      </w:r>
      <w:r w:rsidR="00A059E6">
        <w:t>legal advice</w:t>
      </w:r>
      <w:r w:rsidR="00FE110E">
        <w:t xml:space="preserve">. They know that they cannot express, to members of the public, their </w:t>
      </w:r>
      <w:r w:rsidR="0004016B">
        <w:t>view</w:t>
      </w:r>
      <w:r w:rsidR="00FE110E">
        <w:t>s</w:t>
      </w:r>
      <w:r w:rsidR="0004016B">
        <w:t xml:space="preserve"> about a matter of which </w:t>
      </w:r>
      <w:r w:rsidR="00FE110E">
        <w:t>t</w:t>
      </w:r>
      <w:r w:rsidR="0004016B">
        <w:t>he</w:t>
      </w:r>
      <w:r w:rsidR="00FE110E">
        <w:t>y are seized. They know the strictures governing</w:t>
      </w:r>
      <w:r>
        <w:t xml:space="preserve"> access to, and disclosure of, </w:t>
      </w:r>
      <w:r w:rsidR="00FE110E">
        <w:t>confidential information.</w:t>
      </w:r>
    </w:p>
    <w:p w:rsidR="007318A2" w:rsidRDefault="0024596C" w:rsidP="00AD445B">
      <w:pPr>
        <w:pStyle w:val="AParaNumbering"/>
      </w:pPr>
      <w:r w:rsidRPr="0024596C">
        <w:rPr>
          <w:b/>
        </w:rPr>
        <w:t>Whether the</w:t>
      </w:r>
      <w:r w:rsidR="002975F5">
        <w:rPr>
          <w:b/>
        </w:rPr>
        <w:t xml:space="preserve"> </w:t>
      </w:r>
      <w:r w:rsidRPr="0024596C">
        <w:rPr>
          <w:b/>
        </w:rPr>
        <w:t xml:space="preserve">misconduct </w:t>
      </w:r>
      <w:r w:rsidR="00AD445B">
        <w:rPr>
          <w:b/>
        </w:rPr>
        <w:t xml:space="preserve">consisted of </w:t>
      </w:r>
      <w:r w:rsidRPr="0024596C">
        <w:rPr>
          <w:b/>
        </w:rPr>
        <w:t xml:space="preserve">a single instance or </w:t>
      </w:r>
      <w:r w:rsidR="009D620B">
        <w:rPr>
          <w:b/>
        </w:rPr>
        <w:t>multiple instances</w:t>
      </w:r>
      <w:r w:rsidR="002975F5">
        <w:t xml:space="preserve"> – T</w:t>
      </w:r>
      <w:r>
        <w:t xml:space="preserve">he misconduct was not a single instance. While it all flowed from a single, ongoing personal situation, </w:t>
      </w:r>
      <w:r w:rsidR="002975F5">
        <w:t xml:space="preserve">there were multiple acts of misconduct committed </w:t>
      </w:r>
      <w:r w:rsidR="007318A2">
        <w:t>over a three-month period.</w:t>
      </w:r>
    </w:p>
    <w:p w:rsidR="002975F5" w:rsidRDefault="009D620B" w:rsidP="00E733EE">
      <w:pPr>
        <w:pStyle w:val="AParaNumbering"/>
      </w:pPr>
      <w:r w:rsidRPr="002975F5">
        <w:rPr>
          <w:b/>
        </w:rPr>
        <w:t xml:space="preserve">Whether there </w:t>
      </w:r>
      <w:r w:rsidR="002975F5" w:rsidRPr="002975F5">
        <w:rPr>
          <w:b/>
        </w:rPr>
        <w:t>had been p</w:t>
      </w:r>
      <w:r w:rsidR="00CB0731">
        <w:rPr>
          <w:b/>
        </w:rPr>
        <w:t>rior</w:t>
      </w:r>
      <w:r w:rsidR="002975F5" w:rsidRPr="002975F5">
        <w:rPr>
          <w:b/>
        </w:rPr>
        <w:t xml:space="preserve"> </w:t>
      </w:r>
      <w:r w:rsidRPr="002975F5">
        <w:rPr>
          <w:b/>
        </w:rPr>
        <w:t>instances of misconduct</w:t>
      </w:r>
      <w:r>
        <w:t xml:space="preserve"> –</w:t>
      </w:r>
      <w:r w:rsidR="002975F5">
        <w:t xml:space="preserve"> Th</w:t>
      </w:r>
      <w:r>
        <w:t>ere are no prior findings of misconduc</w:t>
      </w:r>
      <w:r w:rsidR="005F6A5B">
        <w:t>t in relation to Justice Keast.</w:t>
      </w:r>
    </w:p>
    <w:p w:rsidR="00761268" w:rsidRDefault="007318A2" w:rsidP="00E733EE">
      <w:pPr>
        <w:pStyle w:val="AParaNumbering"/>
      </w:pPr>
      <w:r w:rsidRPr="002975F5">
        <w:rPr>
          <w:b/>
        </w:rPr>
        <w:t>The c</w:t>
      </w:r>
      <w:r w:rsidR="0024596C" w:rsidRPr="002975F5">
        <w:rPr>
          <w:b/>
        </w:rPr>
        <w:t>onduct of the Hearing</w:t>
      </w:r>
      <w:r w:rsidR="0024596C">
        <w:t xml:space="preserve"> </w:t>
      </w:r>
      <w:r>
        <w:t xml:space="preserve">– </w:t>
      </w:r>
      <w:r w:rsidR="00761268">
        <w:t xml:space="preserve">The Hearing process did not begin with an </w:t>
      </w:r>
      <w:r w:rsidR="00811D7D">
        <w:t>admission of misconduct.</w:t>
      </w:r>
      <w:r w:rsidR="005F6A5B">
        <w:t xml:space="preserve"> </w:t>
      </w:r>
      <w:r w:rsidR="00155D74">
        <w:t xml:space="preserve">On the first day of the Hearing, on the consent of the parties, the Panel ordered that </w:t>
      </w:r>
      <w:r w:rsidR="00CB0731">
        <w:t xml:space="preserve">certain </w:t>
      </w:r>
      <w:r w:rsidR="00155D74">
        <w:t xml:space="preserve">steps </w:t>
      </w:r>
      <w:r w:rsidR="00CB0731">
        <w:t xml:space="preserve">were to </w:t>
      </w:r>
      <w:r w:rsidR="00155D74">
        <w:t>be taken to protect t</w:t>
      </w:r>
      <w:r w:rsidR="005F6A5B">
        <w:t xml:space="preserve">he affected privacy interests. </w:t>
      </w:r>
      <w:r w:rsidR="00155D74">
        <w:t xml:space="preserve">The balance of the Hearing </w:t>
      </w:r>
      <w:r w:rsidR="00130BDA">
        <w:t xml:space="preserve">was largely devoted to hearing </w:t>
      </w:r>
      <w:r w:rsidR="00155D74">
        <w:t>motions</w:t>
      </w:r>
      <w:r w:rsidR="00CB0731">
        <w:t xml:space="preserve"> brought by </w:t>
      </w:r>
      <w:r w:rsidR="00761268">
        <w:t>Justice Keast</w:t>
      </w:r>
      <w:r w:rsidR="00CB0731">
        <w:t xml:space="preserve">, </w:t>
      </w:r>
      <w:r w:rsidR="00761268">
        <w:t>described above.</w:t>
      </w:r>
      <w:r w:rsidR="005F6A5B">
        <w:t xml:space="preserve"> </w:t>
      </w:r>
      <w:r w:rsidR="00761268">
        <w:t xml:space="preserve">It was only after the Panel ruled that the text messages were admissible that </w:t>
      </w:r>
      <w:r w:rsidR="00155D74">
        <w:t xml:space="preserve">the </w:t>
      </w:r>
      <w:r w:rsidR="00761268">
        <w:t>Agreed Statement of Facts</w:t>
      </w:r>
      <w:r w:rsidR="00155D74">
        <w:t xml:space="preserve"> was tendered into evidence and Justice Keast admitted </w:t>
      </w:r>
      <w:r w:rsidR="00CB0731">
        <w:t xml:space="preserve">before the Panel </w:t>
      </w:r>
      <w:r w:rsidR="00155D74">
        <w:t>that his actions co</w:t>
      </w:r>
      <w:r w:rsidR="005F6A5B">
        <w:t>nstituted judicial misconduct.</w:t>
      </w:r>
    </w:p>
    <w:p w:rsidR="00D61653" w:rsidRDefault="00C53B87" w:rsidP="00AD445B">
      <w:pPr>
        <w:pStyle w:val="AParaNumbering"/>
      </w:pPr>
      <w:r>
        <w:t xml:space="preserve">In our view, </w:t>
      </w:r>
      <w:r w:rsidR="00761268">
        <w:t xml:space="preserve">the steps that Justice </w:t>
      </w:r>
      <w:r w:rsidR="00811D7D">
        <w:t>Keast</w:t>
      </w:r>
      <w:r w:rsidR="00761268">
        <w:t xml:space="preserve"> </w:t>
      </w:r>
      <w:r w:rsidR="00130BDA">
        <w:t xml:space="preserve">took </w:t>
      </w:r>
      <w:r w:rsidR="00761268">
        <w:t>prolong</w:t>
      </w:r>
      <w:r w:rsidR="00FE110E">
        <w:t>ed</w:t>
      </w:r>
      <w:r w:rsidR="00761268">
        <w:t xml:space="preserve"> the Hearing</w:t>
      </w:r>
      <w:r>
        <w:t xml:space="preserve"> – certai</w:t>
      </w:r>
      <w:r w:rsidR="005F6A5B">
        <w:t xml:space="preserve">nly, they did not expedite it. </w:t>
      </w:r>
      <w:r>
        <w:t xml:space="preserve">However, </w:t>
      </w:r>
      <w:r w:rsidR="00761268">
        <w:t>g</w:t>
      </w:r>
      <w:r w:rsidR="00811D7D">
        <w:t xml:space="preserve">iven the complexity of the issues and the privacy interests involved, </w:t>
      </w:r>
      <w:r>
        <w:t>we</w:t>
      </w:r>
      <w:r w:rsidR="00811D7D">
        <w:t xml:space="preserve"> do not view them as </w:t>
      </w:r>
      <w:r w:rsidR="0024596C">
        <w:t>unmeritorious or unnecessary</w:t>
      </w:r>
      <w:r w:rsidR="00811D7D">
        <w:t>.</w:t>
      </w:r>
    </w:p>
    <w:p w:rsidR="00130BDA" w:rsidRPr="00130BDA" w:rsidRDefault="00130BDA" w:rsidP="00130BDA">
      <w:pPr>
        <w:pStyle w:val="AParaNumbering"/>
        <w:numPr>
          <w:ilvl w:val="0"/>
          <w:numId w:val="0"/>
        </w:numPr>
        <w:ind w:left="180"/>
        <w:rPr>
          <w:b/>
        </w:rPr>
      </w:pPr>
      <w:r>
        <w:rPr>
          <w:b/>
        </w:rPr>
        <w:t>CONCLUSION</w:t>
      </w:r>
    </w:p>
    <w:p w:rsidR="00751BAC" w:rsidRDefault="00130BDA" w:rsidP="00FA3D0C">
      <w:pPr>
        <w:pStyle w:val="AParaNumbering"/>
        <w:tabs>
          <w:tab w:val="clear" w:pos="540"/>
        </w:tabs>
      </w:pPr>
      <w:r>
        <w:t>The Panel b</w:t>
      </w:r>
      <w:r w:rsidR="006D68BA">
        <w:t xml:space="preserve">egan </w:t>
      </w:r>
      <w:r w:rsidR="00CB0731">
        <w:t>with the Starting P</w:t>
      </w:r>
      <w:r w:rsidR="006D68BA">
        <w:t>remise</w:t>
      </w:r>
      <w:r w:rsidR="005F6A5B">
        <w:t xml:space="preserve">. </w:t>
      </w:r>
      <w:r w:rsidR="00CB0731">
        <w:t xml:space="preserve">That premise, it will be recalled, is </w:t>
      </w:r>
      <w:r w:rsidR="006D68BA">
        <w:t>that the costs of ensuring a fair, full and complete complaint process ought usually to be borne by the public purse because that process advances the public interest and because it is in the best interests of the administration of justice that</w:t>
      </w:r>
      <w:r w:rsidR="00CB0731">
        <w:t xml:space="preserve"> the judicial officer in question </w:t>
      </w:r>
      <w:r w:rsidR="006D68BA">
        <w:t>ha</w:t>
      </w:r>
      <w:r w:rsidR="00261718">
        <w:t>s</w:t>
      </w:r>
      <w:r w:rsidR="006D68BA">
        <w:t xml:space="preserve"> the benefit of legal counsel</w:t>
      </w:r>
      <w:r w:rsidR="00751BAC">
        <w:t xml:space="preserve"> during the process</w:t>
      </w:r>
      <w:r w:rsidR="006D68BA">
        <w:t>.</w:t>
      </w:r>
      <w:r w:rsidR="00751BAC">
        <w:t xml:space="preserve">  </w:t>
      </w:r>
      <w:r w:rsidR="00CB0731">
        <w:t>However,</w:t>
      </w:r>
      <w:r w:rsidR="00751BAC">
        <w:t xml:space="preserve"> after weighing the particular circumstances of this case within the context of the objective of the complaint process, we have concluded </w:t>
      </w:r>
      <w:r w:rsidR="006D68BA">
        <w:t xml:space="preserve">that </w:t>
      </w:r>
      <w:r w:rsidR="00CB0731">
        <w:t xml:space="preserve">the appropriate </w:t>
      </w:r>
      <w:r w:rsidR="006D68BA">
        <w:t>recommend</w:t>
      </w:r>
      <w:r w:rsidR="00CB0731">
        <w:t xml:space="preserve">ation is </w:t>
      </w:r>
      <w:r w:rsidR="006D68BA">
        <w:t xml:space="preserve">that Justice Keast be given approximately </w:t>
      </w:r>
      <w:r w:rsidR="00CB0731">
        <w:t>one-</w:t>
      </w:r>
      <w:r w:rsidR="006D68BA">
        <w:t>third of his Legal Costs</w:t>
      </w:r>
      <w:r w:rsidR="005F6A5B">
        <w:t>.</w:t>
      </w:r>
    </w:p>
    <w:p w:rsidR="006D68BA" w:rsidRDefault="00751BAC" w:rsidP="006D68BA">
      <w:pPr>
        <w:pStyle w:val="AParaNumbering"/>
        <w:tabs>
          <w:tab w:val="clear" w:pos="540"/>
        </w:tabs>
      </w:pPr>
      <w:r>
        <w:t xml:space="preserve">As we explain above, the first three considerations speak against a recommendation for a full, or even substantial, indemnity of the Legal Costs.  </w:t>
      </w:r>
    </w:p>
    <w:p w:rsidR="00172B1C" w:rsidRDefault="00751BAC" w:rsidP="0088324A">
      <w:pPr>
        <w:pStyle w:val="AParaNumbering"/>
      </w:pPr>
      <w:r>
        <w:t xml:space="preserve">First, </w:t>
      </w:r>
      <w:r w:rsidR="00FE110E">
        <w:t xml:space="preserve">Justice Keast committed </w:t>
      </w:r>
      <w:r>
        <w:t xml:space="preserve">a number of different </w:t>
      </w:r>
      <w:r w:rsidR="00FE110E">
        <w:t xml:space="preserve">types of </w:t>
      </w:r>
      <w:r>
        <w:t xml:space="preserve">serious misconduct. Second, the </w:t>
      </w:r>
      <w:r w:rsidR="00FE110E">
        <w:t xml:space="preserve">misconduct </w:t>
      </w:r>
      <w:r>
        <w:t xml:space="preserve">was not directly related to his judicial </w:t>
      </w:r>
      <w:r w:rsidR="005F6A5B">
        <w:t xml:space="preserve">function. </w:t>
      </w:r>
      <w:r w:rsidR="000179F6">
        <w:t xml:space="preserve">It </w:t>
      </w:r>
      <w:r w:rsidR="00FE110E">
        <w:t>arose from a situation</w:t>
      </w:r>
      <w:r w:rsidR="00405885">
        <w:t xml:space="preserve"> in his personal life</w:t>
      </w:r>
      <w:r w:rsidR="000179F6">
        <w:t xml:space="preserve"> and it to</w:t>
      </w:r>
      <w:r w:rsidR="005F6A5B">
        <w:t xml:space="preserve">ok place in his personal life. </w:t>
      </w:r>
      <w:r w:rsidR="00405885">
        <w:t xml:space="preserve">While there was </w:t>
      </w:r>
      <w:r w:rsidR="00FE110E">
        <w:t>a connection to his judicial function,</w:t>
      </w:r>
      <w:r w:rsidR="000179F6">
        <w:t xml:space="preserve"> the acts were largely connected to his </w:t>
      </w:r>
      <w:r w:rsidR="00FE110E">
        <w:t>personal life.</w:t>
      </w:r>
      <w:r w:rsidR="00405885">
        <w:t xml:space="preserve">  </w:t>
      </w:r>
      <w:r w:rsidR="00172B1C">
        <w:t xml:space="preserve">As </w:t>
      </w:r>
      <w:r w:rsidR="00172B1C" w:rsidRPr="00FE110E">
        <w:rPr>
          <w:i/>
        </w:rPr>
        <w:t>Massiah</w:t>
      </w:r>
      <w:r w:rsidR="00172B1C">
        <w:t xml:space="preserve"> indicates at para. 57, </w:t>
      </w:r>
      <w:r w:rsidR="00FE110E">
        <w:t xml:space="preserve">because </w:t>
      </w:r>
      <w:r w:rsidR="00172B1C">
        <w:t xml:space="preserve">the judicial misconduct in this case </w:t>
      </w:r>
      <w:r w:rsidR="00FE110E">
        <w:t>was</w:t>
      </w:r>
      <w:r w:rsidR="00172B1C">
        <w:t xml:space="preserve"> not directly related to the judicial function, it is less deserving of a compensation order.</w:t>
      </w:r>
      <w:r w:rsidR="00FE110E">
        <w:t xml:space="preserve">  </w:t>
      </w:r>
      <w:r w:rsidR="000179F6">
        <w:t xml:space="preserve">Third, </w:t>
      </w:r>
      <w:r w:rsidR="00FE110E">
        <w:t xml:space="preserve">the fact that any person ought to have known that the acts were inappropriate also </w:t>
      </w:r>
      <w:r w:rsidR="00405885">
        <w:t xml:space="preserve">makes this case one that is less deserving of </w:t>
      </w:r>
      <w:r w:rsidR="00FE110E">
        <w:t>a re</w:t>
      </w:r>
      <w:r w:rsidR="005F6A5B">
        <w:t>commendation for compensation.</w:t>
      </w:r>
    </w:p>
    <w:p w:rsidR="00405885" w:rsidRDefault="00405885" w:rsidP="00C261BC">
      <w:pPr>
        <w:pStyle w:val="AParaNumbering"/>
      </w:pPr>
      <w:r>
        <w:t>We weighed against those considerations, Justice Keast’s otherwise lengthy, distinguished an</w:t>
      </w:r>
      <w:r w:rsidR="005F6A5B">
        <w:t>d unblemished judicial record.</w:t>
      </w:r>
    </w:p>
    <w:p w:rsidR="005532B8" w:rsidRDefault="000179F6" w:rsidP="00C261BC">
      <w:pPr>
        <w:pStyle w:val="AParaNumbering"/>
      </w:pPr>
      <w:r>
        <w:t xml:space="preserve">Finally, we </w:t>
      </w:r>
      <w:r w:rsidR="00405885">
        <w:t>treated as neutral the conduct of the Hearing process. Justice Keast did not acknowledge his misconduct in the Hearing process until after the Panel determined the text messages were admissible</w:t>
      </w:r>
      <w:r w:rsidR="005F6A5B">
        <w:t xml:space="preserve">. </w:t>
      </w:r>
      <w:r w:rsidR="005532B8">
        <w:t>That, combined with the largely unsuccessful motions that he brought, prolonged the Hearing process.  However, the motions cannot be said to have been</w:t>
      </w:r>
      <w:r w:rsidR="005F6A5B">
        <w:t xml:space="preserve"> unmeritorious or unnecessary. </w:t>
      </w:r>
      <w:r w:rsidR="005532B8">
        <w:t xml:space="preserve">And, as we learned after the </w:t>
      </w:r>
      <w:r w:rsidR="001152B2">
        <w:t>A</w:t>
      </w:r>
      <w:r w:rsidR="005532B8">
        <w:t xml:space="preserve">greed </w:t>
      </w:r>
      <w:r w:rsidR="001152B2">
        <w:t>S</w:t>
      </w:r>
      <w:r w:rsidR="005532B8">
        <w:t xml:space="preserve">tatement of </w:t>
      </w:r>
      <w:r w:rsidR="001152B2">
        <w:t>F</w:t>
      </w:r>
      <w:r w:rsidR="005532B8">
        <w:t xml:space="preserve">acts was </w:t>
      </w:r>
      <w:r>
        <w:t>entered</w:t>
      </w:r>
      <w:r w:rsidR="005532B8">
        <w:t xml:space="preserve">, on learning of the complaint, Justice Keast had immediately acknowledged </w:t>
      </w:r>
      <w:r>
        <w:t xml:space="preserve">to the Council </w:t>
      </w:r>
      <w:r w:rsidR="005532B8">
        <w:t>that his actions constituted miscond</w:t>
      </w:r>
      <w:r w:rsidR="005F6A5B">
        <w:t>uct.</w:t>
      </w:r>
    </w:p>
    <w:p w:rsidR="006E4D81" w:rsidRPr="001A0B37" w:rsidRDefault="00682F0B" w:rsidP="006D68BA">
      <w:pPr>
        <w:pStyle w:val="AParaNumbering"/>
        <w:numPr>
          <w:ilvl w:val="0"/>
          <w:numId w:val="0"/>
        </w:numPr>
        <w:ind w:firstLine="180"/>
        <w:rPr>
          <w:b/>
        </w:rPr>
      </w:pPr>
      <w:r w:rsidRPr="001A0B37">
        <w:rPr>
          <w:b/>
        </w:rPr>
        <w:t>THE RECOMMENDATION</w:t>
      </w:r>
    </w:p>
    <w:p w:rsidR="007B7560" w:rsidRDefault="006D68BA" w:rsidP="00AD445B">
      <w:pPr>
        <w:pStyle w:val="AParaNumbering"/>
      </w:pPr>
      <w:r>
        <w:t>F</w:t>
      </w:r>
      <w:r w:rsidR="00593C30">
        <w:t>or these reasons</w:t>
      </w:r>
      <w:r>
        <w:t xml:space="preserve">, </w:t>
      </w:r>
      <w:r w:rsidR="00593C30">
        <w:t>the Panel recommends, to the Attorney General, that Justice Keast be given $50,000 compensation for Legal Costs.</w:t>
      </w:r>
    </w:p>
    <w:p w:rsidR="00AD445B" w:rsidRPr="00BF7E4D" w:rsidRDefault="00AD445B" w:rsidP="00AD445B">
      <w:pPr>
        <w:pStyle w:val="AParaNumbering"/>
        <w:numPr>
          <w:ilvl w:val="0"/>
          <w:numId w:val="0"/>
        </w:numPr>
      </w:pPr>
    </w:p>
    <w:p w:rsidR="00AD445B" w:rsidRDefault="00AD445B" w:rsidP="00AD445B">
      <w:pPr>
        <w:pStyle w:val="AParaNumbering"/>
        <w:numPr>
          <w:ilvl w:val="0"/>
          <w:numId w:val="0"/>
        </w:numPr>
      </w:pPr>
      <w:r>
        <w:t xml:space="preserve">Released: this </w:t>
      </w:r>
      <w:r w:rsidR="00A12691">
        <w:t>6</w:t>
      </w:r>
      <w:r>
        <w:t xml:space="preserve"> of February, 2018.</w:t>
      </w:r>
    </w:p>
    <w:p w:rsidR="00AD445B" w:rsidRPr="00F00E24" w:rsidRDefault="00AD445B" w:rsidP="00AD445B">
      <w:pPr>
        <w:pStyle w:val="CQuote"/>
        <w:ind w:left="0"/>
      </w:pPr>
      <w:r>
        <w:t>“</w:t>
      </w:r>
      <w:r w:rsidRPr="00F00E24">
        <w:t>Justice Eileen E. Gillese</w:t>
      </w:r>
      <w:r>
        <w:t>”</w:t>
      </w:r>
    </w:p>
    <w:p w:rsidR="00AD445B" w:rsidRPr="00F00E24" w:rsidRDefault="00AD445B" w:rsidP="00AD445B">
      <w:pPr>
        <w:pStyle w:val="CQuote"/>
        <w:ind w:left="0"/>
      </w:pPr>
      <w:r>
        <w:t>“</w:t>
      </w:r>
      <w:r w:rsidRPr="00F00E24">
        <w:t xml:space="preserve">Justice Lise </w:t>
      </w:r>
      <w:r>
        <w:t xml:space="preserve">S. </w:t>
      </w:r>
      <w:r w:rsidRPr="00F00E24">
        <w:t>Parent</w:t>
      </w:r>
      <w:r>
        <w:t>”</w:t>
      </w:r>
    </w:p>
    <w:p w:rsidR="00AD445B" w:rsidRPr="00F00E24" w:rsidRDefault="00AD445B" w:rsidP="00AD445B">
      <w:pPr>
        <w:pStyle w:val="CQuote"/>
        <w:ind w:left="0"/>
      </w:pPr>
      <w:r>
        <w:t>“</w:t>
      </w:r>
      <w:r w:rsidRPr="00F00E24">
        <w:t xml:space="preserve">Mr. Christopher </w:t>
      </w:r>
      <w:r>
        <w:t xml:space="preserve">D. </w:t>
      </w:r>
      <w:r w:rsidRPr="00F00E24">
        <w:t>Bredt</w:t>
      </w:r>
      <w:r>
        <w:t>”</w:t>
      </w:r>
    </w:p>
    <w:p w:rsidR="00AD445B" w:rsidRDefault="00AD445B" w:rsidP="00AD445B">
      <w:pPr>
        <w:pStyle w:val="CQuote"/>
        <w:ind w:left="0"/>
      </w:pPr>
      <w:r>
        <w:t>“</w:t>
      </w:r>
      <w:r w:rsidRPr="00F00E24">
        <w:t>Ms</w:t>
      </w:r>
      <w:r>
        <w:t>. Judith A. Larocque”</w:t>
      </w:r>
    </w:p>
    <w:p w:rsidR="00AD445B" w:rsidRDefault="00AD445B" w:rsidP="00AD445B">
      <w:pPr>
        <w:pStyle w:val="AParaNumbering"/>
        <w:numPr>
          <w:ilvl w:val="0"/>
          <w:numId w:val="0"/>
        </w:numPr>
      </w:pPr>
    </w:p>
    <w:p w:rsidR="00AD445B" w:rsidRDefault="00AD445B" w:rsidP="00AD445B">
      <w:pPr>
        <w:pStyle w:val="AParaNumbering"/>
        <w:numPr>
          <w:ilvl w:val="0"/>
          <w:numId w:val="0"/>
        </w:numPr>
      </w:pPr>
    </w:p>
    <w:sectPr w:rsidR="00AD445B" w:rsidSect="00FB278C">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D3D" w:rsidRDefault="00011D3D" w:rsidP="00FB278C">
      <w:r>
        <w:separator/>
      </w:r>
    </w:p>
  </w:endnote>
  <w:endnote w:type="continuationSeparator" w:id="0">
    <w:p w:rsidR="00011D3D" w:rsidRDefault="00011D3D" w:rsidP="00FB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3C" w:rsidRDefault="005D64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9250255"/>
      <w:docPartObj>
        <w:docPartGallery w:val="Page Numbers (Bottom of Page)"/>
        <w:docPartUnique/>
      </w:docPartObj>
    </w:sdtPr>
    <w:sdtEndPr>
      <w:rPr>
        <w:noProof/>
      </w:rPr>
    </w:sdtEndPr>
    <w:sdtContent>
      <w:p w:rsidR="00FB278C" w:rsidRDefault="00FB278C">
        <w:pPr>
          <w:pStyle w:val="Footer"/>
          <w:jc w:val="right"/>
        </w:pPr>
        <w:r>
          <w:fldChar w:fldCharType="begin"/>
        </w:r>
        <w:r>
          <w:instrText xml:space="preserve"> PAGE   \* MERGEFORMAT </w:instrText>
        </w:r>
        <w:r>
          <w:fldChar w:fldCharType="separate"/>
        </w:r>
        <w:r w:rsidR="00C96DE9">
          <w:rPr>
            <w:noProof/>
          </w:rPr>
          <w:t>13</w:t>
        </w:r>
        <w:r>
          <w:rPr>
            <w:noProof/>
          </w:rPr>
          <w:fldChar w:fldCharType="end"/>
        </w:r>
      </w:p>
    </w:sdtContent>
  </w:sdt>
  <w:p w:rsidR="00FB278C" w:rsidRDefault="00FB27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3C" w:rsidRDefault="005D64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D3D" w:rsidRDefault="00011D3D" w:rsidP="00FB278C">
      <w:r>
        <w:separator/>
      </w:r>
    </w:p>
  </w:footnote>
  <w:footnote w:type="continuationSeparator" w:id="0">
    <w:p w:rsidR="00011D3D" w:rsidRDefault="00011D3D" w:rsidP="00FB2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3C" w:rsidRDefault="005D64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3C" w:rsidRDefault="005D643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3C" w:rsidRDefault="005D64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012BF"/>
    <w:multiLevelType w:val="hybridMultilevel"/>
    <w:tmpl w:val="998ABE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B644945"/>
    <w:multiLevelType w:val="multilevel"/>
    <w:tmpl w:val="BB4A8CB0"/>
    <w:lvl w:ilvl="0">
      <w:start w:val="6"/>
      <w:numFmt w:val="decimal"/>
      <w:pStyle w:val="AParaNumbering"/>
      <w:lvlText w:val="%1."/>
      <w:lvlJc w:val="left"/>
      <w:pPr>
        <w:tabs>
          <w:tab w:val="num" w:pos="1800"/>
        </w:tabs>
        <w:ind w:left="1800" w:hanging="360"/>
      </w:pPr>
      <w:rPr>
        <w:rFonts w:hint="default"/>
      </w:rPr>
    </w:lvl>
    <w:lvl w:ilvl="1">
      <w:start w:val="1"/>
      <w:numFmt w:val="decimal"/>
      <w:lvlRestart w:val="0"/>
      <w:pStyle w:val="AParaNumbering"/>
      <w:lvlText w:val="[%2]"/>
      <w:lvlJc w:val="left"/>
      <w:pPr>
        <w:tabs>
          <w:tab w:val="num" w:pos="540"/>
        </w:tabs>
        <w:ind w:left="180" w:firstLine="0"/>
      </w:pPr>
      <w:rPr>
        <w:rFonts w:ascii="Arial" w:hAnsi="Arial" w:cs="Arial" w:hint="default"/>
        <w:b w:val="0"/>
        <w:i w:val="0"/>
        <w:sz w:val="26"/>
      </w:rPr>
    </w:lvl>
    <w:lvl w:ilvl="2">
      <w:start w:val="1"/>
      <w:numFmt w:val="none"/>
      <w:lvlRestart w:val="0"/>
      <w:suff w:val="nothing"/>
      <w:lvlText w:val="%3"/>
      <w:lvlJc w:val="left"/>
      <w:pPr>
        <w:ind w:left="1440" w:firstLine="0"/>
      </w:pPr>
    </w:lvl>
    <w:lvl w:ilvl="3">
      <w:start w:val="1"/>
      <w:numFmt w:val="decimal"/>
      <w:lvlRestart w:val="0"/>
      <w:suff w:val="nothing"/>
      <w:lvlText w:val="%4."/>
      <w:lvlJc w:val="left"/>
      <w:pPr>
        <w:ind w:left="1440" w:firstLine="0"/>
      </w:pPr>
    </w:lvl>
    <w:lvl w:ilvl="4">
      <w:start w:val="1"/>
      <w:numFmt w:val="lowerLetter"/>
      <w:lvlRestart w:val="0"/>
      <w:suff w:val="nothing"/>
      <w:lvlText w:val="(%5)"/>
      <w:lvlJc w:val="left"/>
      <w:pPr>
        <w:ind w:left="1440" w:firstLine="0"/>
      </w:pPr>
    </w:lvl>
    <w:lvl w:ilvl="5">
      <w:start w:val="1"/>
      <w:numFmt w:val="lowerRoman"/>
      <w:lvlRestart w:val="0"/>
      <w:suff w:val="nothing"/>
      <w:lvlText w:val="(%6)"/>
      <w:lvlJc w:val="left"/>
      <w:pPr>
        <w:ind w:left="1440" w:firstLine="72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
    <w:nsid w:val="4BB365BD"/>
    <w:multiLevelType w:val="hybridMultilevel"/>
    <w:tmpl w:val="8F182342"/>
    <w:lvl w:ilvl="0" w:tplc="579096F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7B09673D"/>
    <w:multiLevelType w:val="hybridMultilevel"/>
    <w:tmpl w:val="44CCCD8A"/>
    <w:lvl w:ilvl="0" w:tplc="9098947E">
      <w:numFmt w:val="bullet"/>
      <w:lvlText w:val="-"/>
      <w:lvlJc w:val="left"/>
      <w:pPr>
        <w:ind w:left="2520" w:hanging="360"/>
      </w:pPr>
      <w:rPr>
        <w:rFonts w:ascii="Arial" w:eastAsia="Times New Roman" w:hAnsi="Arial" w:cs="Aria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4">
    <w:nsid w:val="7CEB14C5"/>
    <w:multiLevelType w:val="hybridMultilevel"/>
    <w:tmpl w:val="DFBAA0AE"/>
    <w:lvl w:ilvl="0" w:tplc="4976CC5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 w:numId="5">
    <w:abstractNumId w:val="4"/>
  </w:num>
  <w:num w:numId="6">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50"/>
  <w:removePersonalInformation/>
  <w:removeDateAndTime/>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710"/>
    <w:rsid w:val="00011D3D"/>
    <w:rsid w:val="000179F6"/>
    <w:rsid w:val="00026A88"/>
    <w:rsid w:val="0003162D"/>
    <w:rsid w:val="00037C91"/>
    <w:rsid w:val="0004016B"/>
    <w:rsid w:val="00043D96"/>
    <w:rsid w:val="00065F4C"/>
    <w:rsid w:val="00066B08"/>
    <w:rsid w:val="00071BA5"/>
    <w:rsid w:val="000D2784"/>
    <w:rsid w:val="000D4552"/>
    <w:rsid w:val="000E3D4F"/>
    <w:rsid w:val="00112848"/>
    <w:rsid w:val="001152B2"/>
    <w:rsid w:val="00130BDA"/>
    <w:rsid w:val="0013560A"/>
    <w:rsid w:val="00155D74"/>
    <w:rsid w:val="001616C6"/>
    <w:rsid w:val="00172B1C"/>
    <w:rsid w:val="00175006"/>
    <w:rsid w:val="00192CB0"/>
    <w:rsid w:val="00194C58"/>
    <w:rsid w:val="001A0B37"/>
    <w:rsid w:val="001A5A1B"/>
    <w:rsid w:val="001C4D5F"/>
    <w:rsid w:val="001F0DAE"/>
    <w:rsid w:val="001F2B44"/>
    <w:rsid w:val="00206483"/>
    <w:rsid w:val="0022082E"/>
    <w:rsid w:val="00230472"/>
    <w:rsid w:val="002317F8"/>
    <w:rsid w:val="00231EFC"/>
    <w:rsid w:val="00242782"/>
    <w:rsid w:val="0024596C"/>
    <w:rsid w:val="00261718"/>
    <w:rsid w:val="0029289C"/>
    <w:rsid w:val="002975F5"/>
    <w:rsid w:val="002A0C54"/>
    <w:rsid w:val="002B17FC"/>
    <w:rsid w:val="002E3A4E"/>
    <w:rsid w:val="00316461"/>
    <w:rsid w:val="00321BAD"/>
    <w:rsid w:val="00340AD7"/>
    <w:rsid w:val="00346BC0"/>
    <w:rsid w:val="00362F55"/>
    <w:rsid w:val="003904FF"/>
    <w:rsid w:val="003C4B75"/>
    <w:rsid w:val="003C6563"/>
    <w:rsid w:val="003E4613"/>
    <w:rsid w:val="003E7803"/>
    <w:rsid w:val="003F0AD7"/>
    <w:rsid w:val="00403D54"/>
    <w:rsid w:val="00405885"/>
    <w:rsid w:val="00427F43"/>
    <w:rsid w:val="00434BB4"/>
    <w:rsid w:val="0044748C"/>
    <w:rsid w:val="00453EE0"/>
    <w:rsid w:val="00470E24"/>
    <w:rsid w:val="0049461D"/>
    <w:rsid w:val="004A7725"/>
    <w:rsid w:val="004C25E0"/>
    <w:rsid w:val="004D0673"/>
    <w:rsid w:val="005172C9"/>
    <w:rsid w:val="00541698"/>
    <w:rsid w:val="005532B8"/>
    <w:rsid w:val="0055663C"/>
    <w:rsid w:val="00575F8D"/>
    <w:rsid w:val="00583D66"/>
    <w:rsid w:val="005874D3"/>
    <w:rsid w:val="00593C30"/>
    <w:rsid w:val="005A5FCC"/>
    <w:rsid w:val="005C5D64"/>
    <w:rsid w:val="005D643C"/>
    <w:rsid w:val="005F6A5B"/>
    <w:rsid w:val="00617697"/>
    <w:rsid w:val="006178F9"/>
    <w:rsid w:val="00630C13"/>
    <w:rsid w:val="00682F0B"/>
    <w:rsid w:val="0069536E"/>
    <w:rsid w:val="006A3617"/>
    <w:rsid w:val="006D68BA"/>
    <w:rsid w:val="006E26B4"/>
    <w:rsid w:val="006E4D81"/>
    <w:rsid w:val="006E7BDD"/>
    <w:rsid w:val="00700A74"/>
    <w:rsid w:val="007120FD"/>
    <w:rsid w:val="007226EF"/>
    <w:rsid w:val="00724BEA"/>
    <w:rsid w:val="007318A2"/>
    <w:rsid w:val="00742E9D"/>
    <w:rsid w:val="00751BAC"/>
    <w:rsid w:val="00761268"/>
    <w:rsid w:val="00766931"/>
    <w:rsid w:val="00772A04"/>
    <w:rsid w:val="00774F20"/>
    <w:rsid w:val="0078230D"/>
    <w:rsid w:val="00782370"/>
    <w:rsid w:val="00787866"/>
    <w:rsid w:val="00797087"/>
    <w:rsid w:val="007A6BA7"/>
    <w:rsid w:val="007B694E"/>
    <w:rsid w:val="007B7560"/>
    <w:rsid w:val="007C1D6B"/>
    <w:rsid w:val="007D4FCC"/>
    <w:rsid w:val="008003FD"/>
    <w:rsid w:val="00811D7D"/>
    <w:rsid w:val="00812655"/>
    <w:rsid w:val="00833406"/>
    <w:rsid w:val="00835526"/>
    <w:rsid w:val="008457A9"/>
    <w:rsid w:val="008925C7"/>
    <w:rsid w:val="00897839"/>
    <w:rsid w:val="008A1A47"/>
    <w:rsid w:val="008A721F"/>
    <w:rsid w:val="008D5F67"/>
    <w:rsid w:val="00900DF5"/>
    <w:rsid w:val="009144C8"/>
    <w:rsid w:val="00936B06"/>
    <w:rsid w:val="00940867"/>
    <w:rsid w:val="00960BA9"/>
    <w:rsid w:val="00964BB4"/>
    <w:rsid w:val="00972FF0"/>
    <w:rsid w:val="00974CBF"/>
    <w:rsid w:val="009D55CF"/>
    <w:rsid w:val="009D620B"/>
    <w:rsid w:val="009E0AE5"/>
    <w:rsid w:val="009E4040"/>
    <w:rsid w:val="00A059E6"/>
    <w:rsid w:val="00A06B78"/>
    <w:rsid w:val="00A12691"/>
    <w:rsid w:val="00A14DCC"/>
    <w:rsid w:val="00A15EC9"/>
    <w:rsid w:val="00A20196"/>
    <w:rsid w:val="00A71AF9"/>
    <w:rsid w:val="00A83307"/>
    <w:rsid w:val="00AA06A0"/>
    <w:rsid w:val="00AA06BB"/>
    <w:rsid w:val="00AA7710"/>
    <w:rsid w:val="00AD445B"/>
    <w:rsid w:val="00B03553"/>
    <w:rsid w:val="00B265A2"/>
    <w:rsid w:val="00B363C6"/>
    <w:rsid w:val="00BB2FB0"/>
    <w:rsid w:val="00C062A7"/>
    <w:rsid w:val="00C11B64"/>
    <w:rsid w:val="00C261BC"/>
    <w:rsid w:val="00C42EE5"/>
    <w:rsid w:val="00C43A91"/>
    <w:rsid w:val="00C53B87"/>
    <w:rsid w:val="00C56455"/>
    <w:rsid w:val="00C77CA4"/>
    <w:rsid w:val="00C834F3"/>
    <w:rsid w:val="00C96DE9"/>
    <w:rsid w:val="00CA4D6A"/>
    <w:rsid w:val="00CB0731"/>
    <w:rsid w:val="00CB4209"/>
    <w:rsid w:val="00CC00CD"/>
    <w:rsid w:val="00CD312F"/>
    <w:rsid w:val="00CE4A7A"/>
    <w:rsid w:val="00D01E6A"/>
    <w:rsid w:val="00D531ED"/>
    <w:rsid w:val="00D61653"/>
    <w:rsid w:val="00DA043C"/>
    <w:rsid w:val="00DC33CF"/>
    <w:rsid w:val="00DD3374"/>
    <w:rsid w:val="00DE665F"/>
    <w:rsid w:val="00E041AE"/>
    <w:rsid w:val="00E56332"/>
    <w:rsid w:val="00E8623F"/>
    <w:rsid w:val="00EA759A"/>
    <w:rsid w:val="00EB4EE3"/>
    <w:rsid w:val="00F07D47"/>
    <w:rsid w:val="00F1740C"/>
    <w:rsid w:val="00F2561C"/>
    <w:rsid w:val="00F27B86"/>
    <w:rsid w:val="00F30E34"/>
    <w:rsid w:val="00F56BB5"/>
    <w:rsid w:val="00FA669F"/>
    <w:rsid w:val="00FB278C"/>
    <w:rsid w:val="00FC1015"/>
    <w:rsid w:val="00FD530B"/>
    <w:rsid w:val="00FE110E"/>
    <w:rsid w:val="00FF3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10"/>
    <w:pPr>
      <w:spacing w:after="0" w:line="240" w:lineRule="auto"/>
    </w:pPr>
    <w:rPr>
      <w:rFonts w:eastAsia="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tofAppealforOntario">
    <w:name w:val="Court of Appeal for Ontario"/>
    <w:basedOn w:val="Normal"/>
    <w:semiHidden/>
    <w:qFormat/>
    <w:rsid w:val="00AA7710"/>
    <w:pPr>
      <w:spacing w:after="360"/>
      <w:jc w:val="center"/>
    </w:pPr>
    <w:rPr>
      <w:sz w:val="30"/>
    </w:rPr>
  </w:style>
  <w:style w:type="paragraph" w:customStyle="1" w:styleId="Nameofcounsel">
    <w:name w:val="Name of counsel"/>
    <w:basedOn w:val="Normal"/>
    <w:semiHidden/>
    <w:qFormat/>
    <w:rsid w:val="00AA7710"/>
    <w:pPr>
      <w:spacing w:before="240" w:after="240"/>
    </w:pPr>
  </w:style>
  <w:style w:type="paragraph" w:customStyle="1" w:styleId="Heard">
    <w:name w:val="Heard"/>
    <w:basedOn w:val="Normal"/>
    <w:semiHidden/>
    <w:qFormat/>
    <w:rsid w:val="00AA7710"/>
    <w:pPr>
      <w:spacing w:before="240" w:after="240"/>
    </w:pPr>
  </w:style>
  <w:style w:type="paragraph" w:customStyle="1" w:styleId="Inthematterof">
    <w:name w:val="In the matter of"/>
    <w:basedOn w:val="Normal"/>
    <w:semiHidden/>
    <w:qFormat/>
    <w:rsid w:val="00AA7710"/>
    <w:pPr>
      <w:jc w:val="center"/>
    </w:pPr>
  </w:style>
  <w:style w:type="paragraph" w:styleId="ListParagraph">
    <w:name w:val="List Paragraph"/>
    <w:basedOn w:val="Normal"/>
    <w:uiPriority w:val="34"/>
    <w:qFormat/>
    <w:rsid w:val="00DE665F"/>
    <w:pPr>
      <w:ind w:left="720"/>
      <w:contextualSpacing/>
    </w:pPr>
  </w:style>
  <w:style w:type="paragraph" w:customStyle="1" w:styleId="AParaNumbering">
    <w:name w:val="A. Para Numbering"/>
    <w:basedOn w:val="Normal"/>
    <w:link w:val="AParaNumberingChar"/>
    <w:autoRedefine/>
    <w:qFormat/>
    <w:rsid w:val="00026A88"/>
    <w:pPr>
      <w:numPr>
        <w:ilvl w:val="1"/>
        <w:numId w:val="2"/>
      </w:numPr>
      <w:spacing w:before="120" w:after="120" w:line="480" w:lineRule="auto"/>
      <w:jc w:val="both"/>
    </w:pPr>
    <w:rPr>
      <w:rFonts w:cs="Times New Roman"/>
      <w:szCs w:val="20"/>
    </w:rPr>
  </w:style>
  <w:style w:type="character" w:customStyle="1" w:styleId="AParaNumberingChar">
    <w:name w:val="A. Para Numbering Char"/>
    <w:basedOn w:val="DefaultParagraphFont"/>
    <w:link w:val="AParaNumbering"/>
    <w:rsid w:val="00026A88"/>
    <w:rPr>
      <w:rFonts w:eastAsia="Times New Roman" w:cs="Times New Roman"/>
      <w:sz w:val="26"/>
      <w:szCs w:val="20"/>
    </w:rPr>
  </w:style>
  <w:style w:type="paragraph" w:customStyle="1" w:styleId="Default">
    <w:name w:val="Default"/>
    <w:rsid w:val="001F2B44"/>
    <w:pPr>
      <w:autoSpaceDE w:val="0"/>
      <w:autoSpaceDN w:val="0"/>
      <w:adjustRightInd w:val="0"/>
      <w:spacing w:after="0" w:line="240" w:lineRule="auto"/>
    </w:pPr>
    <w:rPr>
      <w:color w:val="000000"/>
    </w:rPr>
  </w:style>
  <w:style w:type="paragraph" w:styleId="BalloonText">
    <w:name w:val="Balloon Text"/>
    <w:basedOn w:val="Normal"/>
    <w:link w:val="BalloonTextChar"/>
    <w:uiPriority w:val="99"/>
    <w:semiHidden/>
    <w:unhideWhenUsed/>
    <w:rsid w:val="00575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F8D"/>
    <w:rPr>
      <w:rFonts w:ascii="Segoe UI" w:eastAsia="Times New Roman" w:hAnsi="Segoe UI" w:cs="Segoe UI"/>
      <w:sz w:val="18"/>
      <w:szCs w:val="18"/>
    </w:rPr>
  </w:style>
  <w:style w:type="paragraph" w:styleId="Header">
    <w:name w:val="header"/>
    <w:basedOn w:val="Normal"/>
    <w:link w:val="HeaderChar"/>
    <w:uiPriority w:val="99"/>
    <w:unhideWhenUsed/>
    <w:rsid w:val="00FB278C"/>
    <w:pPr>
      <w:tabs>
        <w:tab w:val="center" w:pos="4680"/>
        <w:tab w:val="right" w:pos="9360"/>
      </w:tabs>
    </w:pPr>
  </w:style>
  <w:style w:type="character" w:customStyle="1" w:styleId="HeaderChar">
    <w:name w:val="Header Char"/>
    <w:basedOn w:val="DefaultParagraphFont"/>
    <w:link w:val="Header"/>
    <w:uiPriority w:val="99"/>
    <w:rsid w:val="00FB278C"/>
    <w:rPr>
      <w:rFonts w:eastAsia="Times New Roman"/>
      <w:sz w:val="26"/>
    </w:rPr>
  </w:style>
  <w:style w:type="paragraph" w:styleId="Footer">
    <w:name w:val="footer"/>
    <w:basedOn w:val="Normal"/>
    <w:link w:val="FooterChar"/>
    <w:uiPriority w:val="99"/>
    <w:unhideWhenUsed/>
    <w:rsid w:val="00FB278C"/>
    <w:pPr>
      <w:tabs>
        <w:tab w:val="center" w:pos="4680"/>
        <w:tab w:val="right" w:pos="9360"/>
      </w:tabs>
    </w:pPr>
  </w:style>
  <w:style w:type="character" w:customStyle="1" w:styleId="FooterChar">
    <w:name w:val="Footer Char"/>
    <w:basedOn w:val="DefaultParagraphFont"/>
    <w:link w:val="Footer"/>
    <w:uiPriority w:val="99"/>
    <w:rsid w:val="00FB278C"/>
    <w:rPr>
      <w:rFonts w:eastAsia="Times New Roman"/>
      <w:sz w:val="26"/>
    </w:rPr>
  </w:style>
  <w:style w:type="paragraph" w:customStyle="1" w:styleId="CQuote">
    <w:name w:val="C. Quote"/>
    <w:basedOn w:val="Normal"/>
    <w:next w:val="AParaNumbering"/>
    <w:qFormat/>
    <w:rsid w:val="00AD445B"/>
    <w:pPr>
      <w:tabs>
        <w:tab w:val="left" w:pos="2160"/>
      </w:tabs>
      <w:spacing w:before="120" w:after="240"/>
      <w:ind w:left="1440" w:righ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2813</Words>
  <Characters>16036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Concerning a Complaint about the Conduct of the Honourable Justice John Keast</dc:title>
  <dc:subject>Decision, Complaint</dc:subject>
  <dc:creator/>
  <cp:keywords>Decision, Complaint</cp:keywords>
  <dc:description/>
  <cp:lastModifiedBy/>
  <cp:revision>1</cp:revision>
  <dcterms:created xsi:type="dcterms:W3CDTF">2018-02-07T16:02:00Z</dcterms:created>
  <dcterms:modified xsi:type="dcterms:W3CDTF">2018-02-07T16:03:00Z</dcterms:modified>
</cp:coreProperties>
</file>