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B07B0" w14:textId="6A732820" w:rsidR="00860300" w:rsidRPr="00973090" w:rsidRDefault="004B73BD" w:rsidP="00A85040">
      <w:pPr>
        <w:shd w:val="clear" w:color="auto" w:fill="FFFFFF"/>
        <w:jc w:val="center"/>
        <w:rPr>
          <w:b/>
          <w:color w:val="000000" w:themeColor="text1"/>
          <w:szCs w:val="26"/>
          <w:lang w:val="fr-CA"/>
        </w:rPr>
      </w:pPr>
      <w:r w:rsidRPr="00973090">
        <w:rPr>
          <w:b/>
          <w:color w:val="000000" w:themeColor="text1"/>
          <w:szCs w:val="26"/>
          <w:lang w:val="fr-CA"/>
        </w:rPr>
        <w:t>CONSEIL DE LA MAGISTRATURE DE L’ONTARIO</w:t>
      </w:r>
    </w:p>
    <w:p w14:paraId="41358528" w14:textId="77777777" w:rsidR="004B73BD" w:rsidRPr="00973090" w:rsidRDefault="004B73BD" w:rsidP="00A85040">
      <w:pPr>
        <w:shd w:val="clear" w:color="auto" w:fill="FFFFFF"/>
        <w:jc w:val="center"/>
        <w:rPr>
          <w:b/>
          <w:szCs w:val="26"/>
          <w:lang w:val="fr-CA"/>
        </w:rPr>
      </w:pPr>
    </w:p>
    <w:p w14:paraId="24B2D184" w14:textId="24609C0D" w:rsidR="007E5E72" w:rsidRPr="00973090" w:rsidRDefault="004B73BD" w:rsidP="00A85040">
      <w:pPr>
        <w:spacing w:before="960"/>
        <w:jc w:val="center"/>
        <w:rPr>
          <w:b/>
          <w:szCs w:val="26"/>
          <w:lang w:val="fr-CA"/>
        </w:rPr>
      </w:pPr>
      <w:r w:rsidRPr="00973090">
        <w:rPr>
          <w:b/>
          <w:szCs w:val="26"/>
          <w:lang w:val="fr-CA"/>
        </w:rPr>
        <w:t>AVERTISSEMENT</w:t>
      </w:r>
    </w:p>
    <w:p w14:paraId="7B1C81FA" w14:textId="77777777" w:rsidR="007E5E72" w:rsidRPr="00973090" w:rsidRDefault="007E5E72">
      <w:pPr>
        <w:rPr>
          <w:b/>
          <w:szCs w:val="26"/>
          <w:lang w:val="fr-CA"/>
        </w:rPr>
      </w:pPr>
    </w:p>
    <w:p w14:paraId="0FB34989" w14:textId="1167BF62" w:rsidR="007E5E72" w:rsidRPr="00973090" w:rsidRDefault="00EC5809" w:rsidP="007E5E72">
      <w:pPr>
        <w:jc w:val="both"/>
        <w:rPr>
          <w:szCs w:val="26"/>
          <w:lang w:val="fr-CA"/>
        </w:rPr>
      </w:pPr>
      <w:r>
        <w:rPr>
          <w:szCs w:val="26"/>
          <w:lang w:val="fr-CA"/>
        </w:rPr>
        <w:t>Le comité d’audience</w:t>
      </w:r>
      <w:r w:rsidR="004B73BD" w:rsidRPr="00973090">
        <w:rPr>
          <w:szCs w:val="26"/>
          <w:lang w:val="fr-CA"/>
        </w:rPr>
        <w:t xml:space="preserve"> qui entend cette affaire en vertu de l’article </w:t>
      </w:r>
      <w:r w:rsidR="00860300" w:rsidRPr="00973090">
        <w:rPr>
          <w:szCs w:val="26"/>
          <w:lang w:val="fr-CA"/>
        </w:rPr>
        <w:t xml:space="preserve">51.6 </w:t>
      </w:r>
      <w:r w:rsidR="004B73BD" w:rsidRPr="00973090">
        <w:rPr>
          <w:szCs w:val="26"/>
          <w:lang w:val="fr-CA"/>
        </w:rPr>
        <w:t xml:space="preserve">de la </w:t>
      </w:r>
      <w:r w:rsidR="004B73BD" w:rsidRPr="00973090">
        <w:rPr>
          <w:i/>
          <w:szCs w:val="26"/>
          <w:lang w:val="fr-CA"/>
        </w:rPr>
        <w:t>Loi sur les tribunaux judiciaires</w:t>
      </w:r>
      <w:r w:rsidR="004B73BD" w:rsidRPr="00973090">
        <w:rPr>
          <w:szCs w:val="26"/>
          <w:lang w:val="fr-CA"/>
        </w:rPr>
        <w:t xml:space="preserve"> ordonne que l’avis suivant soit joint au dossier </w:t>
      </w:r>
      <w:r w:rsidR="007E5E72" w:rsidRPr="00973090">
        <w:rPr>
          <w:szCs w:val="26"/>
          <w:lang w:val="fr-CA"/>
        </w:rPr>
        <w:t>:</w:t>
      </w:r>
    </w:p>
    <w:p w14:paraId="6C18CE08" w14:textId="77777777" w:rsidR="007E5E72" w:rsidRPr="00973090" w:rsidRDefault="007E5E72">
      <w:pPr>
        <w:rPr>
          <w:b/>
          <w:szCs w:val="26"/>
          <w:lang w:val="fr-CA"/>
        </w:rPr>
      </w:pPr>
    </w:p>
    <w:p w14:paraId="0EA4EAC4" w14:textId="5640F45D" w:rsidR="007E5E72" w:rsidRPr="00973090" w:rsidRDefault="00C23BD9" w:rsidP="00860300">
      <w:pPr>
        <w:shd w:val="clear" w:color="auto" w:fill="FFFFFF"/>
        <w:spacing w:before="240" w:after="240" w:line="432" w:lineRule="atLeast"/>
        <w:ind w:left="567" w:right="855"/>
        <w:jc w:val="both"/>
        <w:rPr>
          <w:color w:val="000000"/>
          <w:szCs w:val="26"/>
          <w:lang w:val="fr-CA"/>
        </w:rPr>
      </w:pPr>
      <w:r w:rsidRPr="00973090">
        <w:rPr>
          <w:color w:val="000000"/>
          <w:szCs w:val="26"/>
          <w:lang w:val="fr-CA"/>
        </w:rPr>
        <w:t>Le comité d’audi</w:t>
      </w:r>
      <w:r w:rsidR="00EC5809">
        <w:rPr>
          <w:color w:val="000000"/>
          <w:szCs w:val="26"/>
          <w:lang w:val="fr-CA"/>
        </w:rPr>
        <w:t>ence</w:t>
      </w:r>
      <w:r w:rsidRPr="00973090">
        <w:rPr>
          <w:color w:val="000000"/>
          <w:szCs w:val="26"/>
          <w:lang w:val="fr-CA"/>
        </w:rPr>
        <w:t xml:space="preserve"> a interdit la publication de </w:t>
      </w:r>
      <w:r w:rsidR="000B572B" w:rsidRPr="00973090">
        <w:rPr>
          <w:lang w:val="fr-CA"/>
        </w:rPr>
        <w:t>tout renseignement qui identifie ou tend à identifier l’enfant ou les enfants ou tout membre de la famille mêlés à une affaire de protection de l’enfance</w:t>
      </w:r>
      <w:r w:rsidR="000B572B">
        <w:rPr>
          <w:lang w:val="fr-CA"/>
        </w:rPr>
        <w:t>.</w:t>
      </w:r>
      <w:r w:rsidR="000B572B" w:rsidRPr="00973090">
        <w:rPr>
          <w:color w:val="000000"/>
          <w:szCs w:val="26"/>
          <w:lang w:val="fr-CA"/>
        </w:rPr>
        <w:t xml:space="preserve"> </w:t>
      </w:r>
    </w:p>
    <w:p w14:paraId="67CF1D5E" w14:textId="77777777" w:rsidR="007E5E72" w:rsidRPr="00973090" w:rsidRDefault="007E5E72" w:rsidP="007E5E72">
      <w:pPr>
        <w:jc w:val="both"/>
        <w:rPr>
          <w:szCs w:val="26"/>
          <w:lang w:val="fr-CA"/>
        </w:rPr>
      </w:pPr>
    </w:p>
    <w:p w14:paraId="0FA699E2" w14:textId="77777777" w:rsidR="007E5E72" w:rsidRPr="00973090" w:rsidRDefault="007E5E72">
      <w:pPr>
        <w:rPr>
          <w:szCs w:val="26"/>
          <w:lang w:val="fr-CA"/>
        </w:rPr>
      </w:pPr>
      <w:r w:rsidRPr="00973090">
        <w:rPr>
          <w:szCs w:val="26"/>
          <w:lang w:val="fr-CA"/>
        </w:rPr>
        <w:br w:type="page"/>
      </w:r>
    </w:p>
    <w:p w14:paraId="056A3AD0" w14:textId="75796F88" w:rsidR="00AD37D3" w:rsidRPr="00973090" w:rsidRDefault="00C23BD9" w:rsidP="00AD37D3">
      <w:pPr>
        <w:pStyle w:val="CourtofAppealforOntario"/>
        <w:rPr>
          <w:lang w:val="fr-CA"/>
        </w:rPr>
      </w:pPr>
      <w:r w:rsidRPr="00973090">
        <w:rPr>
          <w:b/>
          <w:lang w:val="fr-CA"/>
        </w:rPr>
        <w:t>CONSEIL DE LA MAGISTRATURE DE L’ONTARIO</w:t>
      </w:r>
    </w:p>
    <w:p w14:paraId="575EEA85" w14:textId="08471E0F" w:rsidR="00BD1D26" w:rsidRPr="00973090" w:rsidRDefault="00C23BD9" w:rsidP="00AF6A03">
      <w:pPr>
        <w:pStyle w:val="Inthematterof"/>
        <w:rPr>
          <w:b/>
          <w:lang w:val="fr-CA"/>
        </w:rPr>
      </w:pPr>
      <w:r w:rsidRPr="00973090">
        <w:rPr>
          <w:b/>
          <w:lang w:val="fr-CA"/>
        </w:rPr>
        <w:t xml:space="preserve">DANS L’AFFAIRE D’UNE AUDIENCE EN VERTU DE L’ARTICLE </w:t>
      </w:r>
      <w:r w:rsidR="00BD1D26" w:rsidRPr="00973090">
        <w:rPr>
          <w:b/>
          <w:lang w:val="fr-CA"/>
        </w:rPr>
        <w:t xml:space="preserve">51.6 </w:t>
      </w:r>
      <w:r w:rsidRPr="00973090">
        <w:rPr>
          <w:b/>
          <w:lang w:val="fr-CA"/>
        </w:rPr>
        <w:t xml:space="preserve">de la </w:t>
      </w:r>
    </w:p>
    <w:p w14:paraId="6F57C98E" w14:textId="2196740C" w:rsidR="00BD1D26" w:rsidRPr="00973090" w:rsidRDefault="00961A83" w:rsidP="00AF6A03">
      <w:pPr>
        <w:pStyle w:val="Inthematterof"/>
        <w:rPr>
          <w:lang w:val="fr-CA"/>
        </w:rPr>
      </w:pPr>
      <w:r w:rsidRPr="00973090">
        <w:rPr>
          <w:b/>
          <w:i/>
          <w:lang w:val="fr-CA"/>
        </w:rPr>
        <w:t>LOI SUR LES TRIBUNAUX JUDICIAIRES</w:t>
      </w:r>
      <w:r w:rsidR="00BD1D26" w:rsidRPr="00973090">
        <w:rPr>
          <w:b/>
          <w:lang w:val="fr-CA"/>
        </w:rPr>
        <w:t xml:space="preserve">, </w:t>
      </w:r>
      <w:r w:rsidRPr="00973090">
        <w:rPr>
          <w:b/>
          <w:lang w:val="fr-CA"/>
        </w:rPr>
        <w:t>L.R.O</w:t>
      </w:r>
      <w:r w:rsidR="00BD1D26" w:rsidRPr="00973090">
        <w:rPr>
          <w:b/>
          <w:lang w:val="fr-CA"/>
        </w:rPr>
        <w:t>. 1990, c</w:t>
      </w:r>
      <w:r w:rsidRPr="00973090">
        <w:rPr>
          <w:b/>
          <w:lang w:val="fr-CA"/>
        </w:rPr>
        <w:t>hap</w:t>
      </w:r>
      <w:r w:rsidR="00BD1D26" w:rsidRPr="00973090">
        <w:rPr>
          <w:b/>
          <w:lang w:val="fr-CA"/>
        </w:rPr>
        <w:t xml:space="preserve">. </w:t>
      </w:r>
      <w:r w:rsidR="000571F3" w:rsidRPr="00973090">
        <w:rPr>
          <w:b/>
          <w:lang w:val="fr-CA"/>
        </w:rPr>
        <w:t xml:space="preserve">C. </w:t>
      </w:r>
      <w:r w:rsidR="00BD1D26" w:rsidRPr="00973090">
        <w:rPr>
          <w:b/>
          <w:lang w:val="fr-CA"/>
        </w:rPr>
        <w:t xml:space="preserve">43, </w:t>
      </w:r>
      <w:r w:rsidRPr="00973090">
        <w:rPr>
          <w:b/>
          <w:lang w:val="fr-CA"/>
        </w:rPr>
        <w:t>dans sa version modifiée,</w:t>
      </w:r>
    </w:p>
    <w:p w14:paraId="15DC333E" w14:textId="77777777" w:rsidR="00AF6A03" w:rsidRPr="00973090" w:rsidRDefault="00AF6A03" w:rsidP="00AF6A03">
      <w:pPr>
        <w:pStyle w:val="Inthematterof"/>
        <w:rPr>
          <w:lang w:val="fr-CA"/>
        </w:rPr>
      </w:pPr>
    </w:p>
    <w:p w14:paraId="7D6EAC7F" w14:textId="7BA061D1" w:rsidR="00BD1D26" w:rsidRPr="00973090" w:rsidRDefault="00961A83" w:rsidP="00961A83">
      <w:pPr>
        <w:pStyle w:val="Inthematterof"/>
        <w:rPr>
          <w:b/>
          <w:lang w:val="fr-CA"/>
        </w:rPr>
      </w:pPr>
      <w:bookmarkStart w:id="0" w:name="_GoBack"/>
      <w:r w:rsidRPr="00973090">
        <w:rPr>
          <w:b/>
          <w:lang w:val="fr-CA"/>
        </w:rPr>
        <w:t xml:space="preserve">En ce qui concerne une plainte sur la conduite de </w:t>
      </w:r>
      <w:r w:rsidRPr="00973090">
        <w:rPr>
          <w:b/>
          <w:lang w:val="fr-CA"/>
        </w:rPr>
        <w:br/>
        <w:t>l’honorable juge</w:t>
      </w:r>
      <w:r w:rsidR="00BD1D26" w:rsidRPr="00973090">
        <w:rPr>
          <w:b/>
          <w:lang w:val="fr-CA"/>
        </w:rPr>
        <w:t xml:space="preserve"> John Keast</w:t>
      </w:r>
      <w:bookmarkEnd w:id="0"/>
      <w:r w:rsidR="00BD1D26" w:rsidRPr="00973090">
        <w:rPr>
          <w:b/>
          <w:lang w:val="fr-CA"/>
        </w:rPr>
        <w:t xml:space="preserve"> </w:t>
      </w:r>
    </w:p>
    <w:p w14:paraId="19DC8A30" w14:textId="77777777" w:rsidR="00135A91" w:rsidRPr="00973090" w:rsidRDefault="00135A91" w:rsidP="00AD37D3">
      <w:pPr>
        <w:pStyle w:val="Inthematterof"/>
        <w:spacing w:line="480" w:lineRule="auto"/>
        <w:rPr>
          <w:lang w:val="fr-CA"/>
        </w:rPr>
      </w:pPr>
    </w:p>
    <w:p w14:paraId="3CAE0544" w14:textId="67E3BC1D" w:rsidR="00D52074" w:rsidRPr="00973090" w:rsidRDefault="00961A83" w:rsidP="00AF6A03">
      <w:pPr>
        <w:pStyle w:val="Nameofcounsel"/>
        <w:spacing w:before="0" w:after="0"/>
        <w:rPr>
          <w:b/>
          <w:lang w:val="fr-CA"/>
        </w:rPr>
      </w:pPr>
      <w:r w:rsidRPr="00973090">
        <w:rPr>
          <w:b/>
          <w:lang w:val="fr-CA"/>
        </w:rPr>
        <w:t xml:space="preserve">Devant </w:t>
      </w:r>
      <w:r w:rsidR="00322A82" w:rsidRPr="00973090">
        <w:rPr>
          <w:b/>
          <w:lang w:val="fr-CA"/>
        </w:rPr>
        <w:t>:</w:t>
      </w:r>
      <w:r w:rsidR="00BD1D26" w:rsidRPr="00973090">
        <w:rPr>
          <w:b/>
          <w:lang w:val="fr-CA"/>
        </w:rPr>
        <w:t xml:space="preserve"> </w:t>
      </w:r>
    </w:p>
    <w:p w14:paraId="7B0CD386" w14:textId="77777777" w:rsidR="00D52074" w:rsidRPr="00973090" w:rsidRDefault="00D52074" w:rsidP="00AF6A03">
      <w:pPr>
        <w:pStyle w:val="Nameofcounsel"/>
        <w:spacing w:before="0" w:after="0"/>
        <w:rPr>
          <w:b/>
          <w:lang w:val="fr-CA"/>
        </w:rPr>
      </w:pPr>
    </w:p>
    <w:p w14:paraId="361BA302" w14:textId="1C0EA285" w:rsidR="00BD1D26" w:rsidRPr="00973090" w:rsidRDefault="00322A82" w:rsidP="00AF6A03">
      <w:pPr>
        <w:pStyle w:val="Nameofcounsel"/>
        <w:spacing w:before="0" w:after="0"/>
        <w:rPr>
          <w:lang w:val="fr-CA"/>
        </w:rPr>
      </w:pPr>
      <w:r w:rsidRPr="00973090">
        <w:rPr>
          <w:lang w:val="fr-CA"/>
        </w:rPr>
        <w:t>Ju</w:t>
      </w:r>
      <w:r w:rsidR="00961A83" w:rsidRPr="00973090">
        <w:rPr>
          <w:lang w:val="fr-CA"/>
        </w:rPr>
        <w:t>ge</w:t>
      </w:r>
      <w:r w:rsidRPr="00973090">
        <w:rPr>
          <w:lang w:val="fr-CA"/>
        </w:rPr>
        <w:t xml:space="preserve"> Eileen E. Gillese,</w:t>
      </w:r>
      <w:r w:rsidR="00BD1D26" w:rsidRPr="00973090">
        <w:rPr>
          <w:lang w:val="fr-CA"/>
        </w:rPr>
        <w:t xml:space="preserve"> </w:t>
      </w:r>
      <w:r w:rsidR="00961A83" w:rsidRPr="00973090">
        <w:rPr>
          <w:lang w:val="fr-CA"/>
        </w:rPr>
        <w:t>présidente</w:t>
      </w:r>
    </w:p>
    <w:p w14:paraId="5D4949C8" w14:textId="5AB902EF" w:rsidR="00322A82" w:rsidRPr="00973090" w:rsidRDefault="00AF6A03" w:rsidP="00D52074">
      <w:pPr>
        <w:pStyle w:val="Nameofcounsel"/>
        <w:spacing w:before="0" w:after="0"/>
        <w:rPr>
          <w:lang w:val="fr-CA"/>
        </w:rPr>
      </w:pPr>
      <w:r w:rsidRPr="00973090">
        <w:rPr>
          <w:lang w:val="fr-CA"/>
        </w:rPr>
        <w:t>Cour</w:t>
      </w:r>
      <w:r w:rsidR="00961A83" w:rsidRPr="00973090">
        <w:rPr>
          <w:lang w:val="fr-CA"/>
        </w:rPr>
        <w:t xml:space="preserve"> d’appel de l’</w:t>
      </w:r>
      <w:r w:rsidRPr="00973090">
        <w:rPr>
          <w:lang w:val="fr-CA"/>
        </w:rPr>
        <w:t>Ontario</w:t>
      </w:r>
    </w:p>
    <w:p w14:paraId="5FA0777D" w14:textId="77777777" w:rsidR="00D52074" w:rsidRPr="00973090" w:rsidRDefault="00D52074" w:rsidP="00D52074">
      <w:pPr>
        <w:pStyle w:val="Nameofcounsel"/>
        <w:spacing w:before="0" w:after="0"/>
        <w:rPr>
          <w:lang w:val="fr-CA"/>
        </w:rPr>
      </w:pPr>
    </w:p>
    <w:p w14:paraId="2A14DD97" w14:textId="1028D728" w:rsidR="00A972CC" w:rsidRPr="00973090" w:rsidRDefault="00322A82" w:rsidP="00D52074">
      <w:pPr>
        <w:pStyle w:val="Nameofcounsel"/>
        <w:spacing w:before="0" w:after="0"/>
        <w:rPr>
          <w:lang w:val="fr-CA"/>
        </w:rPr>
      </w:pPr>
      <w:r w:rsidRPr="00973090">
        <w:rPr>
          <w:lang w:val="fr-CA"/>
        </w:rPr>
        <w:t>Ju</w:t>
      </w:r>
      <w:r w:rsidR="00961A83" w:rsidRPr="00973090">
        <w:rPr>
          <w:lang w:val="fr-CA"/>
        </w:rPr>
        <w:t>ge</w:t>
      </w:r>
      <w:r w:rsidRPr="00973090">
        <w:rPr>
          <w:lang w:val="fr-CA"/>
        </w:rPr>
        <w:t xml:space="preserve"> </w:t>
      </w:r>
      <w:r w:rsidR="00A972CC" w:rsidRPr="00973090">
        <w:rPr>
          <w:lang w:val="fr-CA"/>
        </w:rPr>
        <w:t xml:space="preserve">Lise </w:t>
      </w:r>
      <w:r w:rsidR="00871B9E" w:rsidRPr="00973090">
        <w:rPr>
          <w:lang w:val="fr-CA"/>
        </w:rPr>
        <w:t>S</w:t>
      </w:r>
      <w:r w:rsidR="00801D97" w:rsidRPr="00973090">
        <w:rPr>
          <w:lang w:val="fr-CA"/>
        </w:rPr>
        <w:t xml:space="preserve">. </w:t>
      </w:r>
      <w:r w:rsidR="00A972CC" w:rsidRPr="00973090">
        <w:rPr>
          <w:lang w:val="fr-CA"/>
        </w:rPr>
        <w:t>Parent</w:t>
      </w:r>
    </w:p>
    <w:p w14:paraId="7D85A1E6" w14:textId="6242EE34" w:rsidR="00A972CC" w:rsidRPr="00973090" w:rsidRDefault="00961A83" w:rsidP="00D52074">
      <w:pPr>
        <w:pStyle w:val="Nameofcounsel"/>
        <w:spacing w:before="0" w:after="0"/>
        <w:rPr>
          <w:lang w:val="fr-CA"/>
        </w:rPr>
      </w:pPr>
      <w:r w:rsidRPr="00973090">
        <w:rPr>
          <w:lang w:val="fr-CA"/>
        </w:rPr>
        <w:t>Cour de justice de l’</w:t>
      </w:r>
      <w:r w:rsidR="0019747F" w:rsidRPr="00973090">
        <w:rPr>
          <w:lang w:val="fr-CA"/>
        </w:rPr>
        <w:t xml:space="preserve">Ontario </w:t>
      </w:r>
    </w:p>
    <w:p w14:paraId="0AA0EFAA" w14:textId="77777777" w:rsidR="00AF6A03" w:rsidRPr="00973090" w:rsidRDefault="00AF6A03" w:rsidP="00AF6A03">
      <w:pPr>
        <w:pStyle w:val="Nameofcounsel"/>
        <w:spacing w:before="0" w:after="0"/>
        <w:ind w:left="720"/>
        <w:rPr>
          <w:lang w:val="fr-CA"/>
        </w:rPr>
      </w:pPr>
    </w:p>
    <w:p w14:paraId="5B171104" w14:textId="42F7AC2C" w:rsidR="00A972CC" w:rsidRPr="00973090" w:rsidRDefault="00322A82" w:rsidP="00D52074">
      <w:pPr>
        <w:pStyle w:val="Nameofcounsel"/>
        <w:spacing w:before="0" w:after="0"/>
        <w:rPr>
          <w:lang w:val="fr-CA"/>
        </w:rPr>
      </w:pPr>
      <w:r w:rsidRPr="00973090">
        <w:rPr>
          <w:lang w:val="fr-CA"/>
        </w:rPr>
        <w:t>M</w:t>
      </w:r>
      <w:r w:rsidR="00EC5809">
        <w:rPr>
          <w:lang w:val="fr-CA"/>
        </w:rPr>
        <w:t>.</w:t>
      </w:r>
      <w:r w:rsidRPr="00973090">
        <w:rPr>
          <w:lang w:val="fr-CA"/>
        </w:rPr>
        <w:t xml:space="preserve"> Chris</w:t>
      </w:r>
      <w:r w:rsidR="00A972CC" w:rsidRPr="00973090">
        <w:rPr>
          <w:lang w:val="fr-CA"/>
        </w:rPr>
        <w:t>topher</w:t>
      </w:r>
      <w:r w:rsidRPr="00973090">
        <w:rPr>
          <w:lang w:val="fr-CA"/>
        </w:rPr>
        <w:t xml:space="preserve"> </w:t>
      </w:r>
      <w:r w:rsidR="004827C5" w:rsidRPr="00973090">
        <w:rPr>
          <w:lang w:val="fr-CA"/>
        </w:rPr>
        <w:t xml:space="preserve">D. </w:t>
      </w:r>
      <w:r w:rsidRPr="00973090">
        <w:rPr>
          <w:lang w:val="fr-CA"/>
        </w:rPr>
        <w:t>Bredt</w:t>
      </w:r>
    </w:p>
    <w:p w14:paraId="1EF4B281" w14:textId="73B1E8BF" w:rsidR="00322A82" w:rsidRPr="00973090" w:rsidRDefault="00961A83" w:rsidP="00D52074">
      <w:pPr>
        <w:pStyle w:val="Nameofcounsel"/>
        <w:spacing w:before="0" w:after="0"/>
        <w:rPr>
          <w:lang w:val="fr-CA"/>
        </w:rPr>
      </w:pPr>
      <w:r w:rsidRPr="00973090">
        <w:rPr>
          <w:szCs w:val="26"/>
          <w:lang w:val="fr-CA" w:eastAsia="en-CA"/>
        </w:rPr>
        <w:t>Membre représentant les avocats</w:t>
      </w:r>
      <w:r w:rsidRPr="00973090">
        <w:rPr>
          <w:lang w:val="fr-CA"/>
        </w:rPr>
        <w:t xml:space="preserve"> </w:t>
      </w:r>
    </w:p>
    <w:p w14:paraId="2C70AF7E" w14:textId="77777777" w:rsidR="00120C0F" w:rsidRPr="00973090" w:rsidRDefault="00120C0F" w:rsidP="00120C0F">
      <w:pPr>
        <w:pStyle w:val="Nameofcounsel"/>
        <w:spacing w:before="0" w:after="0"/>
        <w:ind w:left="720"/>
        <w:rPr>
          <w:lang w:val="fr-CA"/>
        </w:rPr>
      </w:pPr>
    </w:p>
    <w:p w14:paraId="7A094A30" w14:textId="3B1D8DAA" w:rsidR="00A972CC" w:rsidRPr="00973090" w:rsidRDefault="00322A82" w:rsidP="00120C0F">
      <w:pPr>
        <w:pStyle w:val="Nameofcounsel"/>
        <w:spacing w:before="0" w:after="0"/>
        <w:rPr>
          <w:lang w:val="fr-CA"/>
        </w:rPr>
      </w:pPr>
      <w:r w:rsidRPr="00973090">
        <w:rPr>
          <w:lang w:val="fr-CA"/>
        </w:rPr>
        <w:t>M</w:t>
      </w:r>
      <w:r w:rsidR="00EC5809">
        <w:rPr>
          <w:lang w:val="fr-CA"/>
        </w:rPr>
        <w:t>me</w:t>
      </w:r>
      <w:r w:rsidRPr="00973090">
        <w:rPr>
          <w:lang w:val="fr-CA"/>
        </w:rPr>
        <w:t xml:space="preserve"> </w:t>
      </w:r>
      <w:r w:rsidR="0019747F" w:rsidRPr="00973090">
        <w:rPr>
          <w:lang w:val="fr-CA"/>
        </w:rPr>
        <w:t>Judith A. LaRocque</w:t>
      </w:r>
    </w:p>
    <w:p w14:paraId="51701656" w14:textId="0926D750" w:rsidR="00120C0F" w:rsidRPr="00973090" w:rsidRDefault="00961A83" w:rsidP="00D52074">
      <w:pPr>
        <w:pStyle w:val="Nameofcounsel"/>
        <w:spacing w:before="0" w:after="0"/>
        <w:rPr>
          <w:lang w:val="fr-CA"/>
        </w:rPr>
      </w:pPr>
      <w:r w:rsidRPr="00973090">
        <w:rPr>
          <w:szCs w:val="26"/>
          <w:lang w:val="fr-CA" w:eastAsia="en-CA"/>
        </w:rPr>
        <w:t>Membre représentant le public</w:t>
      </w:r>
    </w:p>
    <w:p w14:paraId="5415C7AB" w14:textId="77777777" w:rsidR="00AD37D3" w:rsidRPr="00973090" w:rsidRDefault="00322A82" w:rsidP="00120C0F">
      <w:pPr>
        <w:pStyle w:val="Nameofcounsel"/>
        <w:spacing w:before="0" w:after="0"/>
        <w:ind w:firstLine="720"/>
        <w:rPr>
          <w:b/>
          <w:lang w:val="fr-CA"/>
        </w:rPr>
      </w:pPr>
      <w:r w:rsidRPr="00973090">
        <w:rPr>
          <w:b/>
          <w:lang w:val="fr-CA"/>
        </w:rPr>
        <w:tab/>
      </w:r>
    </w:p>
    <w:p w14:paraId="6299D092" w14:textId="6807A5C4" w:rsidR="00322A82" w:rsidRPr="00973090" w:rsidRDefault="00961A83" w:rsidP="00D52074">
      <w:pPr>
        <w:pStyle w:val="Nameofcounsel"/>
        <w:rPr>
          <w:b/>
          <w:lang w:val="fr-CA"/>
        </w:rPr>
      </w:pPr>
      <w:r w:rsidRPr="00973090">
        <w:rPr>
          <w:b/>
          <w:lang w:val="fr-CA"/>
        </w:rPr>
        <w:t>Comité d'audi</w:t>
      </w:r>
      <w:r w:rsidR="00EC5809">
        <w:rPr>
          <w:b/>
          <w:lang w:val="fr-CA"/>
        </w:rPr>
        <w:t>ence</w:t>
      </w:r>
      <w:r w:rsidRPr="00973090">
        <w:rPr>
          <w:b/>
          <w:lang w:val="fr-CA"/>
        </w:rPr>
        <w:t xml:space="preserve"> du Conseil de la magistrature de l'Ontario</w:t>
      </w:r>
    </w:p>
    <w:p w14:paraId="41E36EFE" w14:textId="77777777" w:rsidR="00120C0F" w:rsidRPr="00973090" w:rsidRDefault="00120C0F" w:rsidP="00322A82">
      <w:pPr>
        <w:pStyle w:val="Nameofcounsel"/>
        <w:rPr>
          <w:b/>
          <w:lang w:val="fr-CA"/>
        </w:rPr>
      </w:pPr>
    </w:p>
    <w:p w14:paraId="4D25ED13" w14:textId="29FD4CF3" w:rsidR="00783766" w:rsidRPr="00973090" w:rsidRDefault="00961A83" w:rsidP="00783766">
      <w:pPr>
        <w:pStyle w:val="Nameofcounsel"/>
        <w:jc w:val="center"/>
        <w:rPr>
          <w:b/>
          <w:sz w:val="32"/>
          <w:szCs w:val="32"/>
          <w:lang w:val="fr-CA"/>
        </w:rPr>
      </w:pPr>
      <w:r w:rsidRPr="00973090">
        <w:rPr>
          <w:b/>
          <w:sz w:val="32"/>
          <w:szCs w:val="32"/>
          <w:lang w:val="fr-CA"/>
        </w:rPr>
        <w:t>MOTIFS DE</w:t>
      </w:r>
      <w:r w:rsidR="00783766" w:rsidRPr="00973090">
        <w:rPr>
          <w:b/>
          <w:sz w:val="32"/>
          <w:szCs w:val="32"/>
          <w:lang w:val="fr-CA"/>
        </w:rPr>
        <w:t xml:space="preserve"> D</w:t>
      </w:r>
      <w:r w:rsidRPr="00973090">
        <w:rPr>
          <w:b/>
          <w:sz w:val="32"/>
          <w:szCs w:val="32"/>
          <w:lang w:val="fr-CA"/>
        </w:rPr>
        <w:t>É</w:t>
      </w:r>
      <w:r w:rsidR="00783766" w:rsidRPr="00973090">
        <w:rPr>
          <w:b/>
          <w:sz w:val="32"/>
          <w:szCs w:val="32"/>
          <w:lang w:val="fr-CA"/>
        </w:rPr>
        <w:t>CISION</w:t>
      </w:r>
    </w:p>
    <w:p w14:paraId="2B3F7BBB" w14:textId="0F275C8E" w:rsidR="00322A82" w:rsidRPr="00973090" w:rsidRDefault="00961A83" w:rsidP="00322A82">
      <w:pPr>
        <w:pStyle w:val="Nameofcounsel"/>
        <w:rPr>
          <w:b/>
          <w:szCs w:val="26"/>
          <w:lang w:val="fr-CA"/>
        </w:rPr>
      </w:pPr>
      <w:r w:rsidRPr="00973090">
        <w:rPr>
          <w:b/>
          <w:szCs w:val="26"/>
          <w:lang w:val="fr-CA"/>
        </w:rPr>
        <w:t xml:space="preserve">Avocats </w:t>
      </w:r>
      <w:r w:rsidR="00B24390" w:rsidRPr="00973090">
        <w:rPr>
          <w:b/>
          <w:szCs w:val="26"/>
          <w:lang w:val="fr-CA"/>
        </w:rPr>
        <w:t>:</w:t>
      </w:r>
    </w:p>
    <w:p w14:paraId="3D7A773F" w14:textId="73A995B8" w:rsidR="00424489" w:rsidRPr="00973090" w:rsidRDefault="007D6615" w:rsidP="00424489">
      <w:pPr>
        <w:pStyle w:val="Nameofcounsel"/>
        <w:spacing w:before="0" w:after="0"/>
        <w:rPr>
          <w:szCs w:val="26"/>
          <w:lang w:val="fr-CA"/>
        </w:rPr>
      </w:pPr>
      <w:r w:rsidRPr="00973090">
        <w:rPr>
          <w:szCs w:val="26"/>
          <w:lang w:val="fr-CA"/>
        </w:rPr>
        <w:t>M</w:t>
      </w:r>
      <w:r w:rsidR="00961A83" w:rsidRPr="00973090">
        <w:rPr>
          <w:szCs w:val="26"/>
          <w:lang w:val="fr-CA"/>
        </w:rPr>
        <w:t>e</w:t>
      </w:r>
      <w:r w:rsidRPr="00973090">
        <w:rPr>
          <w:szCs w:val="26"/>
          <w:lang w:val="fr-CA"/>
        </w:rPr>
        <w:t xml:space="preserve"> </w:t>
      </w:r>
      <w:r w:rsidR="00AD37D3" w:rsidRPr="00973090">
        <w:rPr>
          <w:szCs w:val="26"/>
          <w:lang w:val="fr-CA"/>
        </w:rPr>
        <w:t>Marie Henein</w:t>
      </w:r>
      <w:r w:rsidR="00424489" w:rsidRPr="00973090">
        <w:rPr>
          <w:szCs w:val="26"/>
          <w:lang w:val="fr-CA"/>
        </w:rPr>
        <w:t>, M</w:t>
      </w:r>
      <w:r w:rsidR="00961A83" w:rsidRPr="00973090">
        <w:rPr>
          <w:szCs w:val="26"/>
          <w:lang w:val="fr-CA"/>
        </w:rPr>
        <w:t>e</w:t>
      </w:r>
      <w:r w:rsidR="00424489" w:rsidRPr="00973090">
        <w:rPr>
          <w:szCs w:val="26"/>
          <w:lang w:val="fr-CA"/>
        </w:rPr>
        <w:t xml:space="preserve"> Scott Hutchison</w:t>
      </w:r>
      <w:r w:rsidR="00AD37D3" w:rsidRPr="00973090">
        <w:rPr>
          <w:szCs w:val="26"/>
          <w:lang w:val="fr-CA"/>
        </w:rPr>
        <w:t xml:space="preserve"> </w:t>
      </w:r>
      <w:r w:rsidR="00961A83" w:rsidRPr="00973090">
        <w:rPr>
          <w:szCs w:val="26"/>
          <w:lang w:val="fr-CA"/>
        </w:rPr>
        <w:t>et</w:t>
      </w:r>
      <w:r w:rsidR="00AD37D3" w:rsidRPr="00973090">
        <w:rPr>
          <w:szCs w:val="26"/>
          <w:lang w:val="fr-CA"/>
        </w:rPr>
        <w:t xml:space="preserve"> </w:t>
      </w:r>
      <w:r w:rsidRPr="00973090">
        <w:rPr>
          <w:szCs w:val="26"/>
          <w:lang w:val="fr-CA"/>
        </w:rPr>
        <w:t>M</w:t>
      </w:r>
      <w:r w:rsidR="00961A83" w:rsidRPr="00973090">
        <w:rPr>
          <w:szCs w:val="26"/>
          <w:lang w:val="fr-CA"/>
        </w:rPr>
        <w:t>e</w:t>
      </w:r>
      <w:r w:rsidRPr="00973090">
        <w:rPr>
          <w:szCs w:val="26"/>
          <w:lang w:val="fr-CA"/>
        </w:rPr>
        <w:t xml:space="preserve"> </w:t>
      </w:r>
      <w:r w:rsidR="00AD37D3" w:rsidRPr="00973090">
        <w:rPr>
          <w:szCs w:val="26"/>
          <w:lang w:val="fr-CA"/>
        </w:rPr>
        <w:t>Christine Mainville</w:t>
      </w:r>
      <w:r w:rsidR="002F6E20" w:rsidRPr="00973090">
        <w:rPr>
          <w:szCs w:val="26"/>
          <w:lang w:val="fr-CA"/>
        </w:rPr>
        <w:t>,</w:t>
      </w:r>
    </w:p>
    <w:p w14:paraId="1E3D7C36" w14:textId="32DA8C6C" w:rsidR="00D54B65" w:rsidRPr="00973090" w:rsidRDefault="00961A83" w:rsidP="00424489">
      <w:pPr>
        <w:pStyle w:val="Nameofcounsel"/>
        <w:spacing w:before="0" w:after="0"/>
        <w:rPr>
          <w:szCs w:val="26"/>
          <w:lang w:val="fr-CA"/>
        </w:rPr>
      </w:pPr>
      <w:r w:rsidRPr="00973090">
        <w:rPr>
          <w:szCs w:val="26"/>
          <w:lang w:val="fr-CA"/>
        </w:rPr>
        <w:t>Avocats chargés de la présentation</w:t>
      </w:r>
      <w:r w:rsidR="00AD37D3" w:rsidRPr="00973090">
        <w:rPr>
          <w:szCs w:val="26"/>
          <w:lang w:val="fr-CA"/>
        </w:rPr>
        <w:t xml:space="preserve">  </w:t>
      </w:r>
    </w:p>
    <w:p w14:paraId="37D2F2AB" w14:textId="70D48FD2" w:rsidR="00D54B65" w:rsidRPr="00973090" w:rsidRDefault="00424489" w:rsidP="00D54B65">
      <w:pPr>
        <w:pStyle w:val="Nameofcounsel"/>
        <w:rPr>
          <w:szCs w:val="26"/>
          <w:lang w:val="fr-CA"/>
        </w:rPr>
      </w:pPr>
      <w:r w:rsidRPr="00973090">
        <w:rPr>
          <w:szCs w:val="26"/>
          <w:lang w:val="fr-CA"/>
        </w:rPr>
        <w:t>M</w:t>
      </w:r>
      <w:r w:rsidR="00961A83" w:rsidRPr="00973090">
        <w:rPr>
          <w:szCs w:val="26"/>
          <w:lang w:val="fr-CA"/>
        </w:rPr>
        <w:t>e</w:t>
      </w:r>
      <w:r w:rsidRPr="00973090">
        <w:rPr>
          <w:szCs w:val="26"/>
          <w:lang w:val="fr-CA"/>
        </w:rPr>
        <w:t xml:space="preserve"> </w:t>
      </w:r>
      <w:r w:rsidR="00AD37D3" w:rsidRPr="00973090">
        <w:rPr>
          <w:szCs w:val="26"/>
          <w:lang w:val="fr-CA"/>
        </w:rPr>
        <w:t xml:space="preserve">Paul Stern, </w:t>
      </w:r>
      <w:r w:rsidR="00961A83" w:rsidRPr="00973090">
        <w:rPr>
          <w:szCs w:val="26"/>
          <w:lang w:val="fr-CA"/>
        </w:rPr>
        <w:t xml:space="preserve">avocat du juge </w:t>
      </w:r>
      <w:r w:rsidR="00AD37D3" w:rsidRPr="00973090">
        <w:rPr>
          <w:szCs w:val="26"/>
          <w:lang w:val="fr-CA"/>
        </w:rPr>
        <w:t xml:space="preserve">Keast </w:t>
      </w:r>
    </w:p>
    <w:p w14:paraId="32B455CD" w14:textId="6262A5D2" w:rsidR="00B24390" w:rsidRPr="00973090" w:rsidRDefault="00424489" w:rsidP="00D54B65">
      <w:pPr>
        <w:pStyle w:val="Heard"/>
        <w:rPr>
          <w:szCs w:val="26"/>
          <w:lang w:val="fr-CA"/>
        </w:rPr>
      </w:pPr>
      <w:r w:rsidRPr="00973090">
        <w:rPr>
          <w:szCs w:val="26"/>
          <w:lang w:val="fr-CA"/>
        </w:rPr>
        <w:t>M</w:t>
      </w:r>
      <w:r w:rsidR="00961A83" w:rsidRPr="00973090">
        <w:rPr>
          <w:szCs w:val="26"/>
          <w:lang w:val="fr-CA"/>
        </w:rPr>
        <w:t xml:space="preserve">e </w:t>
      </w:r>
      <w:r w:rsidRPr="00973090">
        <w:rPr>
          <w:szCs w:val="26"/>
          <w:lang w:val="fr-CA"/>
        </w:rPr>
        <w:t>Chris Kinnear Hunter</w:t>
      </w:r>
      <w:r w:rsidR="002F6E20" w:rsidRPr="00973090">
        <w:rPr>
          <w:szCs w:val="26"/>
          <w:lang w:val="fr-CA"/>
        </w:rPr>
        <w:t xml:space="preserve">, </w:t>
      </w:r>
      <w:r w:rsidR="00961A83" w:rsidRPr="00973090">
        <w:rPr>
          <w:szCs w:val="26"/>
          <w:lang w:val="fr-CA"/>
        </w:rPr>
        <w:t xml:space="preserve">avocat de la </w:t>
      </w:r>
      <w:r w:rsidRPr="00973090">
        <w:rPr>
          <w:szCs w:val="26"/>
          <w:lang w:val="fr-CA"/>
        </w:rPr>
        <w:t>Children’s Aid Society of the Districts of Sudbury and Manitoulin</w:t>
      </w:r>
    </w:p>
    <w:p w14:paraId="4B4C5E7B" w14:textId="426AAB25" w:rsidR="005A70CF" w:rsidRPr="00973090" w:rsidRDefault="00424489" w:rsidP="00D54B65">
      <w:pPr>
        <w:pStyle w:val="Heard"/>
        <w:rPr>
          <w:szCs w:val="26"/>
          <w:lang w:val="fr-CA"/>
        </w:rPr>
      </w:pPr>
      <w:r w:rsidRPr="00973090">
        <w:rPr>
          <w:szCs w:val="26"/>
          <w:lang w:val="fr-CA"/>
        </w:rPr>
        <w:t>M</w:t>
      </w:r>
      <w:r w:rsidR="00961A83" w:rsidRPr="00973090">
        <w:rPr>
          <w:szCs w:val="26"/>
          <w:lang w:val="fr-CA"/>
        </w:rPr>
        <w:t>e</w:t>
      </w:r>
      <w:r w:rsidRPr="00973090">
        <w:rPr>
          <w:szCs w:val="26"/>
          <w:lang w:val="fr-CA"/>
        </w:rPr>
        <w:t xml:space="preserve"> Sean A. Moreman</w:t>
      </w:r>
      <w:r w:rsidR="002F6E20" w:rsidRPr="00973090">
        <w:rPr>
          <w:szCs w:val="26"/>
          <w:lang w:val="fr-CA"/>
        </w:rPr>
        <w:t xml:space="preserve">, </w:t>
      </w:r>
      <w:r w:rsidR="00961A83" w:rsidRPr="00973090">
        <w:rPr>
          <w:szCs w:val="26"/>
          <w:lang w:val="fr-CA"/>
        </w:rPr>
        <w:t>avocat de la Société Radio-Canada</w:t>
      </w:r>
    </w:p>
    <w:p w14:paraId="4BD179B0" w14:textId="654E9684" w:rsidR="00752EF4" w:rsidRPr="00973090" w:rsidRDefault="00961A83" w:rsidP="007879A1">
      <w:pPr>
        <w:pStyle w:val="Heard"/>
        <w:ind w:left="2160" w:firstLine="720"/>
        <w:rPr>
          <w:b/>
          <w:sz w:val="28"/>
          <w:szCs w:val="28"/>
          <w:lang w:val="fr-CA"/>
        </w:rPr>
      </w:pPr>
      <w:r w:rsidRPr="00973090">
        <w:rPr>
          <w:b/>
          <w:sz w:val="28"/>
          <w:szCs w:val="28"/>
          <w:lang w:val="fr-CA"/>
        </w:rPr>
        <w:t>MOTIFS DE DÉCISION</w:t>
      </w:r>
    </w:p>
    <w:p w14:paraId="3E362915" w14:textId="77777777" w:rsidR="007879A1" w:rsidRPr="00973090" w:rsidRDefault="007879A1" w:rsidP="007879A1">
      <w:pPr>
        <w:pStyle w:val="Heard"/>
        <w:ind w:left="2160" w:firstLine="720"/>
        <w:rPr>
          <w:rStyle w:val="Strong"/>
          <w:bCs w:val="0"/>
          <w:sz w:val="28"/>
          <w:szCs w:val="28"/>
          <w:lang w:val="fr-CA"/>
        </w:rPr>
      </w:pPr>
    </w:p>
    <w:p w14:paraId="3ED2E3CB" w14:textId="53C5AF4D" w:rsidR="000251ED" w:rsidRPr="00973090" w:rsidRDefault="00961A83" w:rsidP="000251ED">
      <w:pPr>
        <w:pStyle w:val="AParaNumbering"/>
        <w:numPr>
          <w:ilvl w:val="0"/>
          <w:numId w:val="0"/>
        </w:numPr>
        <w:rPr>
          <w:b/>
          <w:lang w:val="fr-CA"/>
        </w:rPr>
      </w:pPr>
      <w:r w:rsidRPr="00973090">
        <w:rPr>
          <w:b/>
          <w:lang w:val="fr-CA"/>
        </w:rPr>
        <w:t>SURVOL</w:t>
      </w:r>
      <w:r w:rsidR="007D5AFF" w:rsidRPr="00973090">
        <w:rPr>
          <w:b/>
          <w:lang w:val="fr-CA"/>
        </w:rPr>
        <w:t xml:space="preserve"> </w:t>
      </w:r>
    </w:p>
    <w:p w14:paraId="3B79C26E" w14:textId="48FDD3AD" w:rsidR="009E31B6" w:rsidRPr="00973090" w:rsidRDefault="00961A83" w:rsidP="00961A83">
      <w:pPr>
        <w:pStyle w:val="AParaNumbering"/>
        <w:rPr>
          <w:lang w:val="fr-CA"/>
        </w:rPr>
      </w:pPr>
      <w:r w:rsidRPr="00973090">
        <w:rPr>
          <w:lang w:val="fr-CA"/>
        </w:rPr>
        <w:t>Le juge J</w:t>
      </w:r>
      <w:r w:rsidR="00FB49B2" w:rsidRPr="00973090">
        <w:rPr>
          <w:lang w:val="fr-CA"/>
        </w:rPr>
        <w:t xml:space="preserve">ohn Keast </w:t>
      </w:r>
      <w:r w:rsidRPr="00973090">
        <w:rPr>
          <w:lang w:val="fr-CA"/>
        </w:rPr>
        <w:t xml:space="preserve">a été nommé à la Cour de justice de l’Ontario (CJO), dans la région du Nord-Est, en juillet </w:t>
      </w:r>
      <w:r w:rsidR="00EC0657" w:rsidRPr="00973090">
        <w:rPr>
          <w:lang w:val="fr-CA"/>
        </w:rPr>
        <w:t>2001</w:t>
      </w:r>
      <w:r w:rsidR="00F13310" w:rsidRPr="00973090">
        <w:rPr>
          <w:lang w:val="fr-CA"/>
        </w:rPr>
        <w:t>.</w:t>
      </w:r>
      <w:r w:rsidR="00EC0657" w:rsidRPr="00973090">
        <w:rPr>
          <w:lang w:val="fr-CA"/>
        </w:rPr>
        <w:t xml:space="preserve"> </w:t>
      </w:r>
      <w:r w:rsidRPr="00973090">
        <w:rPr>
          <w:lang w:val="fr-CA"/>
        </w:rPr>
        <w:t>À l’époque de sa nomination, il avait la réputation d’</w:t>
      </w:r>
      <w:r w:rsidR="00642156" w:rsidRPr="00973090">
        <w:rPr>
          <w:lang w:val="fr-CA"/>
        </w:rPr>
        <w:t xml:space="preserve">être une personne intègre, qui travaillait d’arrache-pied pour ses clients et le grand public. Le juge </w:t>
      </w:r>
      <w:r w:rsidR="0083786B" w:rsidRPr="00973090">
        <w:rPr>
          <w:lang w:val="fr-CA"/>
        </w:rPr>
        <w:t xml:space="preserve">Keast </w:t>
      </w:r>
      <w:r w:rsidR="00642156" w:rsidRPr="00973090">
        <w:rPr>
          <w:lang w:val="fr-CA"/>
        </w:rPr>
        <w:t>a rapidement acquis une réputation semblable à la magistrature</w:t>
      </w:r>
      <w:r w:rsidR="00C00D32" w:rsidRPr="00973090">
        <w:rPr>
          <w:lang w:val="fr-CA"/>
        </w:rPr>
        <w:t xml:space="preserve">.  </w:t>
      </w:r>
    </w:p>
    <w:p w14:paraId="4924CE14" w14:textId="5BFC4400" w:rsidR="0072564E" w:rsidRPr="00973090" w:rsidRDefault="006E7FFE" w:rsidP="006E7FFE">
      <w:pPr>
        <w:pStyle w:val="AParaNumbering"/>
        <w:rPr>
          <w:lang w:val="fr-CA"/>
        </w:rPr>
      </w:pPr>
      <w:r w:rsidRPr="00973090">
        <w:rPr>
          <w:lang w:val="fr-CA"/>
        </w:rPr>
        <w:t xml:space="preserve">Néanmoins, entre le 8 janvier et le 17 mars </w:t>
      </w:r>
      <w:r w:rsidR="00254870" w:rsidRPr="00973090">
        <w:rPr>
          <w:lang w:val="fr-CA"/>
        </w:rPr>
        <w:t xml:space="preserve">2016, </w:t>
      </w:r>
      <w:r w:rsidRPr="00973090">
        <w:rPr>
          <w:lang w:val="fr-CA"/>
        </w:rPr>
        <w:t xml:space="preserve">le juge </w:t>
      </w:r>
      <w:r w:rsidR="00254870" w:rsidRPr="00973090">
        <w:rPr>
          <w:lang w:val="fr-CA"/>
        </w:rPr>
        <w:t xml:space="preserve">Keast </w:t>
      </w:r>
      <w:r w:rsidRPr="00973090">
        <w:rPr>
          <w:lang w:val="fr-CA"/>
        </w:rPr>
        <w:t>a échangé des textos avec un ami, dans lesquels il est indéniable qu’il s’est conduit d’une manière indigne de la norme de conduite attendue d’un juge et contraire aux Principes de la charge judiciaire</w:t>
      </w:r>
      <w:r w:rsidR="00F73A72" w:rsidRPr="00973090">
        <w:rPr>
          <w:lang w:val="fr-CA"/>
        </w:rPr>
        <w:t xml:space="preserve"> </w:t>
      </w:r>
      <w:r w:rsidRPr="00973090">
        <w:rPr>
          <w:lang w:val="fr-CA"/>
        </w:rPr>
        <w:t xml:space="preserve">des juges de la CJO, établis et approuvés aux termes de l’article </w:t>
      </w:r>
      <w:r w:rsidR="00F73A72" w:rsidRPr="00973090">
        <w:rPr>
          <w:lang w:val="fr-CA"/>
        </w:rPr>
        <w:t>51</w:t>
      </w:r>
      <w:r w:rsidR="00314C7C" w:rsidRPr="00973090">
        <w:rPr>
          <w:lang w:val="fr-CA"/>
        </w:rPr>
        <w:t>.9</w:t>
      </w:r>
      <w:r w:rsidR="00F73A72" w:rsidRPr="00973090">
        <w:rPr>
          <w:lang w:val="fr-CA"/>
        </w:rPr>
        <w:t xml:space="preserve"> </w:t>
      </w:r>
      <w:r w:rsidRPr="00973090">
        <w:rPr>
          <w:lang w:val="fr-CA"/>
        </w:rPr>
        <w:t xml:space="preserve">de la </w:t>
      </w:r>
      <w:r w:rsidRPr="00973090">
        <w:rPr>
          <w:i/>
          <w:lang w:val="fr-CA"/>
        </w:rPr>
        <w:t>Loi sur les tribunaux judiciaires</w:t>
      </w:r>
      <w:r w:rsidRPr="00973090">
        <w:rPr>
          <w:lang w:val="fr-CA"/>
        </w:rPr>
        <w:t>, L.R.O</w:t>
      </w:r>
      <w:r w:rsidR="00F73A72" w:rsidRPr="00973090">
        <w:rPr>
          <w:lang w:val="fr-CA"/>
        </w:rPr>
        <w:t xml:space="preserve">. </w:t>
      </w:r>
      <w:r w:rsidR="009005C9" w:rsidRPr="00973090">
        <w:rPr>
          <w:lang w:val="fr-CA"/>
        </w:rPr>
        <w:t>1990, c</w:t>
      </w:r>
      <w:r w:rsidRPr="00973090">
        <w:rPr>
          <w:lang w:val="fr-CA"/>
        </w:rPr>
        <w:t>hap</w:t>
      </w:r>
      <w:r w:rsidR="009005C9" w:rsidRPr="00973090">
        <w:rPr>
          <w:lang w:val="fr-CA"/>
        </w:rPr>
        <w:t>.</w:t>
      </w:r>
      <w:r w:rsidRPr="00973090">
        <w:rPr>
          <w:lang w:val="fr-CA"/>
        </w:rPr>
        <w:t> </w:t>
      </w:r>
      <w:r w:rsidR="009005C9" w:rsidRPr="00973090">
        <w:rPr>
          <w:lang w:val="fr-CA"/>
        </w:rPr>
        <w:t>C.43 (</w:t>
      </w:r>
      <w:r w:rsidRPr="00973090">
        <w:rPr>
          <w:lang w:val="fr-CA"/>
        </w:rPr>
        <w:t>la « Loi »</w:t>
      </w:r>
      <w:r w:rsidR="009005C9" w:rsidRPr="00973090">
        <w:rPr>
          <w:lang w:val="fr-CA"/>
        </w:rPr>
        <w:t>).</w:t>
      </w:r>
      <w:r w:rsidR="00F73A72" w:rsidRPr="00973090">
        <w:rPr>
          <w:lang w:val="fr-CA"/>
        </w:rPr>
        <w:t xml:space="preserve">  </w:t>
      </w:r>
    </w:p>
    <w:p w14:paraId="2402A01F" w14:textId="1B532C6F" w:rsidR="009C73D7" w:rsidRPr="00973090" w:rsidRDefault="006E7FFE" w:rsidP="009C73D7">
      <w:pPr>
        <w:pStyle w:val="AParaNumbering"/>
        <w:rPr>
          <w:lang w:val="fr-CA"/>
        </w:rPr>
      </w:pPr>
      <w:r w:rsidRPr="00973090">
        <w:rPr>
          <w:lang w:val="fr-CA"/>
        </w:rPr>
        <w:t>La</w:t>
      </w:r>
      <w:r w:rsidR="00164894" w:rsidRPr="00973090">
        <w:rPr>
          <w:lang w:val="fr-CA"/>
        </w:rPr>
        <w:t xml:space="preserve"> </w:t>
      </w:r>
      <w:r w:rsidR="00A72FA6" w:rsidRPr="00973090">
        <w:rPr>
          <w:lang w:val="fr-CA"/>
        </w:rPr>
        <w:t xml:space="preserve">Children’s Aid Society </w:t>
      </w:r>
      <w:r w:rsidR="000251ED" w:rsidRPr="00973090">
        <w:rPr>
          <w:lang w:val="fr-CA"/>
        </w:rPr>
        <w:t xml:space="preserve">for </w:t>
      </w:r>
      <w:r w:rsidR="00A72FA6" w:rsidRPr="00973090">
        <w:rPr>
          <w:lang w:val="fr-CA"/>
        </w:rPr>
        <w:t>the District of Sudbury and Manitoulin (</w:t>
      </w:r>
      <w:r w:rsidRPr="00973090">
        <w:rPr>
          <w:lang w:val="fr-CA"/>
        </w:rPr>
        <w:t>la « SAE »</w:t>
      </w:r>
      <w:r w:rsidR="00A72FA6" w:rsidRPr="00973090">
        <w:rPr>
          <w:lang w:val="fr-CA"/>
        </w:rPr>
        <w:t xml:space="preserve">) </w:t>
      </w:r>
      <w:r w:rsidRPr="00973090">
        <w:rPr>
          <w:lang w:val="fr-CA"/>
        </w:rPr>
        <w:t>est entrée en possession des textos</w:t>
      </w:r>
      <w:r w:rsidR="00164894" w:rsidRPr="00973090">
        <w:rPr>
          <w:lang w:val="fr-CA"/>
        </w:rPr>
        <w:t xml:space="preserve">. </w:t>
      </w:r>
      <w:r w:rsidRPr="00973090">
        <w:rPr>
          <w:lang w:val="fr-CA"/>
        </w:rPr>
        <w:t xml:space="preserve">La SAE a déposé une plainte au Conseil de la magistrature de l’Ontario </w:t>
      </w:r>
      <w:r w:rsidR="00F44D92" w:rsidRPr="00973090">
        <w:rPr>
          <w:lang w:val="fr-CA"/>
        </w:rPr>
        <w:t>(</w:t>
      </w:r>
      <w:r w:rsidRPr="00973090">
        <w:rPr>
          <w:lang w:val="fr-CA"/>
        </w:rPr>
        <w:t>le « Conseil »</w:t>
      </w:r>
      <w:r w:rsidR="00F44D92" w:rsidRPr="00973090">
        <w:rPr>
          <w:lang w:val="fr-CA"/>
        </w:rPr>
        <w:t>)</w:t>
      </w:r>
      <w:r w:rsidR="00EC0657" w:rsidRPr="00973090">
        <w:rPr>
          <w:lang w:val="fr-CA"/>
        </w:rPr>
        <w:t xml:space="preserve">, </w:t>
      </w:r>
      <w:r w:rsidRPr="00973090">
        <w:rPr>
          <w:lang w:val="fr-CA"/>
        </w:rPr>
        <w:t>en y joignant en annexe une copie des textos</w:t>
      </w:r>
      <w:r w:rsidR="00EC0657" w:rsidRPr="00973090">
        <w:rPr>
          <w:lang w:val="fr-CA"/>
        </w:rPr>
        <w:t xml:space="preserve">. </w:t>
      </w:r>
      <w:r w:rsidR="009D2082" w:rsidRPr="00973090">
        <w:rPr>
          <w:lang w:val="fr-CA"/>
        </w:rPr>
        <w:t xml:space="preserve">Dans </w:t>
      </w:r>
      <w:r w:rsidR="00524104">
        <w:rPr>
          <w:lang w:val="fr-CA"/>
        </w:rPr>
        <w:t>s</w:t>
      </w:r>
      <w:r w:rsidR="009D2082" w:rsidRPr="00973090">
        <w:rPr>
          <w:lang w:val="fr-CA"/>
        </w:rPr>
        <w:t>a plainte, la SAE sout</w:t>
      </w:r>
      <w:r w:rsidR="00524104">
        <w:rPr>
          <w:lang w:val="fr-CA"/>
        </w:rPr>
        <w:t>enait</w:t>
      </w:r>
      <w:r w:rsidR="009D2082" w:rsidRPr="00973090">
        <w:rPr>
          <w:lang w:val="fr-CA"/>
        </w:rPr>
        <w:t xml:space="preserve"> que le juge </w:t>
      </w:r>
      <w:r w:rsidR="009C73D7" w:rsidRPr="00973090">
        <w:rPr>
          <w:lang w:val="fr-CA"/>
        </w:rPr>
        <w:t xml:space="preserve">Keast </w:t>
      </w:r>
      <w:r w:rsidR="009D2082" w:rsidRPr="00973090">
        <w:rPr>
          <w:lang w:val="fr-CA"/>
        </w:rPr>
        <w:t>s’</w:t>
      </w:r>
      <w:r w:rsidR="00524104">
        <w:rPr>
          <w:lang w:val="fr-CA"/>
        </w:rPr>
        <w:t>était</w:t>
      </w:r>
      <w:r w:rsidR="009D2082" w:rsidRPr="00973090">
        <w:rPr>
          <w:lang w:val="fr-CA"/>
        </w:rPr>
        <w:t xml:space="preserve"> conduit et a</w:t>
      </w:r>
      <w:r w:rsidR="00524104">
        <w:rPr>
          <w:lang w:val="fr-CA"/>
        </w:rPr>
        <w:t>vait</w:t>
      </w:r>
      <w:r w:rsidR="009D2082" w:rsidRPr="00973090">
        <w:rPr>
          <w:lang w:val="fr-CA"/>
        </w:rPr>
        <w:t xml:space="preserve"> agi d’une manière contraire aux principes d’impartialité, d’intégrité et d’indépendance de la magistrature</w:t>
      </w:r>
      <w:r w:rsidR="009C73D7" w:rsidRPr="00973090">
        <w:rPr>
          <w:lang w:val="fr-CA"/>
        </w:rPr>
        <w:t xml:space="preserve">.  </w:t>
      </w:r>
    </w:p>
    <w:p w14:paraId="13C58A59" w14:textId="2406315F" w:rsidR="009005C9" w:rsidRPr="00973090" w:rsidRDefault="00023D90" w:rsidP="00A30D77">
      <w:pPr>
        <w:pStyle w:val="AParaNumbering"/>
        <w:rPr>
          <w:lang w:val="fr-CA"/>
        </w:rPr>
      </w:pPr>
      <w:r w:rsidRPr="00973090">
        <w:rPr>
          <w:lang w:val="fr-CA"/>
        </w:rPr>
        <w:t xml:space="preserve">Après avoir mené une enquête sur la plainte, en application de l’article </w:t>
      </w:r>
      <w:r w:rsidR="003D423A" w:rsidRPr="00973090">
        <w:rPr>
          <w:lang w:val="fr-CA"/>
        </w:rPr>
        <w:t xml:space="preserve">51.6 </w:t>
      </w:r>
      <w:r w:rsidRPr="00973090">
        <w:rPr>
          <w:lang w:val="fr-CA"/>
        </w:rPr>
        <w:t>de la Loi, le Conseil a ordonné la tenue d’une audience sur la plainte</w:t>
      </w:r>
      <w:r w:rsidR="00EC0657" w:rsidRPr="00973090">
        <w:rPr>
          <w:lang w:val="fr-CA"/>
        </w:rPr>
        <w:t xml:space="preserve">. </w:t>
      </w:r>
      <w:r w:rsidRPr="00973090">
        <w:rPr>
          <w:lang w:val="fr-CA"/>
        </w:rPr>
        <w:t>Notre comité du Conseil a été convoqué pour conduire l’audience (le « comité d’audi</w:t>
      </w:r>
      <w:r w:rsidR="00424933" w:rsidRPr="00973090">
        <w:rPr>
          <w:lang w:val="fr-CA"/>
        </w:rPr>
        <w:t>ence</w:t>
      </w:r>
      <w:r w:rsidRPr="00973090">
        <w:rPr>
          <w:lang w:val="fr-CA"/>
        </w:rPr>
        <w:t> »</w:t>
      </w:r>
      <w:r w:rsidR="00037BCE" w:rsidRPr="00973090">
        <w:rPr>
          <w:lang w:val="fr-CA"/>
        </w:rPr>
        <w:t>)</w:t>
      </w:r>
      <w:r w:rsidR="0002518A" w:rsidRPr="00973090">
        <w:rPr>
          <w:lang w:val="fr-CA"/>
        </w:rPr>
        <w:t xml:space="preserve">. </w:t>
      </w:r>
      <w:r w:rsidR="009005C9" w:rsidRPr="00973090">
        <w:rPr>
          <w:lang w:val="fr-CA"/>
        </w:rPr>
        <w:t xml:space="preserve"> </w:t>
      </w:r>
    </w:p>
    <w:p w14:paraId="1C593DF1" w14:textId="70F4FF27" w:rsidR="0072564E" w:rsidRPr="00973090" w:rsidRDefault="00023D90" w:rsidP="00BF7E4D">
      <w:pPr>
        <w:pStyle w:val="AParaNumbering"/>
        <w:rPr>
          <w:lang w:val="fr-CA"/>
        </w:rPr>
      </w:pPr>
      <w:r w:rsidRPr="00973090">
        <w:rPr>
          <w:lang w:val="fr-CA"/>
        </w:rPr>
        <w:t xml:space="preserve">Le juge </w:t>
      </w:r>
      <w:r w:rsidR="00F73A72" w:rsidRPr="00973090">
        <w:rPr>
          <w:lang w:val="fr-CA"/>
        </w:rPr>
        <w:t xml:space="preserve">Keast </w:t>
      </w:r>
      <w:r w:rsidR="0072564E" w:rsidRPr="00973090">
        <w:rPr>
          <w:lang w:val="fr-CA"/>
        </w:rPr>
        <w:t>a</w:t>
      </w:r>
      <w:r w:rsidR="00E02AC2" w:rsidRPr="00973090">
        <w:rPr>
          <w:lang w:val="fr-CA"/>
        </w:rPr>
        <w:t>dm</w:t>
      </w:r>
      <w:r w:rsidRPr="00973090">
        <w:rPr>
          <w:lang w:val="fr-CA"/>
        </w:rPr>
        <w:t xml:space="preserve">et que ses actions, </w:t>
      </w:r>
      <w:r w:rsidR="00424933" w:rsidRPr="00973090">
        <w:rPr>
          <w:lang w:val="fr-CA"/>
        </w:rPr>
        <w:t>au cours de la période allant du</w:t>
      </w:r>
      <w:r w:rsidRPr="00973090">
        <w:rPr>
          <w:lang w:val="fr-CA"/>
        </w:rPr>
        <w:t xml:space="preserve"> 8</w:t>
      </w:r>
      <w:r w:rsidR="00424933" w:rsidRPr="00973090">
        <w:rPr>
          <w:lang w:val="fr-CA"/>
        </w:rPr>
        <w:t> </w:t>
      </w:r>
      <w:r w:rsidRPr="00973090">
        <w:rPr>
          <w:lang w:val="fr-CA"/>
        </w:rPr>
        <w:t xml:space="preserve">janvier </w:t>
      </w:r>
      <w:r w:rsidR="00424933" w:rsidRPr="00973090">
        <w:rPr>
          <w:lang w:val="fr-CA"/>
        </w:rPr>
        <w:t>au</w:t>
      </w:r>
      <w:r w:rsidRPr="00973090">
        <w:rPr>
          <w:lang w:val="fr-CA"/>
        </w:rPr>
        <w:t xml:space="preserve"> 17 mars </w:t>
      </w:r>
      <w:r w:rsidR="002F6E20" w:rsidRPr="00973090">
        <w:rPr>
          <w:lang w:val="fr-CA"/>
        </w:rPr>
        <w:t xml:space="preserve">2016, </w:t>
      </w:r>
      <w:r w:rsidR="0072564E" w:rsidRPr="00973090">
        <w:rPr>
          <w:lang w:val="fr-CA"/>
        </w:rPr>
        <w:t>constitue</w:t>
      </w:r>
      <w:r w:rsidRPr="00973090">
        <w:rPr>
          <w:lang w:val="fr-CA"/>
        </w:rPr>
        <w:t>nt une inconduite judiciaire</w:t>
      </w:r>
      <w:r w:rsidR="0072564E" w:rsidRPr="00973090">
        <w:rPr>
          <w:lang w:val="fr-CA"/>
        </w:rPr>
        <w:t>.</w:t>
      </w:r>
      <w:r w:rsidR="0083786B" w:rsidRPr="00973090">
        <w:rPr>
          <w:lang w:val="fr-CA"/>
        </w:rPr>
        <w:t xml:space="preserve"> </w:t>
      </w:r>
    </w:p>
    <w:p w14:paraId="26AA1693" w14:textId="2E5B20AB" w:rsidR="00EC0657" w:rsidRPr="00973090" w:rsidRDefault="00023D90" w:rsidP="00A30D77">
      <w:pPr>
        <w:pStyle w:val="AParaNumbering"/>
        <w:rPr>
          <w:lang w:val="fr-CA"/>
        </w:rPr>
      </w:pPr>
      <w:r w:rsidRPr="00973090">
        <w:rPr>
          <w:lang w:val="fr-CA"/>
        </w:rPr>
        <w:t xml:space="preserve">En se fondant sur la totalité des éléments de preuve, y compris l’Exposé conjoint des faits déposé dans le cadre de l’audience et les aveux du juge </w:t>
      </w:r>
      <w:r w:rsidR="00EC0657" w:rsidRPr="00973090">
        <w:rPr>
          <w:lang w:val="fr-CA"/>
        </w:rPr>
        <w:t>Keast</w:t>
      </w:r>
      <w:r w:rsidRPr="00973090">
        <w:rPr>
          <w:lang w:val="fr-CA"/>
        </w:rPr>
        <w:t xml:space="preserve">, </w:t>
      </w:r>
      <w:r w:rsidR="00524104">
        <w:rPr>
          <w:lang w:val="fr-CA"/>
        </w:rPr>
        <w:t>notre</w:t>
      </w:r>
      <w:r w:rsidRPr="00973090">
        <w:rPr>
          <w:lang w:val="fr-CA"/>
        </w:rPr>
        <w:t xml:space="preserve"> comité d’audi</w:t>
      </w:r>
      <w:r w:rsidR="009B73EA" w:rsidRPr="00973090">
        <w:rPr>
          <w:lang w:val="fr-CA"/>
        </w:rPr>
        <w:t>ence</w:t>
      </w:r>
      <w:r w:rsidRPr="00973090">
        <w:rPr>
          <w:lang w:val="fr-CA"/>
        </w:rPr>
        <w:t xml:space="preserve"> n’hésite pas à conclure que les actions du juge</w:t>
      </w:r>
      <w:r w:rsidR="000774E7" w:rsidRPr="00973090">
        <w:rPr>
          <w:lang w:val="fr-CA"/>
        </w:rPr>
        <w:t xml:space="preserve"> Keast</w:t>
      </w:r>
      <w:r w:rsidRPr="00973090">
        <w:rPr>
          <w:lang w:val="fr-CA"/>
        </w:rPr>
        <w:t xml:space="preserve"> constituaient une inconduite</w:t>
      </w:r>
      <w:r w:rsidR="00EC0657" w:rsidRPr="00973090">
        <w:rPr>
          <w:lang w:val="fr-CA"/>
        </w:rPr>
        <w:t xml:space="preserve">. </w:t>
      </w:r>
      <w:r w:rsidRPr="00973090">
        <w:rPr>
          <w:lang w:val="fr-CA"/>
        </w:rPr>
        <w:t>En outre, le comité d’audi</w:t>
      </w:r>
      <w:r w:rsidR="009B73EA" w:rsidRPr="00973090">
        <w:rPr>
          <w:lang w:val="fr-CA"/>
        </w:rPr>
        <w:t>ence</w:t>
      </w:r>
      <w:r w:rsidRPr="00973090">
        <w:rPr>
          <w:lang w:val="fr-CA"/>
        </w:rPr>
        <w:t xml:space="preserve"> estime que l’inconduite représente un manquement grave aux normes de conduite judiciaire qui a eu des répercussions préjudiciables sur la confiance du public envers la magistrature et l’administration de la justice. En conséquence, le comité d’audi</w:t>
      </w:r>
      <w:r w:rsidR="009B73EA" w:rsidRPr="00973090">
        <w:rPr>
          <w:lang w:val="fr-CA"/>
        </w:rPr>
        <w:t>ence</w:t>
      </w:r>
      <w:r w:rsidRPr="00973090">
        <w:rPr>
          <w:lang w:val="fr-CA"/>
        </w:rPr>
        <w:t xml:space="preserve"> a conclu que l’inconduite justifia</w:t>
      </w:r>
      <w:r w:rsidR="00524104">
        <w:rPr>
          <w:lang w:val="fr-CA"/>
        </w:rPr>
        <w:t>i</w:t>
      </w:r>
      <w:r w:rsidRPr="00973090">
        <w:rPr>
          <w:lang w:val="fr-CA"/>
        </w:rPr>
        <w:t>t la prise d’une mesure en vertu du paragraphe</w:t>
      </w:r>
      <w:r w:rsidR="00037BCE" w:rsidRPr="00973090">
        <w:rPr>
          <w:lang w:val="fr-CA"/>
        </w:rPr>
        <w:t xml:space="preserve"> 51.6</w:t>
      </w:r>
      <w:r w:rsidRPr="00973090">
        <w:rPr>
          <w:lang w:val="fr-CA"/>
        </w:rPr>
        <w:t> </w:t>
      </w:r>
      <w:r w:rsidR="00037BCE" w:rsidRPr="00973090">
        <w:rPr>
          <w:lang w:val="fr-CA"/>
        </w:rPr>
        <w:t xml:space="preserve">(11) </w:t>
      </w:r>
      <w:r w:rsidRPr="00973090">
        <w:rPr>
          <w:lang w:val="fr-CA"/>
        </w:rPr>
        <w:t>de la Loi</w:t>
      </w:r>
      <w:r w:rsidR="00037BCE" w:rsidRPr="00973090">
        <w:rPr>
          <w:lang w:val="fr-CA"/>
        </w:rPr>
        <w:t>.</w:t>
      </w:r>
      <w:r w:rsidR="00217BC3" w:rsidRPr="00973090">
        <w:rPr>
          <w:lang w:val="fr-CA"/>
        </w:rPr>
        <w:t xml:space="preserve">  </w:t>
      </w:r>
    </w:p>
    <w:p w14:paraId="6630DEF1" w14:textId="377C4480" w:rsidR="00B20798" w:rsidRPr="00973090" w:rsidRDefault="00EC0657" w:rsidP="00961A83">
      <w:pPr>
        <w:pStyle w:val="AParaNumbering"/>
        <w:rPr>
          <w:lang w:val="fr-CA"/>
        </w:rPr>
      </w:pPr>
      <w:r w:rsidRPr="00973090">
        <w:rPr>
          <w:lang w:val="fr-CA"/>
        </w:rPr>
        <w:t>A</w:t>
      </w:r>
      <w:r w:rsidR="009B73EA" w:rsidRPr="00973090">
        <w:rPr>
          <w:lang w:val="fr-CA"/>
        </w:rPr>
        <w:t xml:space="preserve">près avoir annoncé ces conclusions, le comité d’audience a entendu des </w:t>
      </w:r>
      <w:r w:rsidR="00524104">
        <w:rPr>
          <w:lang w:val="fr-CA"/>
        </w:rPr>
        <w:t>observa</w:t>
      </w:r>
      <w:r w:rsidR="009B73EA" w:rsidRPr="00973090">
        <w:rPr>
          <w:lang w:val="fr-CA"/>
        </w:rPr>
        <w:t>tions sur la question difficile de la mesure à prendre</w:t>
      </w:r>
      <w:r w:rsidR="0083786B" w:rsidRPr="00973090">
        <w:rPr>
          <w:lang w:val="fr-CA"/>
        </w:rPr>
        <w:t>.</w:t>
      </w:r>
    </w:p>
    <w:p w14:paraId="7BE59FB6" w14:textId="5AF42865" w:rsidR="00B20798" w:rsidRPr="00973090" w:rsidRDefault="009B73EA" w:rsidP="00B20798">
      <w:pPr>
        <w:pStyle w:val="AParaNumbering"/>
        <w:rPr>
          <w:lang w:val="fr-CA"/>
        </w:rPr>
      </w:pPr>
      <w:r w:rsidRPr="00973090">
        <w:rPr>
          <w:lang w:val="fr-CA"/>
        </w:rPr>
        <w:t xml:space="preserve">L’avocat chargé de la présentation a soutenu qu’il était indiqué de suspendre le juge </w:t>
      </w:r>
      <w:r w:rsidR="00B20798" w:rsidRPr="00973090">
        <w:rPr>
          <w:lang w:val="fr-CA"/>
        </w:rPr>
        <w:t xml:space="preserve">Keast, </w:t>
      </w:r>
      <w:r w:rsidRPr="00973090">
        <w:rPr>
          <w:lang w:val="fr-CA"/>
        </w:rPr>
        <w:t xml:space="preserve">sans </w:t>
      </w:r>
      <w:r w:rsidR="00534523" w:rsidRPr="00973090">
        <w:rPr>
          <w:lang w:val="fr-CA"/>
        </w:rPr>
        <w:t>rémunération</w:t>
      </w:r>
      <w:r w:rsidRPr="00973090">
        <w:rPr>
          <w:lang w:val="fr-CA"/>
        </w:rPr>
        <w:t>, pendant 15 jours</w:t>
      </w:r>
      <w:r w:rsidR="00B20798" w:rsidRPr="00973090">
        <w:rPr>
          <w:lang w:val="fr-CA"/>
        </w:rPr>
        <w:t xml:space="preserve">.  </w:t>
      </w:r>
    </w:p>
    <w:p w14:paraId="332CF2FE" w14:textId="01ED7F6C" w:rsidR="00942FB9" w:rsidRPr="00973090" w:rsidRDefault="009B73EA" w:rsidP="00B20798">
      <w:pPr>
        <w:pStyle w:val="AParaNumbering"/>
        <w:rPr>
          <w:lang w:val="fr-CA"/>
        </w:rPr>
      </w:pPr>
      <w:r w:rsidRPr="00973090">
        <w:rPr>
          <w:lang w:val="fr-CA"/>
        </w:rPr>
        <w:t xml:space="preserve">L’avocat du juge </w:t>
      </w:r>
      <w:r w:rsidR="00B20798" w:rsidRPr="00973090">
        <w:rPr>
          <w:lang w:val="fr-CA"/>
        </w:rPr>
        <w:t xml:space="preserve">Keast </w:t>
      </w:r>
      <w:r w:rsidRPr="00973090">
        <w:rPr>
          <w:lang w:val="fr-CA"/>
        </w:rPr>
        <w:t>a plaidé qu’un avertissement ou qu’une rép</w:t>
      </w:r>
      <w:r w:rsidR="00370EA8">
        <w:rPr>
          <w:lang w:val="fr-CA"/>
        </w:rPr>
        <w:t>r</w:t>
      </w:r>
      <w:r w:rsidRPr="00973090">
        <w:rPr>
          <w:lang w:val="fr-CA"/>
        </w:rPr>
        <w:t>imande serait une mesure appropriée</w:t>
      </w:r>
      <w:r w:rsidR="00B20798" w:rsidRPr="00973090">
        <w:rPr>
          <w:lang w:val="fr-CA"/>
        </w:rPr>
        <w:t xml:space="preserve">. </w:t>
      </w:r>
      <w:r w:rsidR="00EC0657" w:rsidRPr="00973090">
        <w:rPr>
          <w:lang w:val="fr-CA"/>
        </w:rPr>
        <w:t xml:space="preserve"> </w:t>
      </w:r>
    </w:p>
    <w:p w14:paraId="5E72C713" w14:textId="3664616A" w:rsidR="007D5AFF" w:rsidRPr="00973090" w:rsidRDefault="009B73EA" w:rsidP="00A30D77">
      <w:pPr>
        <w:pStyle w:val="AParaNumbering"/>
        <w:rPr>
          <w:lang w:val="fr-CA"/>
        </w:rPr>
      </w:pPr>
      <w:r w:rsidRPr="00973090">
        <w:rPr>
          <w:lang w:val="fr-CA"/>
        </w:rPr>
        <w:t>Pour les motifs qui suivent, notre comité d’audience a décidé que les sanctions suivantes constituent l</w:t>
      </w:r>
      <w:r w:rsidR="00524104">
        <w:rPr>
          <w:lang w:val="fr-CA"/>
        </w:rPr>
        <w:t>a</w:t>
      </w:r>
      <w:r w:rsidRPr="00973090">
        <w:rPr>
          <w:lang w:val="fr-CA"/>
        </w:rPr>
        <w:t xml:space="preserve"> mesure adéquate : </w:t>
      </w:r>
      <w:r w:rsidR="00524104">
        <w:rPr>
          <w:lang w:val="fr-CA"/>
        </w:rPr>
        <w:t xml:space="preserve">une réprimande, l’ordre </w:t>
      </w:r>
      <w:r w:rsidRPr="00973090">
        <w:rPr>
          <w:lang w:val="fr-CA"/>
        </w:rPr>
        <w:t xml:space="preserve">que le juge </w:t>
      </w:r>
      <w:r w:rsidR="007D5AFF" w:rsidRPr="00973090">
        <w:rPr>
          <w:lang w:val="fr-CA"/>
        </w:rPr>
        <w:t xml:space="preserve">Keast </w:t>
      </w:r>
      <w:r w:rsidRPr="00973090">
        <w:rPr>
          <w:lang w:val="fr-CA"/>
        </w:rPr>
        <w:t xml:space="preserve">présente des excuses et </w:t>
      </w:r>
      <w:r w:rsidR="00524104">
        <w:rPr>
          <w:lang w:val="fr-CA"/>
        </w:rPr>
        <w:t xml:space="preserve">la </w:t>
      </w:r>
      <w:r w:rsidRPr="00973090">
        <w:rPr>
          <w:lang w:val="fr-CA"/>
        </w:rPr>
        <w:t>suspension du juge </w:t>
      </w:r>
      <w:r w:rsidR="007D5AFF" w:rsidRPr="00973090">
        <w:rPr>
          <w:lang w:val="fr-CA"/>
        </w:rPr>
        <w:t>Keast</w:t>
      </w:r>
      <w:r w:rsidR="00FC3982" w:rsidRPr="00973090">
        <w:rPr>
          <w:lang w:val="fr-CA"/>
        </w:rPr>
        <w:t xml:space="preserve">, </w:t>
      </w:r>
      <w:r w:rsidRPr="00973090">
        <w:rPr>
          <w:lang w:val="fr-CA"/>
        </w:rPr>
        <w:t xml:space="preserve">sans </w:t>
      </w:r>
      <w:r w:rsidR="00534523" w:rsidRPr="00973090">
        <w:rPr>
          <w:lang w:val="fr-CA"/>
        </w:rPr>
        <w:t>rémunération</w:t>
      </w:r>
      <w:r w:rsidRPr="00973090">
        <w:rPr>
          <w:lang w:val="fr-CA"/>
        </w:rPr>
        <w:t>, pendant 30 jours</w:t>
      </w:r>
      <w:r w:rsidR="007D5AFF" w:rsidRPr="00973090">
        <w:rPr>
          <w:lang w:val="fr-CA"/>
        </w:rPr>
        <w:t>.</w:t>
      </w:r>
    </w:p>
    <w:p w14:paraId="744C04B5" w14:textId="7E3D100C" w:rsidR="005F033E" w:rsidRPr="00973090" w:rsidRDefault="009B73EA" w:rsidP="005F033E">
      <w:pPr>
        <w:pStyle w:val="AParaNumbering"/>
        <w:numPr>
          <w:ilvl w:val="0"/>
          <w:numId w:val="0"/>
        </w:numPr>
        <w:rPr>
          <w:b/>
          <w:lang w:val="fr-CA"/>
        </w:rPr>
      </w:pPr>
      <w:r w:rsidRPr="00973090">
        <w:rPr>
          <w:b/>
          <w:lang w:val="fr-CA"/>
        </w:rPr>
        <w:t>CONTEXTE</w:t>
      </w:r>
      <w:r w:rsidR="000251ED" w:rsidRPr="00973090">
        <w:rPr>
          <w:b/>
          <w:lang w:val="fr-CA"/>
        </w:rPr>
        <w:t xml:space="preserve"> </w:t>
      </w:r>
    </w:p>
    <w:p w14:paraId="235D87AC" w14:textId="6CE73A6B" w:rsidR="000A603D" w:rsidRPr="00973090" w:rsidRDefault="006A15FA" w:rsidP="00A30D77">
      <w:pPr>
        <w:pStyle w:val="AParaNumbering"/>
        <w:rPr>
          <w:lang w:val="fr-CA"/>
        </w:rPr>
      </w:pPr>
      <w:r w:rsidRPr="00973090">
        <w:rPr>
          <w:lang w:val="fr-CA"/>
        </w:rPr>
        <w:t xml:space="preserve">Avant le dépôt de l’Avis d’audience dans cette affaire, le juge </w:t>
      </w:r>
      <w:r w:rsidR="00853335" w:rsidRPr="00973090">
        <w:rPr>
          <w:lang w:val="fr-CA"/>
        </w:rPr>
        <w:t xml:space="preserve">Keast </w:t>
      </w:r>
      <w:r w:rsidRPr="00973090">
        <w:rPr>
          <w:lang w:val="fr-CA"/>
        </w:rPr>
        <w:t>a déposé une motion dans laquelle il demandait, entre autres, que l’audience soit tenue à huis clos, pour la maintenir confidentielle et pour maintenir confidentiels son nom, les détails de la</w:t>
      </w:r>
      <w:r w:rsidR="00524104">
        <w:rPr>
          <w:lang w:val="fr-CA"/>
        </w:rPr>
        <w:t xml:space="preserve"> </w:t>
      </w:r>
      <w:r w:rsidRPr="00973090">
        <w:rPr>
          <w:lang w:val="fr-CA"/>
        </w:rPr>
        <w:t>plainte et tous les documents connexes</w:t>
      </w:r>
      <w:r w:rsidR="00EE736E" w:rsidRPr="00973090">
        <w:rPr>
          <w:lang w:val="fr-CA"/>
        </w:rPr>
        <w:t>.</w:t>
      </w:r>
      <w:r w:rsidRPr="00973090">
        <w:rPr>
          <w:lang w:val="fr-CA"/>
        </w:rPr>
        <w:t xml:space="preserve"> </w:t>
      </w:r>
      <w:r w:rsidR="00AB45BB" w:rsidRPr="00973090">
        <w:rPr>
          <w:lang w:val="fr-CA"/>
        </w:rPr>
        <w:t xml:space="preserve">Il a fait valoir que ces mesures devaient être prises pour éviter </w:t>
      </w:r>
      <w:r w:rsidR="00524104">
        <w:rPr>
          <w:lang w:val="fr-CA"/>
        </w:rPr>
        <w:t xml:space="preserve">de porter atteinte au droit </w:t>
      </w:r>
      <w:r w:rsidR="00AB45BB" w:rsidRPr="00973090">
        <w:rPr>
          <w:lang w:val="fr-CA"/>
        </w:rPr>
        <w:t xml:space="preserve">à la vie privée protégé par le paragraphe </w:t>
      </w:r>
      <w:r w:rsidR="000C54F3" w:rsidRPr="00973090">
        <w:rPr>
          <w:lang w:val="fr-CA"/>
        </w:rPr>
        <w:t>45</w:t>
      </w:r>
      <w:r w:rsidR="00AB45BB" w:rsidRPr="00973090">
        <w:rPr>
          <w:lang w:val="fr-CA"/>
        </w:rPr>
        <w:t xml:space="preserve"> </w:t>
      </w:r>
      <w:r w:rsidR="000C54F3" w:rsidRPr="00973090">
        <w:rPr>
          <w:lang w:val="fr-CA"/>
        </w:rPr>
        <w:t xml:space="preserve">(8) </w:t>
      </w:r>
      <w:r w:rsidR="00AB45BB" w:rsidRPr="00973090">
        <w:rPr>
          <w:lang w:val="fr-CA"/>
        </w:rPr>
        <w:t xml:space="preserve">de la </w:t>
      </w:r>
      <w:r w:rsidR="00AB45BB" w:rsidRPr="00973090">
        <w:rPr>
          <w:i/>
          <w:lang w:val="fr-CA"/>
        </w:rPr>
        <w:t>Loi sur les services à l’enfance et à la famille</w:t>
      </w:r>
      <w:r w:rsidR="00AB45BB" w:rsidRPr="00973090">
        <w:rPr>
          <w:lang w:val="fr-CA"/>
        </w:rPr>
        <w:t xml:space="preserve">, L.R.O. </w:t>
      </w:r>
      <w:r w:rsidR="000A603D" w:rsidRPr="00973090">
        <w:rPr>
          <w:lang w:val="fr-CA"/>
        </w:rPr>
        <w:t>1990, c</w:t>
      </w:r>
      <w:r w:rsidR="00AB45BB" w:rsidRPr="00973090">
        <w:rPr>
          <w:lang w:val="fr-CA"/>
        </w:rPr>
        <w:t>hap</w:t>
      </w:r>
      <w:r w:rsidR="000A603D" w:rsidRPr="00973090">
        <w:rPr>
          <w:lang w:val="fr-CA"/>
        </w:rPr>
        <w:t>. 11.</w:t>
      </w:r>
    </w:p>
    <w:p w14:paraId="562A84F6" w14:textId="3B0A1014" w:rsidR="000A603D" w:rsidRPr="00973090" w:rsidRDefault="00AB45BB" w:rsidP="00A30D77">
      <w:pPr>
        <w:pStyle w:val="AParaNumbering"/>
        <w:rPr>
          <w:lang w:val="fr-CA"/>
        </w:rPr>
      </w:pPr>
      <w:r w:rsidRPr="00973090">
        <w:rPr>
          <w:lang w:val="fr-CA"/>
        </w:rPr>
        <w:t>L’avocat chargé de la présentation s’est opposé à la tenue de l’audience à huis clos et à ce que tous les aspects de l’instance soient maintenus confidentiels</w:t>
      </w:r>
      <w:r w:rsidR="00856956" w:rsidRPr="00973090">
        <w:rPr>
          <w:lang w:val="fr-CA"/>
        </w:rPr>
        <w:t xml:space="preserve">.  </w:t>
      </w:r>
      <w:r w:rsidRPr="00973090">
        <w:rPr>
          <w:lang w:val="fr-CA"/>
        </w:rPr>
        <w:t>Cependant, l’avocat chargé de la présentation a conven</w:t>
      </w:r>
      <w:r w:rsidR="00524104">
        <w:rPr>
          <w:lang w:val="fr-CA"/>
        </w:rPr>
        <w:t>u</w:t>
      </w:r>
      <w:r w:rsidRPr="00973090">
        <w:rPr>
          <w:lang w:val="fr-CA"/>
        </w:rPr>
        <w:t xml:space="preserve"> que des mesures devraient être prises pour protéger ceux </w:t>
      </w:r>
      <w:r w:rsidR="00524104">
        <w:rPr>
          <w:lang w:val="fr-CA"/>
        </w:rPr>
        <w:t xml:space="preserve">dont le </w:t>
      </w:r>
      <w:r w:rsidR="00FC7508" w:rsidRPr="00973090">
        <w:rPr>
          <w:lang w:val="fr-CA"/>
        </w:rPr>
        <w:t>droit à la protection de leur vie privée</w:t>
      </w:r>
      <w:r w:rsidR="00524104">
        <w:rPr>
          <w:lang w:val="fr-CA"/>
        </w:rPr>
        <w:t xml:space="preserve"> était compromis</w:t>
      </w:r>
      <w:r w:rsidR="000A603D" w:rsidRPr="00973090">
        <w:rPr>
          <w:lang w:val="fr-CA"/>
        </w:rPr>
        <w:t xml:space="preserve">.  </w:t>
      </w:r>
    </w:p>
    <w:p w14:paraId="383BA30A" w14:textId="6369B15D" w:rsidR="00EE736E" w:rsidRPr="00973090" w:rsidRDefault="00FC7508" w:rsidP="00A30D77">
      <w:pPr>
        <w:pStyle w:val="AParaNumbering"/>
        <w:rPr>
          <w:lang w:val="fr-CA"/>
        </w:rPr>
      </w:pPr>
      <w:r w:rsidRPr="00973090">
        <w:rPr>
          <w:lang w:val="fr-CA"/>
        </w:rPr>
        <w:t>Le comité d’audience a reconnu la solide présomption en faveur de la publicité des débats et de l’accès du public à l’audience sur la plainte</w:t>
      </w:r>
      <w:r w:rsidR="001F1ED9" w:rsidRPr="00973090">
        <w:rPr>
          <w:lang w:val="fr-CA"/>
        </w:rPr>
        <w:t>.</w:t>
      </w:r>
      <w:r w:rsidR="00D62C4E" w:rsidRPr="00973090">
        <w:rPr>
          <w:lang w:val="fr-CA"/>
        </w:rPr>
        <w:t xml:space="preserve">  </w:t>
      </w:r>
      <w:r w:rsidRPr="00973090">
        <w:rPr>
          <w:lang w:val="fr-CA"/>
        </w:rPr>
        <w:t>Toutefois, nous avons reconnu que l’instance mettait en jeu le</w:t>
      </w:r>
      <w:r w:rsidR="00170060">
        <w:rPr>
          <w:lang w:val="fr-CA"/>
        </w:rPr>
        <w:t xml:space="preserve"> droit</w:t>
      </w:r>
      <w:r w:rsidRPr="00973090">
        <w:rPr>
          <w:lang w:val="fr-CA"/>
        </w:rPr>
        <w:t xml:space="preserve"> à la protection de la vie privée d’un enfant ou de plusieurs enfants mêlés à des affaires de protection de l’enfance et qu’il fallait protéger</w:t>
      </w:r>
      <w:r w:rsidR="00170060">
        <w:rPr>
          <w:lang w:val="fr-CA"/>
        </w:rPr>
        <w:t xml:space="preserve"> ce droit</w:t>
      </w:r>
      <w:r w:rsidR="00B92146" w:rsidRPr="00973090">
        <w:rPr>
          <w:lang w:val="fr-CA"/>
        </w:rPr>
        <w:t xml:space="preserve">.  </w:t>
      </w:r>
    </w:p>
    <w:p w14:paraId="62EA9005" w14:textId="60920BCF" w:rsidR="00455B76" w:rsidRPr="00973090" w:rsidRDefault="0045200A" w:rsidP="00455B76">
      <w:pPr>
        <w:pStyle w:val="AParaNumbering"/>
        <w:rPr>
          <w:lang w:val="fr-CA"/>
        </w:rPr>
      </w:pPr>
      <w:r w:rsidRPr="00973090">
        <w:rPr>
          <w:lang w:val="fr-CA"/>
        </w:rPr>
        <w:t xml:space="preserve">Nous avons conclu que le principe de la publicité des débats exigeait que l’audience soit conduite en public et que le nom du juge </w:t>
      </w:r>
      <w:r w:rsidR="001F1ED9" w:rsidRPr="00973090">
        <w:rPr>
          <w:lang w:val="fr-CA"/>
        </w:rPr>
        <w:t>Keast</w:t>
      </w:r>
      <w:r w:rsidRPr="00973090">
        <w:rPr>
          <w:lang w:val="fr-CA"/>
        </w:rPr>
        <w:t xml:space="preserve"> et la nature de l’inconduite présumée soient rendus publics. Cependant, nous avons pris des mesures en vue de protéger le</w:t>
      </w:r>
      <w:r w:rsidR="00170060">
        <w:rPr>
          <w:lang w:val="fr-CA"/>
        </w:rPr>
        <w:t xml:space="preserve"> droit</w:t>
      </w:r>
      <w:r w:rsidRPr="00973090">
        <w:rPr>
          <w:lang w:val="fr-CA"/>
        </w:rPr>
        <w:t xml:space="preserve"> à la vie privée en question. Entre autres, nous avons ordonné que les détails de la plainte, contenus à l’Annexe A de l’Avis d’audience, soient expurgés de façon à supprimer tout renseignement susceptible d’identifier un enfant ou des enfants mêlés à une affaire de protection de l’enfance</w:t>
      </w:r>
      <w:r w:rsidR="00EC04B8" w:rsidRPr="00973090">
        <w:rPr>
          <w:lang w:val="fr-CA"/>
        </w:rPr>
        <w:t>.</w:t>
      </w:r>
    </w:p>
    <w:p w14:paraId="5BA40467" w14:textId="004C4223" w:rsidR="005A6F6E" w:rsidRPr="00973090" w:rsidRDefault="0045200A" w:rsidP="00A30D77">
      <w:pPr>
        <w:pStyle w:val="AParaNumbering"/>
        <w:rPr>
          <w:lang w:val="fr-CA"/>
        </w:rPr>
      </w:pPr>
      <w:r w:rsidRPr="00973090">
        <w:rPr>
          <w:lang w:val="fr-CA"/>
        </w:rPr>
        <w:t xml:space="preserve"> Nous avons également accordé une mesure provisoire en ce qui concerne les </w:t>
      </w:r>
      <w:r w:rsidR="00170060">
        <w:rPr>
          <w:lang w:val="fr-CA"/>
        </w:rPr>
        <w:t>aspects confidentiels de la</w:t>
      </w:r>
      <w:r w:rsidRPr="00973090">
        <w:rPr>
          <w:lang w:val="fr-CA"/>
        </w:rPr>
        <w:t xml:space="preserve"> motion. Nous avons ordonné que tous les </w:t>
      </w:r>
      <w:r w:rsidR="00CB0947" w:rsidRPr="00973090">
        <w:rPr>
          <w:lang w:val="fr-CA"/>
        </w:rPr>
        <w:t>documents déposés dans le cadre de l’instance, jusqu’au dépôt de l’Avis de motion, y compris les documents accompagnant la motion et ceux qui ont été produits à l’audition orale de la motion</w:t>
      </w:r>
      <w:r w:rsidR="0040789B" w:rsidRPr="00973090">
        <w:rPr>
          <w:lang w:val="fr-CA"/>
        </w:rPr>
        <w:t xml:space="preserve"> (</w:t>
      </w:r>
      <w:r w:rsidR="00CB0947" w:rsidRPr="00973090">
        <w:rPr>
          <w:lang w:val="fr-CA"/>
        </w:rPr>
        <w:t>les « documents »)</w:t>
      </w:r>
      <w:r w:rsidR="00170060">
        <w:rPr>
          <w:lang w:val="fr-CA"/>
        </w:rPr>
        <w:t>,</w:t>
      </w:r>
      <w:r w:rsidR="00CB0947" w:rsidRPr="00973090">
        <w:rPr>
          <w:lang w:val="fr-CA"/>
        </w:rPr>
        <w:t xml:space="preserve"> soient traités par les parties comme des documents confidentiels à toutes fins</w:t>
      </w:r>
      <w:r w:rsidR="0040789B" w:rsidRPr="00973090">
        <w:rPr>
          <w:lang w:val="fr-CA"/>
        </w:rPr>
        <w:t xml:space="preserve">. </w:t>
      </w:r>
      <w:r w:rsidR="00CB0947" w:rsidRPr="00973090">
        <w:rPr>
          <w:lang w:val="fr-CA"/>
        </w:rPr>
        <w:t>En outre, nous avons ordonné que les documents soient scellés et ne fassent pas partie du dossier public</w:t>
      </w:r>
      <w:r w:rsidR="0040789B" w:rsidRPr="00973090">
        <w:rPr>
          <w:lang w:val="fr-CA"/>
        </w:rPr>
        <w:t>.</w:t>
      </w:r>
    </w:p>
    <w:p w14:paraId="3E49D589" w14:textId="5C9EB5AC" w:rsidR="0040789B" w:rsidRPr="00973090" w:rsidRDefault="009F1597" w:rsidP="00A30D77">
      <w:pPr>
        <w:pStyle w:val="AParaNumbering"/>
        <w:rPr>
          <w:lang w:val="fr-CA"/>
        </w:rPr>
      </w:pPr>
      <w:r w:rsidRPr="00973090">
        <w:rPr>
          <w:lang w:val="fr-CA"/>
        </w:rPr>
        <w:t xml:space="preserve">Le juge </w:t>
      </w:r>
      <w:r w:rsidR="0040789B" w:rsidRPr="00973090">
        <w:rPr>
          <w:lang w:val="fr-CA"/>
        </w:rPr>
        <w:t xml:space="preserve">Keast </w:t>
      </w:r>
      <w:r w:rsidRPr="00973090">
        <w:rPr>
          <w:lang w:val="fr-CA"/>
        </w:rPr>
        <w:t>a été informé que s’il désirait poursuivre sa demande de tenue de l’audience à huis clos, il devait déposer une motion avec préavis aux médias</w:t>
      </w:r>
      <w:r w:rsidR="0040789B" w:rsidRPr="00973090">
        <w:rPr>
          <w:lang w:val="fr-CA"/>
        </w:rPr>
        <w:t>.</w:t>
      </w:r>
      <w:r w:rsidR="00FC3403" w:rsidRPr="00973090">
        <w:rPr>
          <w:lang w:val="fr-CA"/>
        </w:rPr>
        <w:t xml:space="preserve">  </w:t>
      </w:r>
      <w:r w:rsidRPr="00973090">
        <w:rPr>
          <w:lang w:val="fr-CA"/>
        </w:rPr>
        <w:t xml:space="preserve">Il a poursuivi sa motion, en donnant un </w:t>
      </w:r>
      <w:r w:rsidR="000B572B">
        <w:rPr>
          <w:lang w:val="fr-CA"/>
        </w:rPr>
        <w:t>pré</w:t>
      </w:r>
      <w:r w:rsidRPr="00973090">
        <w:rPr>
          <w:lang w:val="fr-CA"/>
        </w:rPr>
        <w:t>avis aux médias. L’avis de la motion a également été affiché sur le site Web du Conseil</w:t>
      </w:r>
      <w:r w:rsidR="00FC3403" w:rsidRPr="00973090">
        <w:rPr>
          <w:lang w:val="fr-CA"/>
        </w:rPr>
        <w:t>.</w:t>
      </w:r>
      <w:r w:rsidR="0040789B" w:rsidRPr="00973090">
        <w:rPr>
          <w:lang w:val="fr-CA"/>
        </w:rPr>
        <w:t xml:space="preserve"> </w:t>
      </w:r>
    </w:p>
    <w:p w14:paraId="3191B4BF" w14:textId="1EC01E00" w:rsidR="00102157" w:rsidRPr="00973090" w:rsidRDefault="009F1597" w:rsidP="00A30D77">
      <w:pPr>
        <w:pStyle w:val="AParaNumbering"/>
        <w:rPr>
          <w:lang w:val="fr-CA"/>
        </w:rPr>
      </w:pPr>
      <w:r w:rsidRPr="00973090">
        <w:rPr>
          <w:lang w:val="fr-CA"/>
        </w:rPr>
        <w:t>Plus tard, sur consentement des parties, y compris le seul intervenant, un</w:t>
      </w:r>
      <w:r w:rsidR="00341F55" w:rsidRPr="00973090">
        <w:rPr>
          <w:lang w:val="fr-CA"/>
        </w:rPr>
        <w:t>e</w:t>
      </w:r>
      <w:r w:rsidRPr="00973090">
        <w:rPr>
          <w:lang w:val="fr-CA"/>
        </w:rPr>
        <w:t xml:space="preserve"> </w:t>
      </w:r>
      <w:r w:rsidR="00341F55" w:rsidRPr="00973090">
        <w:rPr>
          <w:lang w:val="fr-CA"/>
        </w:rPr>
        <w:t xml:space="preserve">société de </w:t>
      </w:r>
      <w:r w:rsidRPr="00973090">
        <w:rPr>
          <w:lang w:val="fr-CA"/>
        </w:rPr>
        <w:t>média</w:t>
      </w:r>
      <w:r w:rsidR="00341F55" w:rsidRPr="00973090">
        <w:rPr>
          <w:lang w:val="fr-CA"/>
        </w:rPr>
        <w:t>s</w:t>
      </w:r>
      <w:r w:rsidRPr="00973090">
        <w:rPr>
          <w:lang w:val="fr-CA"/>
        </w:rPr>
        <w:t xml:space="preserve">, la Société Radio-Canada </w:t>
      </w:r>
      <w:r w:rsidR="00FC3403" w:rsidRPr="00973090">
        <w:rPr>
          <w:lang w:val="fr-CA"/>
        </w:rPr>
        <w:t>(</w:t>
      </w:r>
      <w:r w:rsidR="00341F55" w:rsidRPr="00973090">
        <w:rPr>
          <w:lang w:val="fr-CA"/>
        </w:rPr>
        <w:t>la « SRC »), le comité d’audience a ordonné une interdiction de publication (l’« interdiction de publication »)</w:t>
      </w:r>
      <w:r w:rsidR="0005255E" w:rsidRPr="00973090">
        <w:rPr>
          <w:lang w:val="fr-CA"/>
        </w:rPr>
        <w:t>.</w:t>
      </w:r>
      <w:r w:rsidR="00D62C4E" w:rsidRPr="00973090">
        <w:rPr>
          <w:lang w:val="fr-CA"/>
        </w:rPr>
        <w:t xml:space="preserve"> </w:t>
      </w:r>
      <w:r w:rsidR="00341F55" w:rsidRPr="00973090">
        <w:rPr>
          <w:lang w:val="fr-CA"/>
        </w:rPr>
        <w:t>L’interdiction de publication visait à protéger le</w:t>
      </w:r>
      <w:r w:rsidR="000B572B">
        <w:rPr>
          <w:lang w:val="fr-CA"/>
        </w:rPr>
        <w:t>s droits</w:t>
      </w:r>
      <w:r w:rsidR="00341F55" w:rsidRPr="00973090">
        <w:rPr>
          <w:lang w:val="fr-CA"/>
        </w:rPr>
        <w:t xml:space="preserve"> à la protection de la vie privée </w:t>
      </w:r>
      <w:r w:rsidR="000B572B">
        <w:rPr>
          <w:lang w:val="fr-CA"/>
        </w:rPr>
        <w:t>engagés par</w:t>
      </w:r>
      <w:r w:rsidR="00341F55" w:rsidRPr="00973090">
        <w:rPr>
          <w:lang w:val="fr-CA"/>
        </w:rPr>
        <w:t xml:space="preserve"> l’instance</w:t>
      </w:r>
      <w:r w:rsidR="00102157" w:rsidRPr="00973090">
        <w:rPr>
          <w:lang w:val="fr-CA"/>
        </w:rPr>
        <w:t xml:space="preserve">.  </w:t>
      </w:r>
    </w:p>
    <w:p w14:paraId="3DCFE445" w14:textId="648E3AE0" w:rsidR="009C5601" w:rsidRPr="00973090" w:rsidRDefault="00341F55" w:rsidP="00A30D77">
      <w:pPr>
        <w:pStyle w:val="AParaNumbering"/>
        <w:rPr>
          <w:lang w:val="fr-CA"/>
        </w:rPr>
      </w:pPr>
      <w:r w:rsidRPr="00973090">
        <w:rPr>
          <w:lang w:val="fr-CA"/>
        </w:rPr>
        <w:t xml:space="preserve">L’interdiction de publication prévoit ce qui suit </w:t>
      </w:r>
      <w:r w:rsidR="009C5601" w:rsidRPr="00973090">
        <w:rPr>
          <w:lang w:val="fr-CA"/>
        </w:rPr>
        <w:t>:</w:t>
      </w:r>
    </w:p>
    <w:p w14:paraId="6B74FF95" w14:textId="5BAE0576" w:rsidR="00905ED0" w:rsidRPr="00973090" w:rsidRDefault="00EB6F5C" w:rsidP="003D423A">
      <w:pPr>
        <w:pStyle w:val="CQuote"/>
        <w:rPr>
          <w:lang w:val="fr-CA"/>
        </w:rPr>
      </w:pPr>
      <w:r w:rsidRPr="00973090">
        <w:rPr>
          <w:lang w:val="fr-CA"/>
        </w:rPr>
        <w:t>Il est interdit de publier tout renseignement qui identifie ou tend à identifier l’enfant ou les enfants ou tout membre de la famille mêlés à une affaire de protection de l’enfance</w:t>
      </w:r>
      <w:r w:rsidR="00985FEC" w:rsidRPr="00973090">
        <w:rPr>
          <w:lang w:val="fr-CA"/>
        </w:rPr>
        <w:t>.</w:t>
      </w:r>
      <w:r w:rsidR="00905ED0" w:rsidRPr="00973090">
        <w:rPr>
          <w:lang w:val="fr-CA"/>
        </w:rPr>
        <w:t xml:space="preserve"> </w:t>
      </w:r>
    </w:p>
    <w:p w14:paraId="027DF324" w14:textId="74074565" w:rsidR="00784072" w:rsidRPr="00973090" w:rsidRDefault="00EB6F5C" w:rsidP="00D92654">
      <w:pPr>
        <w:pStyle w:val="AParaNumbering"/>
        <w:rPr>
          <w:lang w:val="fr-CA"/>
        </w:rPr>
      </w:pPr>
      <w:r w:rsidRPr="00973090">
        <w:rPr>
          <w:lang w:val="fr-CA"/>
        </w:rPr>
        <w:t xml:space="preserve">Plus tard, </w:t>
      </w:r>
      <w:r w:rsidR="009326AB">
        <w:rPr>
          <w:lang w:val="fr-CA"/>
        </w:rPr>
        <w:t xml:space="preserve">dans le cadre de l’instance, </w:t>
      </w:r>
      <w:r w:rsidRPr="00973090">
        <w:rPr>
          <w:lang w:val="fr-CA"/>
        </w:rPr>
        <w:t xml:space="preserve">le juge </w:t>
      </w:r>
      <w:r w:rsidR="00784072" w:rsidRPr="00973090">
        <w:rPr>
          <w:lang w:val="fr-CA"/>
        </w:rPr>
        <w:t xml:space="preserve">Keast </w:t>
      </w:r>
      <w:r w:rsidRPr="00973090">
        <w:rPr>
          <w:lang w:val="fr-CA"/>
        </w:rPr>
        <w:t>a déposé une motion en vue d’obtenir que l’ordonnance provisoire de mise sous scellés demeure en vigueur et que tous les documents déposés après cette ordonnance soient mis sous scellés et ne fassent pas partie du dossier public. La SRC s’</w:t>
      </w:r>
      <w:r w:rsidR="009326AB">
        <w:rPr>
          <w:lang w:val="fr-CA"/>
        </w:rPr>
        <w:t xml:space="preserve">y </w:t>
      </w:r>
      <w:r w:rsidRPr="00973090">
        <w:rPr>
          <w:lang w:val="fr-CA"/>
        </w:rPr>
        <w:t>est opposée</w:t>
      </w:r>
      <w:r w:rsidR="00BE6694" w:rsidRPr="00973090">
        <w:rPr>
          <w:lang w:val="fr-CA"/>
        </w:rPr>
        <w:t>.</w:t>
      </w:r>
      <w:r w:rsidR="00A76D71" w:rsidRPr="00973090">
        <w:rPr>
          <w:lang w:val="fr-CA"/>
        </w:rPr>
        <w:t xml:space="preserve"> </w:t>
      </w:r>
    </w:p>
    <w:p w14:paraId="34E550DE" w14:textId="4741876F" w:rsidR="00784072" w:rsidRPr="00973090" w:rsidRDefault="00AA7E17" w:rsidP="00D92654">
      <w:pPr>
        <w:pStyle w:val="AParaNumbering"/>
        <w:rPr>
          <w:lang w:val="fr-CA"/>
        </w:rPr>
      </w:pPr>
      <w:r w:rsidRPr="00973090">
        <w:rPr>
          <w:lang w:val="fr-CA"/>
        </w:rPr>
        <w:t xml:space="preserve">Le comité d’audience a rejeté la motion, en relevant à nouveau la forte présomption en faveur de la publicité des débats et de l’accès du public à une audience sur une plainte pour inconduite judiciaire. Par ailleurs, nous avons estimé que des preuves claires et convaincantes n’avaient pas été produites </w:t>
      </w:r>
      <w:r w:rsidR="009326AB">
        <w:rPr>
          <w:lang w:val="fr-CA"/>
        </w:rPr>
        <w:t>pour</w:t>
      </w:r>
      <w:r w:rsidRPr="00973090">
        <w:rPr>
          <w:lang w:val="fr-CA"/>
        </w:rPr>
        <w:t xml:space="preserve"> démontrer la nécessité d’imposer des restrictions en plus de l’interdiction de publication. </w:t>
      </w:r>
      <w:r w:rsidR="009326AB">
        <w:rPr>
          <w:lang w:val="fr-CA"/>
        </w:rPr>
        <w:t>Par</w:t>
      </w:r>
      <w:r w:rsidRPr="00973090">
        <w:rPr>
          <w:lang w:val="fr-CA"/>
        </w:rPr>
        <w:t xml:space="preserve"> conséquen</w:t>
      </w:r>
      <w:r w:rsidR="009326AB">
        <w:rPr>
          <w:lang w:val="fr-CA"/>
        </w:rPr>
        <w:t>t</w:t>
      </w:r>
      <w:r w:rsidRPr="00973090">
        <w:rPr>
          <w:lang w:val="fr-CA"/>
        </w:rPr>
        <w:t>, nous avons rendu une ordonnance levant la mise sous scellés</w:t>
      </w:r>
      <w:r w:rsidR="00A76D71" w:rsidRPr="00973090">
        <w:rPr>
          <w:lang w:val="fr-CA"/>
        </w:rPr>
        <w:t xml:space="preserve">. </w:t>
      </w:r>
    </w:p>
    <w:p w14:paraId="5C5C359B" w14:textId="0F3DF647" w:rsidR="00D92654" w:rsidRPr="00973090" w:rsidRDefault="00AA7E17" w:rsidP="00D92654">
      <w:pPr>
        <w:pStyle w:val="AParaNumbering"/>
        <w:rPr>
          <w:lang w:val="fr-CA"/>
        </w:rPr>
      </w:pPr>
      <w:r w:rsidRPr="00973090">
        <w:rPr>
          <w:lang w:val="fr-CA"/>
        </w:rPr>
        <w:t>L’interdiction de publication demeure en vigueur</w:t>
      </w:r>
      <w:r w:rsidR="00985FEC" w:rsidRPr="00973090">
        <w:rPr>
          <w:lang w:val="fr-CA"/>
        </w:rPr>
        <w:t>.</w:t>
      </w:r>
      <w:r w:rsidR="001E4A5F" w:rsidRPr="00973090">
        <w:rPr>
          <w:lang w:val="fr-CA"/>
        </w:rPr>
        <w:t xml:space="preserve"> </w:t>
      </w:r>
      <w:r w:rsidRPr="00973090">
        <w:rPr>
          <w:lang w:val="fr-CA"/>
        </w:rPr>
        <w:t>Elle vise à protéger l</w:t>
      </w:r>
      <w:r w:rsidR="009326AB">
        <w:rPr>
          <w:lang w:val="fr-CA"/>
        </w:rPr>
        <w:t>es droits de</w:t>
      </w:r>
      <w:r w:rsidRPr="00973090">
        <w:rPr>
          <w:lang w:val="fr-CA"/>
        </w:rPr>
        <w:t xml:space="preserve"> personnes vulnérables à la protection de leur vie privée. À la lumière de cette interdiction, la description suivante des faits qui ont conduit à la plainte a </w:t>
      </w:r>
      <w:r w:rsidR="0085733C" w:rsidRPr="00973090">
        <w:rPr>
          <w:lang w:val="fr-CA"/>
        </w:rPr>
        <w:t xml:space="preserve">dû être considérablement </w:t>
      </w:r>
      <w:r w:rsidR="009326AB">
        <w:rPr>
          <w:lang w:val="fr-CA"/>
        </w:rPr>
        <w:t>restreinte</w:t>
      </w:r>
      <w:r w:rsidR="00D92654" w:rsidRPr="00973090">
        <w:rPr>
          <w:lang w:val="fr-CA"/>
        </w:rPr>
        <w:t xml:space="preserve">.  </w:t>
      </w:r>
    </w:p>
    <w:p w14:paraId="58816DCC" w14:textId="6868D4C9" w:rsidR="009874D2" w:rsidRPr="00973090" w:rsidRDefault="00EA7DC7" w:rsidP="0037064B">
      <w:pPr>
        <w:pStyle w:val="AParaNumbering"/>
        <w:rPr>
          <w:lang w:val="fr-CA"/>
        </w:rPr>
      </w:pPr>
      <w:r w:rsidRPr="00973090">
        <w:rPr>
          <w:lang w:val="fr-CA"/>
        </w:rPr>
        <w:t xml:space="preserve">Au début janvier </w:t>
      </w:r>
      <w:r w:rsidR="00BC7B3D" w:rsidRPr="00973090">
        <w:rPr>
          <w:lang w:val="fr-CA"/>
        </w:rPr>
        <w:t xml:space="preserve">2016, </w:t>
      </w:r>
      <w:r w:rsidRPr="00973090">
        <w:rPr>
          <w:lang w:val="fr-CA"/>
        </w:rPr>
        <w:t xml:space="preserve">le juge </w:t>
      </w:r>
      <w:r w:rsidR="00BC7B3D" w:rsidRPr="00973090">
        <w:rPr>
          <w:lang w:val="fr-CA"/>
        </w:rPr>
        <w:t xml:space="preserve">Keast </w:t>
      </w:r>
      <w:r w:rsidRPr="00973090">
        <w:rPr>
          <w:lang w:val="fr-CA"/>
        </w:rPr>
        <w:t>a appris qu’un</w:t>
      </w:r>
      <w:r w:rsidR="009326AB">
        <w:rPr>
          <w:lang w:val="fr-CA"/>
        </w:rPr>
        <w:t xml:space="preserve"> jeune </w:t>
      </w:r>
      <w:r w:rsidRPr="00973090">
        <w:rPr>
          <w:lang w:val="fr-CA"/>
        </w:rPr>
        <w:t xml:space="preserve">qu’il connaissait était en danger immédiat. Il s’était déjà trouvé dans des situations semblables à trois reprises </w:t>
      </w:r>
      <w:r w:rsidR="00276933" w:rsidRPr="00973090">
        <w:rPr>
          <w:lang w:val="fr-CA"/>
        </w:rPr>
        <w:t>(</w:t>
      </w:r>
      <w:r w:rsidRPr="00973090">
        <w:rPr>
          <w:lang w:val="fr-CA"/>
        </w:rPr>
        <w:t>les « situations antérieures »</w:t>
      </w:r>
      <w:r w:rsidR="00276933" w:rsidRPr="00973090">
        <w:rPr>
          <w:lang w:val="fr-CA"/>
        </w:rPr>
        <w:t>)</w:t>
      </w:r>
      <w:r w:rsidR="009874D2" w:rsidRPr="00973090">
        <w:rPr>
          <w:lang w:val="fr-CA"/>
        </w:rPr>
        <w:t xml:space="preserve">. </w:t>
      </w:r>
      <w:r w:rsidRPr="00973090">
        <w:rPr>
          <w:lang w:val="fr-CA"/>
        </w:rPr>
        <w:t xml:space="preserve">Comme chaque fois, le juge </w:t>
      </w:r>
      <w:r w:rsidR="009874D2" w:rsidRPr="00973090">
        <w:rPr>
          <w:lang w:val="fr-CA"/>
        </w:rPr>
        <w:t xml:space="preserve">Keast </w:t>
      </w:r>
      <w:r w:rsidRPr="00973090">
        <w:rPr>
          <w:lang w:val="fr-CA"/>
        </w:rPr>
        <w:t xml:space="preserve">a demandé l’aide </w:t>
      </w:r>
      <w:r w:rsidR="009326AB">
        <w:rPr>
          <w:lang w:val="fr-CA"/>
        </w:rPr>
        <w:t xml:space="preserve">et le conseil </w:t>
      </w:r>
      <w:r w:rsidRPr="00973090">
        <w:rPr>
          <w:lang w:val="fr-CA"/>
        </w:rPr>
        <w:t xml:space="preserve">d’un ami de longue date qui avait de l’expérience et </w:t>
      </w:r>
      <w:r w:rsidR="009326AB">
        <w:rPr>
          <w:lang w:val="fr-CA"/>
        </w:rPr>
        <w:t xml:space="preserve">avait suivi </w:t>
      </w:r>
      <w:r w:rsidRPr="00973090">
        <w:rPr>
          <w:lang w:val="fr-CA"/>
        </w:rPr>
        <w:t>une formation à l’égard de ce genre de situation. Le juge Keast a envoyé un texto à son ami, qui travaillait pour la SAE</w:t>
      </w:r>
      <w:r w:rsidR="009874D2" w:rsidRPr="00973090">
        <w:rPr>
          <w:lang w:val="fr-CA"/>
        </w:rPr>
        <w:t xml:space="preserve">. </w:t>
      </w:r>
      <w:r w:rsidRPr="00973090">
        <w:rPr>
          <w:lang w:val="fr-CA"/>
        </w:rPr>
        <w:t xml:space="preserve">C’est une série de textos échangés </w:t>
      </w:r>
      <w:r w:rsidR="009326AB">
        <w:rPr>
          <w:lang w:val="fr-CA"/>
        </w:rPr>
        <w:t>au cours des</w:t>
      </w:r>
      <w:r w:rsidRPr="00973090">
        <w:rPr>
          <w:lang w:val="fr-CA"/>
        </w:rPr>
        <w:t xml:space="preserve"> trois prochains mois qui ont suivi qui fait l’objet de l’instance en question</w:t>
      </w:r>
      <w:r w:rsidR="009874D2" w:rsidRPr="00973090">
        <w:rPr>
          <w:lang w:val="fr-CA"/>
        </w:rPr>
        <w:t>.</w:t>
      </w:r>
    </w:p>
    <w:p w14:paraId="785E19ED" w14:textId="6A2F1E27" w:rsidR="006E3DD9" w:rsidRPr="00973090" w:rsidRDefault="00EA7DC7" w:rsidP="0037064B">
      <w:pPr>
        <w:pStyle w:val="AParaNumbering"/>
        <w:rPr>
          <w:lang w:val="fr-CA"/>
        </w:rPr>
      </w:pPr>
      <w:r w:rsidRPr="00973090">
        <w:rPr>
          <w:lang w:val="fr-CA"/>
        </w:rPr>
        <w:t xml:space="preserve">Dans les situations antérieures, le juge </w:t>
      </w:r>
      <w:r w:rsidR="009874D2" w:rsidRPr="00973090">
        <w:rPr>
          <w:lang w:val="fr-CA"/>
        </w:rPr>
        <w:t>Keast</w:t>
      </w:r>
      <w:r w:rsidR="00276933" w:rsidRPr="00973090">
        <w:rPr>
          <w:lang w:val="fr-CA"/>
        </w:rPr>
        <w:t xml:space="preserve"> </w:t>
      </w:r>
      <w:r w:rsidRPr="00973090">
        <w:rPr>
          <w:lang w:val="fr-CA"/>
        </w:rPr>
        <w:t>et son ami ont travaillé ensemble et ouvertement pour trouver une solution. Cette fois-ci, cependant, le juge Keast a agi différemment. Il a été saisi d’un dossier de la SAE qui était urgent et à une étape critique. Il craignait que le</w:t>
      </w:r>
      <w:r w:rsidR="009326AB">
        <w:rPr>
          <w:lang w:val="fr-CA"/>
        </w:rPr>
        <w:t>s</w:t>
      </w:r>
      <w:r w:rsidRPr="00973090">
        <w:rPr>
          <w:lang w:val="fr-CA"/>
        </w:rPr>
        <w:t xml:space="preserve"> témoin</w:t>
      </w:r>
      <w:r w:rsidR="009326AB">
        <w:rPr>
          <w:lang w:val="fr-CA"/>
        </w:rPr>
        <w:t>s</w:t>
      </w:r>
      <w:r w:rsidRPr="00973090">
        <w:rPr>
          <w:lang w:val="fr-CA"/>
        </w:rPr>
        <w:t xml:space="preserve"> dans </w:t>
      </w:r>
      <w:r w:rsidR="00072BE9">
        <w:rPr>
          <w:lang w:val="fr-CA"/>
        </w:rPr>
        <w:t>l’</w:t>
      </w:r>
      <w:r w:rsidRPr="00973090">
        <w:rPr>
          <w:lang w:val="fr-CA"/>
        </w:rPr>
        <w:t>affaire dont il était saisi interviendrai</w:t>
      </w:r>
      <w:r w:rsidR="009326AB">
        <w:rPr>
          <w:lang w:val="fr-CA"/>
        </w:rPr>
        <w:t>en</w:t>
      </w:r>
      <w:r w:rsidRPr="00973090">
        <w:rPr>
          <w:lang w:val="fr-CA"/>
        </w:rPr>
        <w:t>t aussi dans sa situation personnelle</w:t>
      </w:r>
      <w:r w:rsidR="00F2468D" w:rsidRPr="00973090">
        <w:rPr>
          <w:lang w:val="fr-CA"/>
        </w:rPr>
        <w:t>.</w:t>
      </w:r>
      <w:r w:rsidR="009C4882" w:rsidRPr="00973090">
        <w:rPr>
          <w:lang w:val="fr-CA"/>
        </w:rPr>
        <w:t xml:space="preserve"> </w:t>
      </w:r>
      <w:r w:rsidRPr="00973090">
        <w:rPr>
          <w:lang w:val="fr-CA"/>
        </w:rPr>
        <w:t xml:space="preserve">Il espérait </w:t>
      </w:r>
      <w:r w:rsidR="00072BE9">
        <w:rPr>
          <w:lang w:val="fr-CA"/>
        </w:rPr>
        <w:t xml:space="preserve">pourvoir </w:t>
      </w:r>
      <w:r w:rsidRPr="00973090">
        <w:rPr>
          <w:lang w:val="fr-CA"/>
        </w:rPr>
        <w:t>régler sa situation personnelle et mener à bien le dossier devant lui</w:t>
      </w:r>
      <w:r w:rsidR="006E3DD9" w:rsidRPr="00973090">
        <w:rPr>
          <w:lang w:val="fr-CA"/>
        </w:rPr>
        <w:t>.</w:t>
      </w:r>
      <w:r w:rsidRPr="00973090">
        <w:rPr>
          <w:lang w:val="fr-CA"/>
        </w:rPr>
        <w:t xml:space="preserve"> En conséquence, le juge </w:t>
      </w:r>
      <w:r w:rsidR="006E3DD9" w:rsidRPr="00973090">
        <w:rPr>
          <w:lang w:val="fr-CA"/>
        </w:rPr>
        <w:t xml:space="preserve">Keast </w:t>
      </w:r>
      <w:r w:rsidRPr="00973090">
        <w:rPr>
          <w:lang w:val="fr-CA"/>
        </w:rPr>
        <w:t>et son ami n’ont pas divulgué leur échange de textos</w:t>
      </w:r>
      <w:r w:rsidR="006E3DD9" w:rsidRPr="00973090">
        <w:rPr>
          <w:lang w:val="fr-CA"/>
        </w:rPr>
        <w:t>.</w:t>
      </w:r>
    </w:p>
    <w:p w14:paraId="4D158BBD" w14:textId="51CCE28F" w:rsidR="00CD5B2C" w:rsidRPr="00973090" w:rsidRDefault="00EA7DC7" w:rsidP="0037064B">
      <w:pPr>
        <w:pStyle w:val="AParaNumbering"/>
        <w:rPr>
          <w:lang w:val="fr-CA"/>
        </w:rPr>
      </w:pPr>
      <w:r w:rsidRPr="00973090">
        <w:rPr>
          <w:lang w:val="fr-CA"/>
        </w:rPr>
        <w:t xml:space="preserve">Deux ou trois jours plus tard, le juge </w:t>
      </w:r>
      <w:r w:rsidR="000571F3" w:rsidRPr="00973090">
        <w:rPr>
          <w:lang w:val="fr-CA"/>
        </w:rPr>
        <w:t xml:space="preserve">Keast </w:t>
      </w:r>
      <w:r w:rsidRPr="00973090">
        <w:rPr>
          <w:lang w:val="fr-CA"/>
        </w:rPr>
        <w:t xml:space="preserve">a demandé conseil à son juge principal régional. Il a </w:t>
      </w:r>
      <w:r w:rsidR="00895902" w:rsidRPr="00973090">
        <w:rPr>
          <w:lang w:val="fr-CA"/>
        </w:rPr>
        <w:t xml:space="preserve">expliqué en gros sa situation personnelle au juge principal régional. Cependant, il ne lui a pas dévoilé toute l’affaire ni les répercussions possibles sur le dossier dont il </w:t>
      </w:r>
      <w:r w:rsidR="00072BE9">
        <w:rPr>
          <w:lang w:val="fr-CA"/>
        </w:rPr>
        <w:t>était</w:t>
      </w:r>
      <w:r w:rsidR="00895902" w:rsidRPr="00973090">
        <w:rPr>
          <w:lang w:val="fr-CA"/>
        </w:rPr>
        <w:t xml:space="preserve"> saisi</w:t>
      </w:r>
      <w:r w:rsidR="009C4882" w:rsidRPr="00973090">
        <w:rPr>
          <w:lang w:val="fr-CA"/>
        </w:rPr>
        <w:t xml:space="preserve">.  </w:t>
      </w:r>
    </w:p>
    <w:p w14:paraId="4E9EA834" w14:textId="63AFF0A3" w:rsidR="009714F0" w:rsidRPr="00973090" w:rsidRDefault="001236B7" w:rsidP="009714F0">
      <w:pPr>
        <w:pStyle w:val="AParaNumbering"/>
        <w:rPr>
          <w:lang w:val="fr-CA"/>
        </w:rPr>
      </w:pPr>
      <w:r w:rsidRPr="00973090">
        <w:rPr>
          <w:lang w:val="fr-CA"/>
        </w:rPr>
        <w:t xml:space="preserve">Comme le temps passait et que rien ne semblait avoir été fait en ce qui concerne sa situation personnelle, le juge </w:t>
      </w:r>
      <w:r w:rsidR="009714F0" w:rsidRPr="00973090">
        <w:rPr>
          <w:lang w:val="fr-CA"/>
        </w:rPr>
        <w:t xml:space="preserve">Keast </w:t>
      </w:r>
      <w:r w:rsidRPr="00973090">
        <w:rPr>
          <w:lang w:val="fr-CA"/>
        </w:rPr>
        <w:t xml:space="preserve">a commencé à s’énerver. Dans ses textos à son ami, il a donné libre cours à sa colère, critiquant de façon inappropriée </w:t>
      </w:r>
      <w:r w:rsidR="00072BE9">
        <w:rPr>
          <w:lang w:val="fr-CA"/>
        </w:rPr>
        <w:t xml:space="preserve">et regrettable </w:t>
      </w:r>
      <w:r w:rsidRPr="00973090">
        <w:rPr>
          <w:lang w:val="fr-CA"/>
        </w:rPr>
        <w:t xml:space="preserve">deux </w:t>
      </w:r>
      <w:r w:rsidR="00072BE9">
        <w:rPr>
          <w:lang w:val="fr-CA"/>
        </w:rPr>
        <w:t>individus</w:t>
      </w:r>
      <w:r w:rsidRPr="00973090">
        <w:rPr>
          <w:lang w:val="fr-CA"/>
        </w:rPr>
        <w:t xml:space="preserve"> et la SAE, </w:t>
      </w:r>
      <w:r w:rsidR="00072BE9">
        <w:rPr>
          <w:lang w:val="fr-CA"/>
        </w:rPr>
        <w:t>qu’il accusait de ne pas bien faire leur travail</w:t>
      </w:r>
      <w:r w:rsidR="009714F0" w:rsidRPr="00973090">
        <w:rPr>
          <w:lang w:val="fr-CA"/>
        </w:rPr>
        <w:t xml:space="preserve">.  </w:t>
      </w:r>
    </w:p>
    <w:p w14:paraId="37A7A4DD" w14:textId="549D284E" w:rsidR="00AA0A99" w:rsidRPr="00973090" w:rsidRDefault="001236B7" w:rsidP="0037064B">
      <w:pPr>
        <w:pStyle w:val="AParaNumbering"/>
        <w:rPr>
          <w:lang w:val="fr-CA"/>
        </w:rPr>
      </w:pPr>
      <w:r w:rsidRPr="00973090">
        <w:rPr>
          <w:lang w:val="fr-CA"/>
        </w:rPr>
        <w:t xml:space="preserve">En fin de compte, </w:t>
      </w:r>
      <w:r w:rsidR="00072BE9">
        <w:rPr>
          <w:lang w:val="fr-CA"/>
        </w:rPr>
        <w:t xml:space="preserve">un individu </w:t>
      </w:r>
      <w:r w:rsidRPr="00973090">
        <w:rPr>
          <w:lang w:val="fr-CA"/>
        </w:rPr>
        <w:t xml:space="preserve">a eu des doutes au sujet de la situation personnelle du juge Keast et de ce qu’il faisait à ce sujet. Cet individu a fait des copies des textos figurant sur le téléphone cellulaire du juge </w:t>
      </w:r>
      <w:r w:rsidR="00A02093" w:rsidRPr="00973090">
        <w:rPr>
          <w:lang w:val="fr-CA"/>
        </w:rPr>
        <w:t>Keast</w:t>
      </w:r>
      <w:r w:rsidRPr="00973090">
        <w:rPr>
          <w:lang w:val="fr-CA"/>
        </w:rPr>
        <w:t>, sans que ce dernier en soit au courant ou y consente</w:t>
      </w:r>
      <w:r w:rsidR="00A02093" w:rsidRPr="00973090">
        <w:rPr>
          <w:lang w:val="fr-CA"/>
        </w:rPr>
        <w:t xml:space="preserve">.  </w:t>
      </w:r>
    </w:p>
    <w:p w14:paraId="356C8130" w14:textId="3778EF63" w:rsidR="009874D2" w:rsidRPr="00973090" w:rsidRDefault="001236B7" w:rsidP="0037064B">
      <w:pPr>
        <w:pStyle w:val="AParaNumbering"/>
        <w:rPr>
          <w:lang w:val="fr-CA"/>
        </w:rPr>
      </w:pPr>
      <w:r w:rsidRPr="00973090">
        <w:rPr>
          <w:lang w:val="fr-CA"/>
        </w:rPr>
        <w:t>L’individu a remis à la SAE des copies des textos. En se fondant sur ces messages, la SAE a déposé une plainte qui a donné lieu à l’instance en question</w:t>
      </w:r>
      <w:r w:rsidR="00D92654" w:rsidRPr="00973090">
        <w:rPr>
          <w:lang w:val="fr-CA"/>
        </w:rPr>
        <w:t>.</w:t>
      </w:r>
      <w:r w:rsidR="009874D2" w:rsidRPr="00973090">
        <w:rPr>
          <w:lang w:val="fr-CA"/>
        </w:rPr>
        <w:t xml:space="preserve"> </w:t>
      </w:r>
    </w:p>
    <w:p w14:paraId="1EA4CC2E" w14:textId="16D5AB9B" w:rsidR="00AA0A99" w:rsidRPr="00973090" w:rsidRDefault="002E4B54" w:rsidP="00AA0A99">
      <w:pPr>
        <w:pStyle w:val="AParaNumbering"/>
        <w:rPr>
          <w:lang w:val="fr-CA"/>
        </w:rPr>
      </w:pPr>
      <w:r w:rsidRPr="00973090">
        <w:rPr>
          <w:lang w:val="fr-CA"/>
        </w:rPr>
        <w:t xml:space="preserve">Le contenu inapproprié des textos est résumé ci-dessous. Le juge Keast a </w:t>
      </w:r>
      <w:r w:rsidR="00072BE9">
        <w:rPr>
          <w:lang w:val="fr-CA"/>
        </w:rPr>
        <w:t>commis plusieurs irrégularités</w:t>
      </w:r>
      <w:r w:rsidRPr="00973090">
        <w:rPr>
          <w:lang w:val="fr-CA"/>
        </w:rPr>
        <w:t xml:space="preserve">, </w:t>
      </w:r>
      <w:r w:rsidR="00072BE9">
        <w:rPr>
          <w:lang w:val="fr-CA"/>
        </w:rPr>
        <w:t>comme ceci</w:t>
      </w:r>
      <w:r w:rsidRPr="00973090">
        <w:rPr>
          <w:lang w:val="fr-CA"/>
        </w:rPr>
        <w:t xml:space="preserve"> </w:t>
      </w:r>
      <w:r w:rsidR="00AA0A99" w:rsidRPr="00973090">
        <w:rPr>
          <w:lang w:val="fr-CA"/>
        </w:rPr>
        <w:t xml:space="preserve">: </w:t>
      </w:r>
    </w:p>
    <w:p w14:paraId="3339CDF7" w14:textId="321D832A" w:rsidR="00AA0A99" w:rsidRPr="00973090" w:rsidRDefault="002E4B54" w:rsidP="00AA0A99">
      <w:pPr>
        <w:pStyle w:val="AParaNumbering"/>
        <w:numPr>
          <w:ilvl w:val="0"/>
          <w:numId w:val="28"/>
        </w:numPr>
        <w:rPr>
          <w:lang w:val="fr-CA"/>
        </w:rPr>
      </w:pPr>
      <w:r w:rsidRPr="00973090">
        <w:rPr>
          <w:lang w:val="fr-CA"/>
        </w:rPr>
        <w:t xml:space="preserve">Il a communiqué des renseignements confidentiels à une partie; </w:t>
      </w:r>
    </w:p>
    <w:p w14:paraId="4B9F3A9F" w14:textId="0CF63000" w:rsidR="00AA0A99" w:rsidRPr="00973090" w:rsidRDefault="002E4B54" w:rsidP="00AA0A99">
      <w:pPr>
        <w:pStyle w:val="AParaNumbering"/>
        <w:numPr>
          <w:ilvl w:val="0"/>
          <w:numId w:val="28"/>
        </w:numPr>
        <w:rPr>
          <w:lang w:val="fr-CA"/>
        </w:rPr>
      </w:pPr>
      <w:r w:rsidRPr="00973090">
        <w:rPr>
          <w:lang w:val="fr-CA"/>
        </w:rPr>
        <w:t xml:space="preserve">Il a </w:t>
      </w:r>
      <w:r w:rsidR="00072BE9">
        <w:rPr>
          <w:lang w:val="fr-CA"/>
        </w:rPr>
        <w:t>profité de</w:t>
      </w:r>
      <w:r w:rsidRPr="00973090">
        <w:rPr>
          <w:lang w:val="fr-CA"/>
        </w:rPr>
        <w:t xml:space="preserve"> son amitié avec le destinataire de ses textos pour avoir accès à des renseignements confidentiels; </w:t>
      </w:r>
    </w:p>
    <w:p w14:paraId="3698C0F3" w14:textId="584C87BB" w:rsidR="00AA0A99" w:rsidRPr="00973090" w:rsidRDefault="002E4B54" w:rsidP="00AA0A99">
      <w:pPr>
        <w:pStyle w:val="AParaNumbering"/>
        <w:numPr>
          <w:ilvl w:val="0"/>
          <w:numId w:val="28"/>
        </w:numPr>
        <w:rPr>
          <w:lang w:val="fr-CA"/>
        </w:rPr>
      </w:pPr>
      <w:r w:rsidRPr="00973090">
        <w:rPr>
          <w:lang w:val="fr-CA"/>
        </w:rPr>
        <w:t xml:space="preserve">Il a exprimé son opinion sur l’affaire de la SAE dont il était saisi; </w:t>
      </w:r>
    </w:p>
    <w:p w14:paraId="1D2F064B" w14:textId="79AC097A" w:rsidR="00AA0A99" w:rsidRPr="00973090" w:rsidRDefault="002E4B54" w:rsidP="00AA0A99">
      <w:pPr>
        <w:pStyle w:val="AParaNumbering"/>
        <w:numPr>
          <w:ilvl w:val="0"/>
          <w:numId w:val="28"/>
        </w:numPr>
        <w:rPr>
          <w:lang w:val="fr-CA"/>
        </w:rPr>
      </w:pPr>
      <w:r w:rsidRPr="00973090">
        <w:rPr>
          <w:lang w:val="fr-CA"/>
        </w:rPr>
        <w:t>Il a fait des commentaires inappropriés qui pourraient être perçus comme exprimant un préjudice contre la CAE, une institution qui est régulièrement représentée devant lui</w:t>
      </w:r>
      <w:r w:rsidR="00AA0A99" w:rsidRPr="00973090">
        <w:rPr>
          <w:lang w:val="fr-CA"/>
        </w:rPr>
        <w:t xml:space="preserve">; </w:t>
      </w:r>
    </w:p>
    <w:p w14:paraId="301120D2" w14:textId="5B9C232D" w:rsidR="00AA0A99" w:rsidRPr="00973090" w:rsidRDefault="002E4B54" w:rsidP="00AA0A99">
      <w:pPr>
        <w:pStyle w:val="AParaNumbering"/>
        <w:numPr>
          <w:ilvl w:val="0"/>
          <w:numId w:val="28"/>
        </w:numPr>
        <w:rPr>
          <w:lang w:val="fr-CA"/>
        </w:rPr>
      </w:pPr>
      <w:r w:rsidRPr="00973090">
        <w:rPr>
          <w:lang w:val="fr-CA"/>
        </w:rPr>
        <w:t>Il a prodigué de</w:t>
      </w:r>
      <w:r w:rsidR="00072BE9">
        <w:rPr>
          <w:lang w:val="fr-CA"/>
        </w:rPr>
        <w:t>s</w:t>
      </w:r>
      <w:r w:rsidRPr="00973090">
        <w:rPr>
          <w:lang w:val="fr-CA"/>
        </w:rPr>
        <w:t xml:space="preserve"> conseils juridiques à son ami; </w:t>
      </w:r>
    </w:p>
    <w:p w14:paraId="1C24ED43" w14:textId="044DFC2D" w:rsidR="00AA0A99" w:rsidRPr="00973090" w:rsidRDefault="002E4B54" w:rsidP="00AA0A99">
      <w:pPr>
        <w:pStyle w:val="AParaNumbering"/>
        <w:numPr>
          <w:ilvl w:val="0"/>
          <w:numId w:val="28"/>
        </w:numPr>
        <w:rPr>
          <w:lang w:val="fr-CA"/>
        </w:rPr>
      </w:pPr>
      <w:r w:rsidRPr="00973090">
        <w:rPr>
          <w:lang w:val="fr-CA"/>
        </w:rPr>
        <w:t xml:space="preserve">Il a tenté de dissimuler des textos de personnes susceptibles d’être touchées par l’échange </w:t>
      </w:r>
      <w:r w:rsidR="00072BE9">
        <w:rPr>
          <w:lang w:val="fr-CA"/>
        </w:rPr>
        <w:t>de renseignements</w:t>
      </w:r>
      <w:r w:rsidRPr="00973090">
        <w:rPr>
          <w:lang w:val="fr-CA"/>
        </w:rPr>
        <w:t xml:space="preserve"> qu’ils contenaient</w:t>
      </w:r>
      <w:r w:rsidR="00AA0A99" w:rsidRPr="00973090">
        <w:rPr>
          <w:lang w:val="fr-CA"/>
        </w:rPr>
        <w:t xml:space="preserve">.  </w:t>
      </w:r>
    </w:p>
    <w:p w14:paraId="4FAED611" w14:textId="17B5247B" w:rsidR="006B6A13" w:rsidRPr="00973090" w:rsidRDefault="00AF740E" w:rsidP="00961A83">
      <w:pPr>
        <w:pStyle w:val="AParaNumbering"/>
        <w:rPr>
          <w:lang w:val="fr-CA"/>
        </w:rPr>
      </w:pPr>
      <w:r w:rsidRPr="00973090">
        <w:rPr>
          <w:lang w:val="fr-CA"/>
        </w:rPr>
        <w:t xml:space="preserve">Pendant l’audience, le juge </w:t>
      </w:r>
      <w:r w:rsidR="007F7445" w:rsidRPr="00973090">
        <w:rPr>
          <w:lang w:val="fr-CA"/>
        </w:rPr>
        <w:t xml:space="preserve">Keast </w:t>
      </w:r>
      <w:r w:rsidRPr="00973090">
        <w:rPr>
          <w:lang w:val="fr-CA"/>
        </w:rPr>
        <w:t>a demandé que les textos soient exclus des éléments de preuve. Le comité d’audience a rejeté la motion en précisant que ses motifs suivront. Les motifs promis sont énoncés plus loin, dans les présents motifs</w:t>
      </w:r>
      <w:r w:rsidR="00656176" w:rsidRPr="00973090">
        <w:rPr>
          <w:lang w:val="fr-CA"/>
        </w:rPr>
        <w:t>.</w:t>
      </w:r>
    </w:p>
    <w:p w14:paraId="015722E5" w14:textId="6AABCB44" w:rsidR="00292273" w:rsidRPr="00973090" w:rsidRDefault="00AF740E" w:rsidP="00A30D77">
      <w:pPr>
        <w:pStyle w:val="AParaNumbering"/>
        <w:rPr>
          <w:lang w:val="fr-CA"/>
        </w:rPr>
      </w:pPr>
      <w:r w:rsidRPr="00973090">
        <w:rPr>
          <w:lang w:val="fr-CA"/>
        </w:rPr>
        <w:t xml:space="preserve">Après que les textos ont été déclarés admissibles en preuve, l’affaire s’est poursuivie avec un Exposé </w:t>
      </w:r>
      <w:r w:rsidR="00072BE9" w:rsidRPr="00973090">
        <w:rPr>
          <w:lang w:val="fr-CA"/>
        </w:rPr>
        <w:t xml:space="preserve">conjoint </w:t>
      </w:r>
      <w:r w:rsidRPr="00973090">
        <w:rPr>
          <w:lang w:val="fr-CA"/>
        </w:rPr>
        <w:t xml:space="preserve">des faits. </w:t>
      </w:r>
      <w:r w:rsidR="00072BE9">
        <w:rPr>
          <w:lang w:val="fr-CA"/>
        </w:rPr>
        <w:t>Dans cet exposé conjoint des faits, l</w:t>
      </w:r>
      <w:r w:rsidRPr="00973090">
        <w:rPr>
          <w:lang w:val="fr-CA"/>
        </w:rPr>
        <w:t xml:space="preserve">e juge </w:t>
      </w:r>
      <w:r w:rsidR="006F4401" w:rsidRPr="00973090">
        <w:rPr>
          <w:lang w:val="fr-CA"/>
        </w:rPr>
        <w:t xml:space="preserve">Keast </w:t>
      </w:r>
      <w:r w:rsidRPr="00973090">
        <w:rPr>
          <w:lang w:val="fr-CA"/>
        </w:rPr>
        <w:t>a reconnu le contenu des textos et leur authenticité. Il a également avoué que ses actions au cours de la période allant du 8 janvier au 17 mars 2016 constituent une inconduite judiciaire</w:t>
      </w:r>
      <w:r w:rsidR="00FC5EDC" w:rsidRPr="00973090">
        <w:rPr>
          <w:lang w:val="fr-CA"/>
        </w:rPr>
        <w:t>.</w:t>
      </w:r>
      <w:r w:rsidR="00D433D8" w:rsidRPr="00973090">
        <w:rPr>
          <w:lang w:val="fr-CA"/>
        </w:rPr>
        <w:t xml:space="preserve">  </w:t>
      </w:r>
    </w:p>
    <w:p w14:paraId="06E26112" w14:textId="290DE3E0" w:rsidR="00FF18FA" w:rsidRPr="00973090" w:rsidRDefault="000F40EE" w:rsidP="00BF7E4D">
      <w:pPr>
        <w:pStyle w:val="AParaNumbering"/>
        <w:rPr>
          <w:lang w:val="fr-CA"/>
        </w:rPr>
      </w:pPr>
      <w:r w:rsidRPr="00973090">
        <w:rPr>
          <w:lang w:val="fr-CA"/>
        </w:rPr>
        <w:t>Au vu de l’Exposé conjoint des faits et des aveux du juge Keast, le comité d’audience a conclu que le juge Keast avait commis une inconduite judiciaire</w:t>
      </w:r>
      <w:r w:rsidR="00D47DCB">
        <w:rPr>
          <w:lang w:val="fr-CA"/>
        </w:rPr>
        <w:t xml:space="preserve"> justifiant </w:t>
      </w:r>
      <w:r w:rsidRPr="00973090">
        <w:rPr>
          <w:lang w:val="fr-CA"/>
        </w:rPr>
        <w:t>la prise d’une mesure. Nous a</w:t>
      </w:r>
      <w:r w:rsidR="00370EA8">
        <w:rPr>
          <w:lang w:val="fr-CA"/>
        </w:rPr>
        <w:t>vons ensuite entendu des observation</w:t>
      </w:r>
      <w:r w:rsidRPr="00973090">
        <w:rPr>
          <w:lang w:val="fr-CA"/>
        </w:rPr>
        <w:t>s relatives à la mesure appropriée</w:t>
      </w:r>
      <w:r w:rsidR="0095539C" w:rsidRPr="00973090">
        <w:rPr>
          <w:lang w:val="fr-CA"/>
        </w:rPr>
        <w:t xml:space="preserve">.  </w:t>
      </w:r>
    </w:p>
    <w:p w14:paraId="35B293A8" w14:textId="10A8B28B" w:rsidR="00DC22CA" w:rsidRPr="00973090" w:rsidRDefault="000B5ED1" w:rsidP="00CA4C59">
      <w:pPr>
        <w:pStyle w:val="AParaNumbering"/>
        <w:rPr>
          <w:lang w:val="fr-CA"/>
        </w:rPr>
      </w:pPr>
      <w:r w:rsidRPr="00973090">
        <w:rPr>
          <w:lang w:val="fr-CA"/>
        </w:rPr>
        <w:t xml:space="preserve">Comme indiqué plus haut, l’avocat chargé de la présentation a plaidé en faveur d’une suspension, sans </w:t>
      </w:r>
      <w:r w:rsidR="00534523" w:rsidRPr="00973090">
        <w:rPr>
          <w:lang w:val="fr-CA"/>
        </w:rPr>
        <w:t>rémunération</w:t>
      </w:r>
      <w:r w:rsidRPr="00973090">
        <w:rPr>
          <w:lang w:val="fr-CA"/>
        </w:rPr>
        <w:t xml:space="preserve">, pendant 15 jours. L’avocat du juge </w:t>
      </w:r>
      <w:r w:rsidR="002C1B96" w:rsidRPr="00973090">
        <w:rPr>
          <w:lang w:val="fr-CA"/>
        </w:rPr>
        <w:t xml:space="preserve">Keast </w:t>
      </w:r>
      <w:r w:rsidRPr="00973090">
        <w:rPr>
          <w:lang w:val="fr-CA"/>
        </w:rPr>
        <w:t>a soutenu qu’un avertissement ou une r</w:t>
      </w:r>
      <w:r w:rsidR="00370EA8">
        <w:rPr>
          <w:lang w:val="fr-CA"/>
        </w:rPr>
        <w:t>é</w:t>
      </w:r>
      <w:r w:rsidRPr="00973090">
        <w:rPr>
          <w:lang w:val="fr-CA"/>
        </w:rPr>
        <w:t xml:space="preserve">primande serait une sanction adéquate. Il a également avisé que le juge </w:t>
      </w:r>
      <w:r w:rsidR="00CE5BC1" w:rsidRPr="00973090">
        <w:rPr>
          <w:lang w:val="fr-CA"/>
        </w:rPr>
        <w:t xml:space="preserve">Keast </w:t>
      </w:r>
      <w:r w:rsidRPr="00973090">
        <w:rPr>
          <w:lang w:val="fr-CA"/>
        </w:rPr>
        <w:t xml:space="preserve">demandait une indemnisation </w:t>
      </w:r>
      <w:r w:rsidR="00CA4C59" w:rsidRPr="00CA4C59">
        <w:rPr>
          <w:lang w:val="fr-CA"/>
        </w:rPr>
        <w:t xml:space="preserve">pour les frais pour services juridiques qu’il a engagés </w:t>
      </w:r>
      <w:r w:rsidRPr="00973090">
        <w:rPr>
          <w:lang w:val="fr-CA"/>
        </w:rPr>
        <w:t>pour cette instance</w:t>
      </w:r>
      <w:r w:rsidR="00CE5BC1" w:rsidRPr="00973090">
        <w:rPr>
          <w:lang w:val="fr-CA"/>
        </w:rPr>
        <w:t xml:space="preserve">.  </w:t>
      </w:r>
    </w:p>
    <w:p w14:paraId="1ED76824" w14:textId="0DC1B98C" w:rsidR="00EC04B8" w:rsidRPr="00973090" w:rsidRDefault="000B5ED1" w:rsidP="00961A83">
      <w:pPr>
        <w:pStyle w:val="AParaNumbering"/>
        <w:rPr>
          <w:lang w:val="fr-CA"/>
        </w:rPr>
      </w:pPr>
      <w:r w:rsidRPr="00973090">
        <w:rPr>
          <w:lang w:val="fr-CA"/>
        </w:rPr>
        <w:t xml:space="preserve">Avant de passer à </w:t>
      </w:r>
      <w:r w:rsidR="00CA4C59">
        <w:rPr>
          <w:lang w:val="fr-CA"/>
        </w:rPr>
        <w:t>la question</w:t>
      </w:r>
      <w:r w:rsidRPr="00973090">
        <w:rPr>
          <w:lang w:val="fr-CA"/>
        </w:rPr>
        <w:t xml:space="preserve"> de la sanction, le comité d’audience énonce ci-dessous les motifs pour lesquels il a accepté les textos en preuve</w:t>
      </w:r>
      <w:r w:rsidR="00EC04B8" w:rsidRPr="00973090">
        <w:rPr>
          <w:lang w:val="fr-CA"/>
        </w:rPr>
        <w:t>.</w:t>
      </w:r>
    </w:p>
    <w:p w14:paraId="48C2EF9D" w14:textId="4309AA67" w:rsidR="00FF18FA" w:rsidRPr="00973090" w:rsidRDefault="00DC22CA" w:rsidP="00DC22CA">
      <w:pPr>
        <w:pStyle w:val="AParaNumbering"/>
        <w:numPr>
          <w:ilvl w:val="0"/>
          <w:numId w:val="0"/>
        </w:numPr>
        <w:rPr>
          <w:lang w:val="fr-CA"/>
        </w:rPr>
      </w:pPr>
      <w:r w:rsidRPr="00973090">
        <w:rPr>
          <w:b/>
          <w:lang w:val="fr-CA"/>
        </w:rPr>
        <w:t>ADMISSIBILIT</w:t>
      </w:r>
      <w:r w:rsidR="000B5ED1" w:rsidRPr="00973090">
        <w:rPr>
          <w:b/>
          <w:lang w:val="fr-CA"/>
        </w:rPr>
        <w:t>É DES TEXTOS</w:t>
      </w:r>
    </w:p>
    <w:p w14:paraId="796F3F43" w14:textId="32CC2BD1" w:rsidR="00FF18FA" w:rsidRPr="00973090" w:rsidRDefault="00567793" w:rsidP="00BF7E4D">
      <w:pPr>
        <w:pStyle w:val="AParaNumbering"/>
        <w:rPr>
          <w:lang w:val="fr-CA"/>
        </w:rPr>
      </w:pPr>
      <w:r w:rsidRPr="00973090">
        <w:rPr>
          <w:lang w:val="fr-CA"/>
        </w:rPr>
        <w:t xml:space="preserve">L’argument du juge </w:t>
      </w:r>
      <w:r w:rsidR="005054E6" w:rsidRPr="00973090">
        <w:rPr>
          <w:lang w:val="fr-CA"/>
        </w:rPr>
        <w:t>Keast</w:t>
      </w:r>
      <w:r w:rsidR="00CA4C59">
        <w:rPr>
          <w:lang w:val="fr-CA"/>
        </w:rPr>
        <w:t xml:space="preserve"> en </w:t>
      </w:r>
      <w:r w:rsidRPr="00973090">
        <w:rPr>
          <w:lang w:val="fr-CA"/>
        </w:rPr>
        <w:t>f</w:t>
      </w:r>
      <w:r w:rsidR="00CA4C59">
        <w:rPr>
          <w:lang w:val="fr-CA"/>
        </w:rPr>
        <w:t>a</w:t>
      </w:r>
      <w:r w:rsidRPr="00973090">
        <w:rPr>
          <w:lang w:val="fr-CA"/>
        </w:rPr>
        <w:t xml:space="preserve">veur de l’exclusion des textos peut être résumé comme ceci. L’individu qui a fait les copies des textos figurant sur le téléphone cellulaire du juge Keast l’a fait sans le consentement de ce dernier. En faisant cette copie, l’individu a agi contre la loi, illégalement. Lorsque la SAE a reçu la copie des textos de l’individu, elle savait que ces textos avaient été « volés » du téléphone cellulaire du juge </w:t>
      </w:r>
      <w:r w:rsidR="00EC04B8" w:rsidRPr="00973090">
        <w:rPr>
          <w:lang w:val="fr-CA"/>
        </w:rPr>
        <w:t>Keast</w:t>
      </w:r>
      <w:r w:rsidR="008E6C48" w:rsidRPr="00973090">
        <w:rPr>
          <w:lang w:val="fr-CA"/>
        </w:rPr>
        <w:t xml:space="preserve">. </w:t>
      </w:r>
      <w:r w:rsidR="00CA4C59">
        <w:rPr>
          <w:lang w:val="fr-CA"/>
        </w:rPr>
        <w:t xml:space="preserve">En outre, la SAE a assuré </w:t>
      </w:r>
      <w:r w:rsidRPr="00973090">
        <w:rPr>
          <w:lang w:val="fr-CA"/>
        </w:rPr>
        <w:t xml:space="preserve">l’individu que les textos ne seraient pas divulgués </w:t>
      </w:r>
      <w:r w:rsidR="00CA4C59">
        <w:rPr>
          <w:lang w:val="fr-CA"/>
        </w:rPr>
        <w:t>à des personnes extérieures à</w:t>
      </w:r>
      <w:r w:rsidRPr="00973090">
        <w:rPr>
          <w:lang w:val="fr-CA"/>
        </w:rPr>
        <w:t xml:space="preserve"> la SAE sans le consentement de l’individu. La SAE est un </w:t>
      </w:r>
      <w:r w:rsidR="00CA4C59">
        <w:rPr>
          <w:lang w:val="fr-CA"/>
        </w:rPr>
        <w:t xml:space="preserve">agent </w:t>
      </w:r>
      <w:r w:rsidRPr="00973090">
        <w:rPr>
          <w:lang w:val="fr-CA"/>
        </w:rPr>
        <w:t>de l’État</w:t>
      </w:r>
      <w:r w:rsidR="00C751A2" w:rsidRPr="00973090">
        <w:rPr>
          <w:lang w:val="fr-CA"/>
        </w:rPr>
        <w:t xml:space="preserve">. </w:t>
      </w:r>
      <w:r w:rsidRPr="00973090">
        <w:rPr>
          <w:lang w:val="fr-CA"/>
        </w:rPr>
        <w:t xml:space="preserve">Lorsque la SAE a remis les textos au Conseil, elle a violé </w:t>
      </w:r>
      <w:r w:rsidR="00CA4C59">
        <w:rPr>
          <w:lang w:val="fr-CA"/>
        </w:rPr>
        <w:t xml:space="preserve">aussi bien </w:t>
      </w:r>
      <w:r w:rsidRPr="00973090">
        <w:rPr>
          <w:lang w:val="fr-CA"/>
        </w:rPr>
        <w:t xml:space="preserve">son engagement envers l’individu </w:t>
      </w:r>
      <w:r w:rsidR="00CA4C59">
        <w:rPr>
          <w:lang w:val="fr-CA"/>
        </w:rPr>
        <w:t xml:space="preserve">que </w:t>
      </w:r>
      <w:r w:rsidRPr="00973090">
        <w:rPr>
          <w:lang w:val="fr-CA"/>
        </w:rPr>
        <w:t xml:space="preserve">les droits du juge Keast protégés par la </w:t>
      </w:r>
      <w:r w:rsidRPr="00973090">
        <w:rPr>
          <w:i/>
          <w:lang w:val="fr-CA"/>
        </w:rPr>
        <w:t>Charte</w:t>
      </w:r>
      <w:r w:rsidR="00B97DFE" w:rsidRPr="00973090">
        <w:rPr>
          <w:i/>
          <w:lang w:val="fr-CA"/>
        </w:rPr>
        <w:t xml:space="preserve"> canadienne des droits et libertés </w:t>
      </w:r>
      <w:r w:rsidR="00B97DFE" w:rsidRPr="00973090">
        <w:rPr>
          <w:lang w:val="fr-CA"/>
        </w:rPr>
        <w:t>(la</w:t>
      </w:r>
      <w:r w:rsidR="00B97DFE" w:rsidRPr="00973090">
        <w:rPr>
          <w:i/>
          <w:lang w:val="fr-CA"/>
        </w:rPr>
        <w:t xml:space="preserve"> Charte</w:t>
      </w:r>
      <w:r w:rsidR="00B97DFE" w:rsidRPr="00973090">
        <w:rPr>
          <w:lang w:val="fr-CA"/>
        </w:rPr>
        <w:t>)</w:t>
      </w:r>
      <w:r w:rsidR="00512199" w:rsidRPr="00973090">
        <w:rPr>
          <w:lang w:val="fr-CA"/>
        </w:rPr>
        <w:t>.</w:t>
      </w:r>
      <w:r w:rsidR="00533A0F" w:rsidRPr="00973090">
        <w:rPr>
          <w:lang w:val="fr-CA"/>
        </w:rPr>
        <w:t xml:space="preserve"> </w:t>
      </w:r>
      <w:r w:rsidR="00B21E46" w:rsidRPr="00973090">
        <w:rPr>
          <w:lang w:val="fr-CA"/>
        </w:rPr>
        <w:t>Comme le</w:t>
      </w:r>
      <w:r w:rsidR="00B97DFE" w:rsidRPr="00973090">
        <w:rPr>
          <w:lang w:val="fr-CA"/>
        </w:rPr>
        <w:t>s</w:t>
      </w:r>
      <w:r w:rsidR="00B21E46" w:rsidRPr="00973090">
        <w:rPr>
          <w:lang w:val="fr-CA"/>
        </w:rPr>
        <w:t xml:space="preserve"> textos ont été obtenus d’une manière contraire à la </w:t>
      </w:r>
      <w:r w:rsidR="00B21E46" w:rsidRPr="00973090">
        <w:rPr>
          <w:i/>
          <w:lang w:val="fr-CA"/>
        </w:rPr>
        <w:t>Charte</w:t>
      </w:r>
      <w:r w:rsidR="00B21E46" w:rsidRPr="00973090">
        <w:rPr>
          <w:lang w:val="fr-CA"/>
        </w:rPr>
        <w:t xml:space="preserve">, en vertu du paragraphe </w:t>
      </w:r>
      <w:r w:rsidR="00090142" w:rsidRPr="00973090">
        <w:rPr>
          <w:lang w:val="fr-CA"/>
        </w:rPr>
        <w:t>24</w:t>
      </w:r>
      <w:r w:rsidR="00B21E46" w:rsidRPr="00973090">
        <w:rPr>
          <w:lang w:val="fr-CA"/>
        </w:rPr>
        <w:t> </w:t>
      </w:r>
      <w:r w:rsidR="00090142" w:rsidRPr="00973090">
        <w:rPr>
          <w:lang w:val="fr-CA"/>
        </w:rPr>
        <w:t xml:space="preserve">(2) </w:t>
      </w:r>
      <w:r w:rsidR="00B21E46" w:rsidRPr="00973090">
        <w:rPr>
          <w:lang w:val="fr-CA"/>
        </w:rPr>
        <w:t xml:space="preserve">de la </w:t>
      </w:r>
      <w:r w:rsidR="00533A0F" w:rsidRPr="00973090">
        <w:rPr>
          <w:i/>
          <w:lang w:val="fr-CA"/>
        </w:rPr>
        <w:t>Chart</w:t>
      </w:r>
      <w:r w:rsidR="00B21E46" w:rsidRPr="00973090">
        <w:rPr>
          <w:i/>
          <w:lang w:val="fr-CA"/>
        </w:rPr>
        <w:t>e</w:t>
      </w:r>
      <w:r w:rsidR="00090142" w:rsidRPr="00973090">
        <w:rPr>
          <w:i/>
          <w:lang w:val="fr-CA"/>
        </w:rPr>
        <w:t xml:space="preserve">, </w:t>
      </w:r>
      <w:r w:rsidR="00CA4C59">
        <w:rPr>
          <w:lang w:val="fr-CA"/>
        </w:rPr>
        <w:t>ils</w:t>
      </w:r>
      <w:r w:rsidR="00B21E46" w:rsidRPr="00973090">
        <w:rPr>
          <w:lang w:val="fr-CA"/>
        </w:rPr>
        <w:t xml:space="preserve"> devraient être exclus des preuves, car le fait de les admettre en preuve discréditerait l’administration de la justice</w:t>
      </w:r>
      <w:r w:rsidR="00533A0F" w:rsidRPr="00973090">
        <w:rPr>
          <w:lang w:val="fr-CA"/>
        </w:rPr>
        <w:t>.</w:t>
      </w:r>
      <w:r w:rsidR="005054E6" w:rsidRPr="00973090">
        <w:rPr>
          <w:lang w:val="fr-CA"/>
        </w:rPr>
        <w:t xml:space="preserve"> </w:t>
      </w:r>
    </w:p>
    <w:p w14:paraId="3BDAD664" w14:textId="50F6AC2B" w:rsidR="00666CE5" w:rsidRPr="00973090" w:rsidRDefault="00B21E46" w:rsidP="003143B1">
      <w:pPr>
        <w:pStyle w:val="AParaNumbering"/>
        <w:rPr>
          <w:lang w:val="fr-CA"/>
        </w:rPr>
      </w:pPr>
      <w:r w:rsidRPr="00973090">
        <w:rPr>
          <w:lang w:val="fr-CA"/>
        </w:rPr>
        <w:t>Le comité d’audience a rejeté cet argument. Nous ne voyons aucune raison d’exclure les textos des preuves</w:t>
      </w:r>
      <w:r w:rsidR="00666CE5" w:rsidRPr="00973090">
        <w:rPr>
          <w:lang w:val="fr-CA"/>
        </w:rPr>
        <w:t>.</w:t>
      </w:r>
    </w:p>
    <w:p w14:paraId="555F8747" w14:textId="3E8CECCF" w:rsidR="00666CE5" w:rsidRPr="00973090" w:rsidRDefault="004802B4" w:rsidP="00A30D77">
      <w:pPr>
        <w:pStyle w:val="AParaNumbering"/>
        <w:rPr>
          <w:lang w:val="fr-CA"/>
        </w:rPr>
      </w:pPr>
      <w:r w:rsidRPr="00973090">
        <w:rPr>
          <w:lang w:val="fr-CA"/>
        </w:rPr>
        <w:t xml:space="preserve">La </w:t>
      </w:r>
      <w:r w:rsidR="007E41D1" w:rsidRPr="00973090">
        <w:rPr>
          <w:lang w:val="fr-CA"/>
        </w:rPr>
        <w:t xml:space="preserve">fouille </w:t>
      </w:r>
      <w:r w:rsidRPr="00973090">
        <w:rPr>
          <w:lang w:val="fr-CA"/>
        </w:rPr>
        <w:t xml:space="preserve">initiale effectuée sur le téléphone cellulaire du juge </w:t>
      </w:r>
      <w:r w:rsidR="004727A2" w:rsidRPr="00973090">
        <w:rPr>
          <w:lang w:val="fr-CA"/>
        </w:rPr>
        <w:t>Keast</w:t>
      </w:r>
      <w:r w:rsidRPr="00973090">
        <w:rPr>
          <w:lang w:val="fr-CA"/>
        </w:rPr>
        <w:t xml:space="preserve"> et la saisie subséquente des textos (en les copiant) ont été menées par un individu, agissant </w:t>
      </w:r>
      <w:r w:rsidR="00CA4C59">
        <w:rPr>
          <w:lang w:val="fr-CA"/>
        </w:rPr>
        <w:t>à titre personnel</w:t>
      </w:r>
      <w:r w:rsidR="004727A2" w:rsidRPr="00973090">
        <w:rPr>
          <w:lang w:val="fr-CA"/>
        </w:rPr>
        <w:t>.</w:t>
      </w:r>
      <w:r w:rsidR="00A30D77" w:rsidRPr="00973090">
        <w:rPr>
          <w:lang w:val="fr-CA"/>
        </w:rPr>
        <w:t xml:space="preserve"> </w:t>
      </w:r>
      <w:r w:rsidR="007E41D1" w:rsidRPr="00973090">
        <w:rPr>
          <w:lang w:val="fr-CA"/>
        </w:rPr>
        <w:t xml:space="preserve">L’État n’a pas fouillé ou saisi le téléphone cellulaire du juge </w:t>
      </w:r>
      <w:r w:rsidR="00A30D77" w:rsidRPr="00973090">
        <w:rPr>
          <w:lang w:val="fr-CA"/>
        </w:rPr>
        <w:t xml:space="preserve">Keast. </w:t>
      </w:r>
      <w:r w:rsidR="007E41D1" w:rsidRPr="00973090">
        <w:rPr>
          <w:lang w:val="fr-CA"/>
        </w:rPr>
        <w:t>C’est l’individu qui a copié les textos qui a empiété sur l’attente raisonnable du juge Keast à l’égard de la protection de sa vie privée, et non l’État</w:t>
      </w:r>
      <w:r w:rsidR="00666CE5" w:rsidRPr="00973090">
        <w:rPr>
          <w:lang w:val="fr-CA"/>
        </w:rPr>
        <w:t xml:space="preserve">.  </w:t>
      </w:r>
    </w:p>
    <w:p w14:paraId="4CD59D89" w14:textId="13BEFE36" w:rsidR="005E0274" w:rsidRPr="00973090" w:rsidRDefault="007E41D1" w:rsidP="003143B1">
      <w:pPr>
        <w:pStyle w:val="AParaNumbering"/>
        <w:rPr>
          <w:lang w:val="fr-CA"/>
        </w:rPr>
      </w:pPr>
      <w:r w:rsidRPr="00973090">
        <w:rPr>
          <w:lang w:val="fr-CA"/>
        </w:rPr>
        <w:t>La SAE n’a joué aucun rôle dans la fouille et la saisie des textos. L’État n’est pas intervenu dans la copie initiale des textos ni dans leur transmission volontaire à la SAE. La seule action de la SAE a été de recevoir les textos et, sur les conseils d’un avocat, de les communiquer au Conseil lorsqu’elle a déposé sa plainte</w:t>
      </w:r>
      <w:r w:rsidR="005E0274" w:rsidRPr="00973090">
        <w:rPr>
          <w:lang w:val="fr-CA"/>
        </w:rPr>
        <w:t>.</w:t>
      </w:r>
      <w:r w:rsidR="00597FA2" w:rsidRPr="00973090">
        <w:rPr>
          <w:lang w:val="fr-CA"/>
        </w:rPr>
        <w:t xml:space="preserve">  </w:t>
      </w:r>
    </w:p>
    <w:p w14:paraId="3A097C71" w14:textId="7214B1D3" w:rsidR="00B525F0" w:rsidRPr="00973090" w:rsidRDefault="007E41D1" w:rsidP="00961A83">
      <w:pPr>
        <w:pStyle w:val="AParaNumbering"/>
        <w:rPr>
          <w:lang w:val="fr-CA"/>
        </w:rPr>
      </w:pPr>
      <w:r w:rsidRPr="00973090">
        <w:rPr>
          <w:lang w:val="fr-CA"/>
        </w:rPr>
        <w:t>L’article</w:t>
      </w:r>
      <w:r w:rsidR="00B525F0" w:rsidRPr="00973090">
        <w:rPr>
          <w:lang w:val="fr-CA"/>
        </w:rPr>
        <w:t xml:space="preserve"> 32 </w:t>
      </w:r>
      <w:r w:rsidRPr="00973090">
        <w:rPr>
          <w:lang w:val="fr-CA"/>
        </w:rPr>
        <w:t xml:space="preserve">de la </w:t>
      </w:r>
      <w:r w:rsidRPr="00973090">
        <w:rPr>
          <w:i/>
          <w:lang w:val="fr-CA"/>
        </w:rPr>
        <w:t>C</w:t>
      </w:r>
      <w:r w:rsidR="00B525F0" w:rsidRPr="00973090">
        <w:rPr>
          <w:i/>
          <w:lang w:val="fr-CA"/>
        </w:rPr>
        <w:t xml:space="preserve">harte </w:t>
      </w:r>
      <w:r w:rsidR="00B97DFE" w:rsidRPr="00973090">
        <w:rPr>
          <w:lang w:val="fr-CA"/>
        </w:rPr>
        <w:t xml:space="preserve">stipule que ses dispositions s’appliquent au Parlement et au gouvernement du Canada, ainsi qu’à la législature et au gouvernement de chaque province. En conséquence, pour que le juge Keast parvienne à exclure les textos au motif qu’ils ont été obtenus en violation de ses droits protégés par la </w:t>
      </w:r>
      <w:r w:rsidR="00B97DFE" w:rsidRPr="005E4051">
        <w:rPr>
          <w:i/>
          <w:lang w:val="fr-CA"/>
        </w:rPr>
        <w:t>Charte</w:t>
      </w:r>
      <w:r w:rsidR="00B97DFE" w:rsidRPr="00973090">
        <w:rPr>
          <w:lang w:val="fr-CA"/>
        </w:rPr>
        <w:t>, il devait établir que la fouille ou la saisie des textos avait été effectuée par le gouv</w:t>
      </w:r>
      <w:r w:rsidR="00C02404" w:rsidRPr="00973090">
        <w:rPr>
          <w:lang w:val="fr-CA"/>
        </w:rPr>
        <w:t>e</w:t>
      </w:r>
      <w:r w:rsidR="00B97DFE" w:rsidRPr="00973090">
        <w:rPr>
          <w:lang w:val="fr-CA"/>
        </w:rPr>
        <w:t>rnement ou par une personne agissant au nom du gouvernement</w:t>
      </w:r>
      <w:r w:rsidR="00D545A2" w:rsidRPr="00973090">
        <w:rPr>
          <w:lang w:val="fr-CA"/>
        </w:rPr>
        <w:t xml:space="preserve">. </w:t>
      </w:r>
      <w:r w:rsidR="00B97DFE" w:rsidRPr="00973090">
        <w:rPr>
          <w:lang w:val="fr-CA"/>
        </w:rPr>
        <w:t>Voir l’arrêt</w:t>
      </w:r>
      <w:r w:rsidR="00D545A2" w:rsidRPr="00973090">
        <w:rPr>
          <w:lang w:val="fr-CA"/>
        </w:rPr>
        <w:t xml:space="preserve"> </w:t>
      </w:r>
      <w:r w:rsidR="00D545A2" w:rsidRPr="00973090">
        <w:rPr>
          <w:i/>
          <w:lang w:val="fr-CA"/>
        </w:rPr>
        <w:t xml:space="preserve">R. </w:t>
      </w:r>
      <w:r w:rsidR="00B97DFE" w:rsidRPr="00973090">
        <w:rPr>
          <w:i/>
          <w:lang w:val="fr-CA"/>
        </w:rPr>
        <w:t>c</w:t>
      </w:r>
      <w:r w:rsidR="00D545A2" w:rsidRPr="00973090">
        <w:rPr>
          <w:i/>
          <w:lang w:val="fr-CA"/>
        </w:rPr>
        <w:t>. Buhay</w:t>
      </w:r>
      <w:r w:rsidR="00D545A2" w:rsidRPr="00973090">
        <w:rPr>
          <w:lang w:val="fr-CA"/>
        </w:rPr>
        <w:t xml:space="preserve">, [2003] 1 </w:t>
      </w:r>
      <w:r w:rsidR="00B97DFE" w:rsidRPr="00973090">
        <w:rPr>
          <w:lang w:val="fr-CA"/>
        </w:rPr>
        <w:t>R</w:t>
      </w:r>
      <w:r w:rsidR="00D545A2" w:rsidRPr="00973090">
        <w:rPr>
          <w:lang w:val="fr-CA"/>
        </w:rPr>
        <w:t>.C.</w:t>
      </w:r>
      <w:r w:rsidR="00B97DFE" w:rsidRPr="00973090">
        <w:rPr>
          <w:lang w:val="fr-CA"/>
        </w:rPr>
        <w:t>S</w:t>
      </w:r>
      <w:r w:rsidR="00D545A2" w:rsidRPr="00973090">
        <w:rPr>
          <w:lang w:val="fr-CA"/>
        </w:rPr>
        <w:t xml:space="preserve">. 631, 2003 </w:t>
      </w:r>
      <w:r w:rsidR="00B97DFE" w:rsidRPr="00973090">
        <w:rPr>
          <w:lang w:val="fr-CA"/>
        </w:rPr>
        <w:t>CSC</w:t>
      </w:r>
      <w:r w:rsidR="00D545A2" w:rsidRPr="00973090">
        <w:rPr>
          <w:lang w:val="fr-CA"/>
        </w:rPr>
        <w:t xml:space="preserve"> 30, </w:t>
      </w:r>
      <w:r w:rsidR="00B97DFE" w:rsidRPr="00973090">
        <w:rPr>
          <w:lang w:val="fr-CA"/>
        </w:rPr>
        <w:t>au</w:t>
      </w:r>
      <w:r w:rsidR="00D545A2" w:rsidRPr="00973090">
        <w:rPr>
          <w:lang w:val="fr-CA"/>
        </w:rPr>
        <w:t xml:space="preserve"> para. 25.</w:t>
      </w:r>
      <w:r w:rsidR="001F555E" w:rsidRPr="00973090">
        <w:rPr>
          <w:lang w:val="fr-CA"/>
        </w:rPr>
        <w:t xml:space="preserve"> </w:t>
      </w:r>
      <w:r w:rsidR="00B97DFE" w:rsidRPr="00973090">
        <w:rPr>
          <w:lang w:val="fr-CA"/>
        </w:rPr>
        <w:t xml:space="preserve">Il </w:t>
      </w:r>
      <w:r w:rsidR="005E4051">
        <w:rPr>
          <w:lang w:val="fr-CA"/>
        </w:rPr>
        <w:t>ne l’a pas fait</w:t>
      </w:r>
      <w:r w:rsidR="001F555E" w:rsidRPr="00973090">
        <w:rPr>
          <w:lang w:val="fr-CA"/>
        </w:rPr>
        <w:t>.</w:t>
      </w:r>
    </w:p>
    <w:p w14:paraId="18F7D591" w14:textId="4E2270D4" w:rsidR="006C4918" w:rsidRPr="00973090" w:rsidRDefault="001F555E" w:rsidP="00961A83">
      <w:pPr>
        <w:pStyle w:val="AParaNumbering"/>
        <w:rPr>
          <w:lang w:val="fr-CA"/>
        </w:rPr>
      </w:pPr>
      <w:r w:rsidRPr="00973090">
        <w:rPr>
          <w:lang w:val="fr-CA"/>
        </w:rPr>
        <w:t xml:space="preserve"> </w:t>
      </w:r>
      <w:r w:rsidR="00295FBF" w:rsidRPr="00973090">
        <w:rPr>
          <w:lang w:val="fr-CA"/>
        </w:rPr>
        <w:t xml:space="preserve">C’est pourquoi, on ne peut pas dire que les textos ont été obtenus d’une manière qui porte atteinte aux droits du juge Keast protégés par la </w:t>
      </w:r>
      <w:r w:rsidR="00760A60" w:rsidRPr="00973090">
        <w:rPr>
          <w:i/>
          <w:lang w:val="fr-CA"/>
        </w:rPr>
        <w:t xml:space="preserve">Charte </w:t>
      </w:r>
      <w:r w:rsidR="00295FBF" w:rsidRPr="00973090">
        <w:rPr>
          <w:lang w:val="fr-CA"/>
        </w:rPr>
        <w:t>et le paragraphe </w:t>
      </w:r>
      <w:r w:rsidR="00D92E7A" w:rsidRPr="00973090">
        <w:rPr>
          <w:lang w:val="fr-CA"/>
        </w:rPr>
        <w:t>24</w:t>
      </w:r>
      <w:r w:rsidR="00295FBF" w:rsidRPr="00973090">
        <w:rPr>
          <w:lang w:val="fr-CA"/>
        </w:rPr>
        <w:t> </w:t>
      </w:r>
      <w:r w:rsidR="00D92E7A" w:rsidRPr="00973090">
        <w:rPr>
          <w:lang w:val="fr-CA"/>
        </w:rPr>
        <w:t xml:space="preserve">(2) </w:t>
      </w:r>
      <w:r w:rsidR="00295FBF" w:rsidRPr="00973090">
        <w:rPr>
          <w:lang w:val="fr-CA"/>
        </w:rPr>
        <w:t xml:space="preserve">de la </w:t>
      </w:r>
      <w:r w:rsidR="005B4309" w:rsidRPr="00973090">
        <w:rPr>
          <w:i/>
          <w:lang w:val="fr-CA"/>
        </w:rPr>
        <w:t xml:space="preserve">Charte </w:t>
      </w:r>
      <w:r w:rsidR="00295FBF" w:rsidRPr="00973090">
        <w:rPr>
          <w:lang w:val="fr-CA"/>
        </w:rPr>
        <w:t>ne s’applique pas</w:t>
      </w:r>
      <w:r w:rsidR="00D92E7A" w:rsidRPr="00973090">
        <w:rPr>
          <w:lang w:val="fr-CA"/>
        </w:rPr>
        <w:t>.</w:t>
      </w:r>
      <w:r w:rsidR="00597FA2" w:rsidRPr="00973090">
        <w:rPr>
          <w:lang w:val="fr-CA"/>
        </w:rPr>
        <w:t xml:space="preserve"> </w:t>
      </w:r>
    </w:p>
    <w:p w14:paraId="76C8DF55" w14:textId="779097FF" w:rsidR="006C4918" w:rsidRPr="00973090" w:rsidRDefault="00295FBF" w:rsidP="006C4918">
      <w:pPr>
        <w:pStyle w:val="AParaNumbering"/>
        <w:rPr>
          <w:lang w:val="fr-CA"/>
        </w:rPr>
      </w:pPr>
      <w:r w:rsidRPr="00973090">
        <w:rPr>
          <w:lang w:val="fr-CA"/>
        </w:rPr>
        <w:t>Nous concluons ce sujet en relevant que, de toute façon, dans une audience devant établir l’existence d’une inconduite judiciaire, il est pratiquement inconcevable que l’administration de la justice soit mieux servie par l’exclusion de la preuve de l’inconduite présumée</w:t>
      </w:r>
      <w:r w:rsidR="008E6C48" w:rsidRPr="00973090">
        <w:rPr>
          <w:lang w:val="fr-CA"/>
        </w:rPr>
        <w:t xml:space="preserve">, </w:t>
      </w:r>
      <w:r w:rsidRPr="00973090">
        <w:rPr>
          <w:lang w:val="fr-CA"/>
        </w:rPr>
        <w:t>au lieu de son admission</w:t>
      </w:r>
      <w:r w:rsidR="006C4918" w:rsidRPr="00973090">
        <w:rPr>
          <w:lang w:val="fr-CA"/>
        </w:rPr>
        <w:t>.</w:t>
      </w:r>
    </w:p>
    <w:p w14:paraId="132CC0E9" w14:textId="5B714EEF" w:rsidR="00D92E7A" w:rsidRPr="00973090" w:rsidRDefault="00295FBF" w:rsidP="003143B1">
      <w:pPr>
        <w:pStyle w:val="AParaNumbering"/>
        <w:rPr>
          <w:lang w:val="fr-CA"/>
        </w:rPr>
      </w:pPr>
      <w:r w:rsidRPr="00973090">
        <w:rPr>
          <w:lang w:val="fr-CA"/>
        </w:rPr>
        <w:t>Le comité d’audience souhaite exposer deux autres arguments</w:t>
      </w:r>
      <w:r w:rsidR="008E6C48" w:rsidRPr="00973090">
        <w:rPr>
          <w:lang w:val="fr-CA"/>
        </w:rPr>
        <w:t>.</w:t>
      </w:r>
      <w:r w:rsidR="00D92E7A" w:rsidRPr="00973090">
        <w:rPr>
          <w:lang w:val="fr-CA"/>
        </w:rPr>
        <w:t xml:space="preserve">  </w:t>
      </w:r>
    </w:p>
    <w:p w14:paraId="36F15607" w14:textId="0D1FB8E9" w:rsidR="005E0274" w:rsidRPr="00973090" w:rsidRDefault="00295FBF" w:rsidP="003143B1">
      <w:pPr>
        <w:pStyle w:val="AParaNumbering"/>
        <w:rPr>
          <w:lang w:val="fr-CA"/>
        </w:rPr>
      </w:pPr>
      <w:r w:rsidRPr="00973090">
        <w:rPr>
          <w:lang w:val="fr-CA"/>
        </w:rPr>
        <w:t>Premièrement, le dossier n’appuie pas la déclaration selon laquelle la SAE a</w:t>
      </w:r>
      <w:r w:rsidR="005E4051">
        <w:rPr>
          <w:lang w:val="fr-CA"/>
        </w:rPr>
        <w:t>urait</w:t>
      </w:r>
      <w:r w:rsidRPr="00973090">
        <w:rPr>
          <w:lang w:val="fr-CA"/>
        </w:rPr>
        <w:t xml:space="preserve"> assuré à l’individu que les textos ne seraient pas divulgués à </w:t>
      </w:r>
      <w:r w:rsidR="005E4051">
        <w:rPr>
          <w:lang w:val="fr-CA"/>
        </w:rPr>
        <w:t xml:space="preserve">des personnes extérieures </w:t>
      </w:r>
      <w:r w:rsidRPr="00973090">
        <w:rPr>
          <w:lang w:val="fr-CA"/>
        </w:rPr>
        <w:t xml:space="preserve">à la SAE. Au contraire, </w:t>
      </w:r>
      <w:r w:rsidR="00702DA7" w:rsidRPr="00973090">
        <w:rPr>
          <w:lang w:val="fr-CA"/>
        </w:rPr>
        <w:t xml:space="preserve">la transcription des réunions au cours desquelles les textos ont été remis à la SAE indique clairement que l’individu a volontairement donné à la SAE les textos, même en l’absence d’un engagement de </w:t>
      </w:r>
      <w:r w:rsidR="005E4051">
        <w:rPr>
          <w:lang w:val="fr-CA"/>
        </w:rPr>
        <w:t>non-divulgation de la part de la SAE,</w:t>
      </w:r>
      <w:r w:rsidR="00702DA7" w:rsidRPr="00973090">
        <w:rPr>
          <w:lang w:val="fr-CA"/>
        </w:rPr>
        <w:t xml:space="preserve"> en sachant que la </w:t>
      </w:r>
      <w:r w:rsidR="005E4051">
        <w:rPr>
          <w:lang w:val="fr-CA"/>
        </w:rPr>
        <w:t>divulgation</w:t>
      </w:r>
      <w:r w:rsidR="00702DA7" w:rsidRPr="00973090">
        <w:rPr>
          <w:lang w:val="fr-CA"/>
        </w:rPr>
        <w:t xml:space="preserve"> des textos </w:t>
      </w:r>
      <w:r w:rsidR="00ED0F59" w:rsidRPr="00973090">
        <w:rPr>
          <w:lang w:val="fr-CA"/>
        </w:rPr>
        <w:t>pourrait avoir un effet préjudiciable sur la position judiciaire du juge Keast</w:t>
      </w:r>
      <w:r w:rsidR="00C54540" w:rsidRPr="00973090">
        <w:rPr>
          <w:lang w:val="fr-CA"/>
        </w:rPr>
        <w:t xml:space="preserve">.  </w:t>
      </w:r>
    </w:p>
    <w:p w14:paraId="637E2AE6" w14:textId="180AF982" w:rsidR="00F413BA" w:rsidRPr="00973090" w:rsidRDefault="00ED0F59" w:rsidP="00961A83">
      <w:pPr>
        <w:pStyle w:val="AParaNumbering"/>
        <w:rPr>
          <w:lang w:val="fr-CA"/>
        </w:rPr>
      </w:pPr>
      <w:r w:rsidRPr="00973090">
        <w:rPr>
          <w:lang w:val="fr-CA"/>
        </w:rPr>
        <w:t>Deuxièmement, la conduite de la SAE tout au long de cette affaire a été exemplaire. Depuis le moment o</w:t>
      </w:r>
      <w:r w:rsidRPr="00973090">
        <w:rPr>
          <w:rFonts w:cs="Arial"/>
          <w:lang w:val="fr-CA"/>
        </w:rPr>
        <w:t xml:space="preserve">ù l’individu a contacté la SAE pour la première fois afin de lui communiquer la copie des textos jusqu’au dépôt de la plainte de la SAE auprès du Conseil, la SAE s’est acquittée de ses obligations avec une intégrité remarquable. La SAE </w:t>
      </w:r>
      <w:r w:rsidR="005E4051">
        <w:rPr>
          <w:lang w:val="fr-CA"/>
        </w:rPr>
        <w:t xml:space="preserve">a </w:t>
      </w:r>
      <w:r w:rsidRPr="00973090">
        <w:rPr>
          <w:lang w:val="fr-CA"/>
        </w:rPr>
        <w:t>fai</w:t>
      </w:r>
      <w:r w:rsidR="005E4051">
        <w:rPr>
          <w:lang w:val="fr-CA"/>
        </w:rPr>
        <w:t>t</w:t>
      </w:r>
      <w:r w:rsidRPr="00973090">
        <w:rPr>
          <w:lang w:val="fr-CA"/>
        </w:rPr>
        <w:t xml:space="preserve"> preuve du même niveau d’intégrité et de sensibilité à l’égard des divers arguments et intérêts contradictoires soulevés </w:t>
      </w:r>
      <w:r w:rsidR="005E4051">
        <w:rPr>
          <w:lang w:val="fr-CA"/>
        </w:rPr>
        <w:t>tout au long de</w:t>
      </w:r>
      <w:r w:rsidRPr="00973090">
        <w:rPr>
          <w:lang w:val="fr-CA"/>
        </w:rPr>
        <w:t xml:space="preserve"> l’audience</w:t>
      </w:r>
      <w:r w:rsidR="0028324B" w:rsidRPr="00973090">
        <w:rPr>
          <w:lang w:val="fr-CA"/>
        </w:rPr>
        <w:t>.</w:t>
      </w:r>
    </w:p>
    <w:p w14:paraId="7A40AA05" w14:textId="304D0F1B" w:rsidR="003143B1" w:rsidRPr="00973090" w:rsidRDefault="003975CE" w:rsidP="003143B1">
      <w:pPr>
        <w:pStyle w:val="AParaNumbering"/>
        <w:numPr>
          <w:ilvl w:val="0"/>
          <w:numId w:val="0"/>
        </w:numPr>
        <w:rPr>
          <w:b/>
          <w:lang w:val="fr-CA"/>
        </w:rPr>
      </w:pPr>
      <w:r w:rsidRPr="00973090">
        <w:rPr>
          <w:b/>
          <w:lang w:val="fr-CA"/>
        </w:rPr>
        <w:t>ANALYS</w:t>
      </w:r>
      <w:r w:rsidR="00ED0F59" w:rsidRPr="00973090">
        <w:rPr>
          <w:b/>
          <w:lang w:val="fr-CA"/>
        </w:rPr>
        <w:t>E</w:t>
      </w:r>
      <w:r w:rsidR="00F832FA" w:rsidRPr="00973090">
        <w:rPr>
          <w:b/>
          <w:lang w:val="fr-CA"/>
        </w:rPr>
        <w:t xml:space="preserve"> </w:t>
      </w:r>
      <w:r w:rsidR="003143B1" w:rsidRPr="00973090">
        <w:rPr>
          <w:b/>
          <w:lang w:val="fr-CA"/>
        </w:rPr>
        <w:t xml:space="preserve"> </w:t>
      </w:r>
    </w:p>
    <w:p w14:paraId="1DC7744F" w14:textId="69FD019A" w:rsidR="003143B1" w:rsidRPr="00973090" w:rsidRDefault="003975CE" w:rsidP="003975CE">
      <w:pPr>
        <w:pStyle w:val="AParaNumbering"/>
        <w:numPr>
          <w:ilvl w:val="0"/>
          <w:numId w:val="0"/>
        </w:numPr>
        <w:rPr>
          <w:b/>
          <w:lang w:val="fr-CA"/>
        </w:rPr>
      </w:pPr>
      <w:r w:rsidRPr="00973090">
        <w:rPr>
          <w:b/>
          <w:lang w:val="fr-CA"/>
        </w:rPr>
        <w:t>1.</w:t>
      </w:r>
      <w:r w:rsidR="00B300D3" w:rsidRPr="00973090">
        <w:rPr>
          <w:b/>
          <w:lang w:val="fr-CA"/>
        </w:rPr>
        <w:t xml:space="preserve">  </w:t>
      </w:r>
      <w:r w:rsidR="0046781A">
        <w:rPr>
          <w:b/>
          <w:lang w:val="fr-CA"/>
        </w:rPr>
        <w:t>P</w:t>
      </w:r>
      <w:r w:rsidR="00534523" w:rsidRPr="00973090">
        <w:rPr>
          <w:b/>
          <w:lang w:val="fr-CA"/>
        </w:rPr>
        <w:t>rincipes juridiques pertinents</w:t>
      </w:r>
      <w:r w:rsidRPr="00973090">
        <w:rPr>
          <w:b/>
          <w:lang w:val="fr-CA"/>
        </w:rPr>
        <w:t xml:space="preserve"> </w:t>
      </w:r>
    </w:p>
    <w:p w14:paraId="07C5C329" w14:textId="53EDEAC3" w:rsidR="0095546D" w:rsidRPr="00973090" w:rsidRDefault="00534523" w:rsidP="003143B1">
      <w:pPr>
        <w:pStyle w:val="AParaNumbering"/>
        <w:rPr>
          <w:lang w:val="fr-CA"/>
        </w:rPr>
      </w:pPr>
      <w:r w:rsidRPr="00973090">
        <w:rPr>
          <w:rFonts w:cs="Arial"/>
          <w:szCs w:val="26"/>
          <w:lang w:val="fr-CA"/>
        </w:rPr>
        <w:t>Si, comme en l’espèce, le Conseil de la magistrature conclut que le juge a commis une inconduite jud</w:t>
      </w:r>
      <w:r w:rsidR="00370EA8">
        <w:rPr>
          <w:rFonts w:cs="Arial"/>
          <w:szCs w:val="26"/>
          <w:lang w:val="fr-CA"/>
        </w:rPr>
        <w:t>i</w:t>
      </w:r>
      <w:r w:rsidRPr="00973090">
        <w:rPr>
          <w:rFonts w:cs="Arial"/>
          <w:szCs w:val="26"/>
          <w:lang w:val="fr-CA"/>
        </w:rPr>
        <w:t>ciaire</w:t>
      </w:r>
      <w:r w:rsidR="0028324B" w:rsidRPr="00973090">
        <w:rPr>
          <w:rFonts w:cs="Arial"/>
          <w:szCs w:val="26"/>
          <w:lang w:val="fr-CA"/>
        </w:rPr>
        <w:t xml:space="preserve">, </w:t>
      </w:r>
      <w:r w:rsidRPr="00973090">
        <w:rPr>
          <w:rFonts w:cs="Arial"/>
          <w:szCs w:val="26"/>
          <w:lang w:val="fr-CA"/>
        </w:rPr>
        <w:t>le par</w:t>
      </w:r>
      <w:r w:rsidR="0095546D" w:rsidRPr="00973090">
        <w:rPr>
          <w:rFonts w:cs="Arial"/>
          <w:szCs w:val="26"/>
          <w:lang w:val="fr-CA"/>
        </w:rPr>
        <w:t xml:space="preserve">. </w:t>
      </w:r>
      <w:r w:rsidR="003051F3" w:rsidRPr="00973090">
        <w:rPr>
          <w:rFonts w:cs="Arial"/>
          <w:szCs w:val="26"/>
          <w:lang w:val="fr-CA"/>
        </w:rPr>
        <w:t>51.6</w:t>
      </w:r>
      <w:r w:rsidRPr="00973090">
        <w:rPr>
          <w:rFonts w:cs="Arial"/>
          <w:szCs w:val="26"/>
          <w:lang w:val="fr-CA"/>
        </w:rPr>
        <w:t xml:space="preserve"> </w:t>
      </w:r>
      <w:r w:rsidR="003051F3" w:rsidRPr="00973090">
        <w:rPr>
          <w:rFonts w:cs="Arial"/>
          <w:szCs w:val="26"/>
          <w:lang w:val="fr-CA"/>
        </w:rPr>
        <w:t>(11)</w:t>
      </w:r>
      <w:r w:rsidR="00B300D3" w:rsidRPr="00973090">
        <w:rPr>
          <w:rFonts w:cs="Arial"/>
          <w:szCs w:val="26"/>
          <w:lang w:val="fr-CA"/>
        </w:rPr>
        <w:t xml:space="preserve"> </w:t>
      </w:r>
      <w:r w:rsidRPr="00973090">
        <w:rPr>
          <w:rFonts w:cs="Arial"/>
          <w:szCs w:val="26"/>
          <w:lang w:val="fr-CA"/>
        </w:rPr>
        <w:t>de la Loi lui confère le pouvoir de</w:t>
      </w:r>
      <w:r w:rsidR="005E4051">
        <w:rPr>
          <w:rFonts w:cs="Arial"/>
          <w:szCs w:val="26"/>
          <w:lang w:val="fr-CA"/>
        </w:rPr>
        <w:t xml:space="preserve"> prendre les mesures suivantes</w:t>
      </w:r>
      <w:r w:rsidRPr="00973090">
        <w:rPr>
          <w:rFonts w:cs="Arial"/>
          <w:szCs w:val="26"/>
          <w:lang w:val="fr-CA"/>
        </w:rPr>
        <w:t>, selon le cas </w:t>
      </w:r>
      <w:r w:rsidR="0095546D" w:rsidRPr="00973090">
        <w:rPr>
          <w:rFonts w:cs="Arial"/>
          <w:szCs w:val="26"/>
          <w:lang w:val="fr-CA"/>
        </w:rPr>
        <w:t>:</w:t>
      </w:r>
    </w:p>
    <w:p w14:paraId="48DCA1CF" w14:textId="60444708" w:rsidR="003051F3" w:rsidRPr="00973090" w:rsidRDefault="003051F3" w:rsidP="003C3864">
      <w:pPr>
        <w:pStyle w:val="AParaNumbering"/>
        <w:numPr>
          <w:ilvl w:val="0"/>
          <w:numId w:val="0"/>
        </w:numPr>
        <w:ind w:firstLine="720"/>
        <w:rPr>
          <w:lang w:val="fr-CA"/>
        </w:rPr>
      </w:pPr>
      <w:r w:rsidRPr="00973090">
        <w:rPr>
          <w:lang w:val="fr-CA"/>
        </w:rPr>
        <w:t xml:space="preserve">a) </w:t>
      </w:r>
      <w:r w:rsidR="0025447F" w:rsidRPr="00973090">
        <w:rPr>
          <w:lang w:val="fr-CA"/>
        </w:rPr>
        <w:t xml:space="preserve"> </w:t>
      </w:r>
      <w:r w:rsidR="00534523" w:rsidRPr="00973090">
        <w:rPr>
          <w:rFonts w:cs="Arial"/>
          <w:lang w:val="fr-CA"/>
        </w:rPr>
        <w:t>donner un avertissement au juge</w:t>
      </w:r>
      <w:r w:rsidRPr="00973090">
        <w:rPr>
          <w:lang w:val="fr-CA"/>
        </w:rPr>
        <w:t>;</w:t>
      </w:r>
    </w:p>
    <w:p w14:paraId="53385897" w14:textId="2F49BAB9" w:rsidR="003051F3" w:rsidRPr="00973090" w:rsidRDefault="003051F3" w:rsidP="003C3864">
      <w:pPr>
        <w:pStyle w:val="AParaNumbering"/>
        <w:numPr>
          <w:ilvl w:val="0"/>
          <w:numId w:val="0"/>
        </w:numPr>
        <w:ind w:firstLine="720"/>
        <w:rPr>
          <w:lang w:val="fr-CA"/>
        </w:rPr>
      </w:pPr>
      <w:r w:rsidRPr="00973090">
        <w:rPr>
          <w:lang w:val="fr-CA"/>
        </w:rPr>
        <w:t xml:space="preserve">b) </w:t>
      </w:r>
      <w:r w:rsidR="0025447F" w:rsidRPr="00973090">
        <w:rPr>
          <w:lang w:val="fr-CA"/>
        </w:rPr>
        <w:t xml:space="preserve"> </w:t>
      </w:r>
      <w:r w:rsidR="00534523" w:rsidRPr="00973090">
        <w:rPr>
          <w:rFonts w:cs="Arial"/>
          <w:lang w:val="fr-CA"/>
        </w:rPr>
        <w:t>réprimander le juge</w:t>
      </w:r>
      <w:r w:rsidRPr="00973090">
        <w:rPr>
          <w:lang w:val="fr-CA"/>
        </w:rPr>
        <w:t>;</w:t>
      </w:r>
    </w:p>
    <w:p w14:paraId="33AB8341" w14:textId="5D4716BC" w:rsidR="003051F3" w:rsidRPr="00973090" w:rsidRDefault="003051F3" w:rsidP="00F94FF3">
      <w:pPr>
        <w:pStyle w:val="AParaNumbering"/>
        <w:numPr>
          <w:ilvl w:val="0"/>
          <w:numId w:val="0"/>
        </w:numPr>
        <w:ind w:left="709" w:firstLine="11"/>
        <w:rPr>
          <w:lang w:val="fr-CA"/>
        </w:rPr>
      </w:pPr>
      <w:r w:rsidRPr="00973090">
        <w:rPr>
          <w:lang w:val="fr-CA"/>
        </w:rPr>
        <w:t xml:space="preserve">c) </w:t>
      </w:r>
      <w:r w:rsidR="00F94FF3">
        <w:rPr>
          <w:lang w:val="fr-CA"/>
        </w:rPr>
        <w:t xml:space="preserve"> </w:t>
      </w:r>
      <w:r w:rsidR="00534523" w:rsidRPr="00973090">
        <w:rPr>
          <w:rFonts w:cs="Arial"/>
          <w:lang w:val="fr-CA"/>
        </w:rPr>
        <w:t>ordonner au juge de présenter des excuses au plaignant ou à toute autre personne</w:t>
      </w:r>
      <w:r w:rsidRPr="00973090">
        <w:rPr>
          <w:lang w:val="fr-CA"/>
        </w:rPr>
        <w:t>;</w:t>
      </w:r>
    </w:p>
    <w:p w14:paraId="55D72BC1" w14:textId="0B40251C" w:rsidR="003051F3" w:rsidRPr="00973090" w:rsidRDefault="003051F3" w:rsidP="003C3864">
      <w:pPr>
        <w:pStyle w:val="AParaNumbering"/>
        <w:numPr>
          <w:ilvl w:val="0"/>
          <w:numId w:val="0"/>
        </w:numPr>
        <w:ind w:left="720"/>
        <w:rPr>
          <w:lang w:val="fr-CA"/>
        </w:rPr>
      </w:pPr>
      <w:r w:rsidRPr="00973090">
        <w:rPr>
          <w:lang w:val="fr-CA"/>
        </w:rPr>
        <w:t xml:space="preserve">d) </w:t>
      </w:r>
      <w:r w:rsidR="00F94FF3">
        <w:rPr>
          <w:lang w:val="fr-CA"/>
        </w:rPr>
        <w:t xml:space="preserve"> </w:t>
      </w:r>
      <w:r w:rsidR="00534523" w:rsidRPr="00973090">
        <w:rPr>
          <w:rFonts w:cs="Arial"/>
          <w:lang w:val="fr-CA"/>
        </w:rPr>
        <w:t>ordonner que le juge prenne des dispositions précises, telles suivre une formation ou un traitement, comme condition pour continuer de siéger à titre de juge</w:t>
      </w:r>
      <w:r w:rsidRPr="00973090">
        <w:rPr>
          <w:lang w:val="fr-CA"/>
        </w:rPr>
        <w:t>;</w:t>
      </w:r>
    </w:p>
    <w:p w14:paraId="3AB66E78" w14:textId="3061052A" w:rsidR="003051F3" w:rsidRPr="00973090" w:rsidRDefault="003051F3" w:rsidP="00F94FF3">
      <w:pPr>
        <w:pStyle w:val="AParaNumbering"/>
        <w:numPr>
          <w:ilvl w:val="0"/>
          <w:numId w:val="0"/>
        </w:numPr>
        <w:ind w:left="709" w:firstLine="11"/>
        <w:rPr>
          <w:lang w:val="fr-CA"/>
        </w:rPr>
      </w:pPr>
      <w:r w:rsidRPr="00973090">
        <w:rPr>
          <w:lang w:val="fr-CA"/>
        </w:rPr>
        <w:t xml:space="preserve">e) </w:t>
      </w:r>
      <w:r w:rsidR="0025447F" w:rsidRPr="00973090">
        <w:rPr>
          <w:lang w:val="fr-CA"/>
        </w:rPr>
        <w:t xml:space="preserve"> </w:t>
      </w:r>
      <w:r w:rsidR="00534523" w:rsidRPr="00973090">
        <w:rPr>
          <w:rFonts w:cs="Arial"/>
          <w:lang w:val="fr-CA"/>
        </w:rPr>
        <w:t>suspendre le juge, avec rémunération, pendant une période quelle qu’elle soit</w:t>
      </w:r>
      <w:r w:rsidRPr="00973090">
        <w:rPr>
          <w:lang w:val="fr-CA"/>
        </w:rPr>
        <w:t>;</w:t>
      </w:r>
    </w:p>
    <w:p w14:paraId="03B8C5E4" w14:textId="56F7A5B8" w:rsidR="003051F3" w:rsidRPr="00973090" w:rsidRDefault="003051F3" w:rsidP="00FA3E4A">
      <w:pPr>
        <w:pStyle w:val="AParaNumbering"/>
        <w:numPr>
          <w:ilvl w:val="0"/>
          <w:numId w:val="0"/>
        </w:numPr>
        <w:ind w:left="720"/>
        <w:rPr>
          <w:lang w:val="fr-CA"/>
        </w:rPr>
      </w:pPr>
      <w:r w:rsidRPr="00973090">
        <w:rPr>
          <w:lang w:val="fr-CA"/>
        </w:rPr>
        <w:t xml:space="preserve">f) </w:t>
      </w:r>
      <w:r w:rsidR="0025447F" w:rsidRPr="00973090">
        <w:rPr>
          <w:lang w:val="fr-CA"/>
        </w:rPr>
        <w:t xml:space="preserve">  </w:t>
      </w:r>
      <w:r w:rsidR="00D50775" w:rsidRPr="00973090">
        <w:rPr>
          <w:lang w:val="fr-CA"/>
        </w:rPr>
        <w:t>suspendre le juge, sans rémunération mais avec avantages sociaux, pendant une période maximale de trente jours;</w:t>
      </w:r>
    </w:p>
    <w:p w14:paraId="628C7C90" w14:textId="56F12188" w:rsidR="003051F3" w:rsidRPr="00973090" w:rsidRDefault="003051F3" w:rsidP="00FA3E4A">
      <w:pPr>
        <w:pStyle w:val="AParaNumbering"/>
        <w:numPr>
          <w:ilvl w:val="0"/>
          <w:numId w:val="0"/>
        </w:numPr>
        <w:ind w:left="720"/>
        <w:rPr>
          <w:lang w:val="fr-CA"/>
        </w:rPr>
      </w:pPr>
      <w:r w:rsidRPr="00973090">
        <w:rPr>
          <w:lang w:val="fr-CA"/>
        </w:rPr>
        <w:t xml:space="preserve">g) </w:t>
      </w:r>
      <w:r w:rsidR="0025447F" w:rsidRPr="00973090">
        <w:rPr>
          <w:lang w:val="fr-CA"/>
        </w:rPr>
        <w:t xml:space="preserve"> </w:t>
      </w:r>
      <w:r w:rsidR="00D50775" w:rsidRPr="00973090">
        <w:rPr>
          <w:lang w:val="fr-CA"/>
        </w:rPr>
        <w:t>recommander au procureur général la destitution du juge conformément à l’article 51.8</w:t>
      </w:r>
      <w:r w:rsidRPr="00973090">
        <w:rPr>
          <w:lang w:val="fr-CA"/>
        </w:rPr>
        <w:t>.</w:t>
      </w:r>
    </w:p>
    <w:p w14:paraId="42939E1E" w14:textId="3598CA9E" w:rsidR="00DE6EA0" w:rsidRPr="00973090" w:rsidRDefault="00D50775" w:rsidP="00FA3E4A">
      <w:pPr>
        <w:pStyle w:val="AParaNumbering"/>
        <w:rPr>
          <w:lang w:val="fr-CA"/>
        </w:rPr>
      </w:pPr>
      <w:r w:rsidRPr="00973090">
        <w:rPr>
          <w:rFonts w:cs="Arial"/>
          <w:szCs w:val="26"/>
          <w:lang w:val="fr-CA"/>
        </w:rPr>
        <w:t xml:space="preserve">Le paragraphe </w:t>
      </w:r>
      <w:r w:rsidR="003051F3" w:rsidRPr="00973090">
        <w:rPr>
          <w:rFonts w:cs="Arial"/>
          <w:szCs w:val="26"/>
          <w:lang w:val="fr-CA"/>
        </w:rPr>
        <w:t>51.6</w:t>
      </w:r>
      <w:r w:rsidRPr="00973090">
        <w:rPr>
          <w:rFonts w:cs="Arial"/>
          <w:szCs w:val="26"/>
          <w:lang w:val="fr-CA"/>
        </w:rPr>
        <w:t xml:space="preserve"> </w:t>
      </w:r>
      <w:r w:rsidR="003051F3" w:rsidRPr="00973090">
        <w:rPr>
          <w:rFonts w:cs="Arial"/>
          <w:szCs w:val="26"/>
          <w:lang w:val="fr-CA"/>
        </w:rPr>
        <w:t xml:space="preserve">(12) </w:t>
      </w:r>
      <w:r w:rsidRPr="00973090">
        <w:rPr>
          <w:rFonts w:cs="Arial"/>
          <w:szCs w:val="26"/>
          <w:lang w:val="fr-CA"/>
        </w:rPr>
        <w:t xml:space="preserve">autorise le Conseil à </w:t>
      </w:r>
      <w:r w:rsidRPr="00973090">
        <w:rPr>
          <w:lang w:val="fr-CA"/>
        </w:rPr>
        <w:t xml:space="preserve">adopter toute combinaison </w:t>
      </w:r>
      <w:r w:rsidR="0046781A">
        <w:rPr>
          <w:lang w:val="fr-CA"/>
        </w:rPr>
        <w:t>des</w:t>
      </w:r>
      <w:r w:rsidRPr="00973090">
        <w:rPr>
          <w:lang w:val="fr-CA"/>
        </w:rPr>
        <w:t xml:space="preserve"> mesures</w:t>
      </w:r>
      <w:r w:rsidR="0046781A">
        <w:rPr>
          <w:lang w:val="fr-CA"/>
        </w:rPr>
        <w:t xml:space="preserve"> énoncées aux alinéas a) à f). Cependant, </w:t>
      </w:r>
      <w:r w:rsidRPr="00973090">
        <w:rPr>
          <w:lang w:val="fr-CA"/>
        </w:rPr>
        <w:t>une recommandation au procureur général que le juge soit destitué</w:t>
      </w:r>
      <w:r w:rsidR="0046781A">
        <w:rPr>
          <w:lang w:val="fr-CA"/>
        </w:rPr>
        <w:t xml:space="preserve">, alinéa g), </w:t>
      </w:r>
      <w:r w:rsidRPr="00973090">
        <w:rPr>
          <w:lang w:val="fr-CA"/>
        </w:rPr>
        <w:t>ne peut pas être combinée à une autre mesure</w:t>
      </w:r>
      <w:r w:rsidR="00C06C78" w:rsidRPr="00973090">
        <w:rPr>
          <w:rFonts w:cs="Arial"/>
          <w:szCs w:val="26"/>
          <w:lang w:val="fr-CA"/>
        </w:rPr>
        <w:t>.</w:t>
      </w:r>
    </w:p>
    <w:p w14:paraId="3425BDC4" w14:textId="6E2985BC" w:rsidR="003051F3" w:rsidRPr="00973090" w:rsidRDefault="00D50775" w:rsidP="00DE6EA0">
      <w:pPr>
        <w:pStyle w:val="AParaNumbering"/>
        <w:rPr>
          <w:lang w:val="fr-CA"/>
        </w:rPr>
      </w:pPr>
      <w:r w:rsidRPr="00973090">
        <w:rPr>
          <w:rFonts w:cs="Arial"/>
          <w:szCs w:val="26"/>
          <w:lang w:val="fr-CA"/>
        </w:rPr>
        <w:t xml:space="preserve">Dans la décision </w:t>
      </w:r>
      <w:r w:rsidR="003051F3" w:rsidRPr="00973090">
        <w:rPr>
          <w:rFonts w:cs="Arial"/>
          <w:i/>
          <w:szCs w:val="26"/>
          <w:lang w:val="fr-CA"/>
        </w:rPr>
        <w:t>Re Chisvin</w:t>
      </w:r>
      <w:r w:rsidR="003051F3" w:rsidRPr="00973090">
        <w:rPr>
          <w:rFonts w:cs="Arial"/>
          <w:szCs w:val="26"/>
          <w:lang w:val="fr-CA"/>
        </w:rPr>
        <w:t>, (</w:t>
      </w:r>
      <w:r w:rsidR="003779EB" w:rsidRPr="00973090">
        <w:rPr>
          <w:rFonts w:cs="Arial"/>
          <w:szCs w:val="26"/>
          <w:lang w:val="fr-CA"/>
        </w:rPr>
        <w:t>CJO</w:t>
      </w:r>
      <w:r w:rsidR="003051F3" w:rsidRPr="00973090">
        <w:rPr>
          <w:rFonts w:cs="Arial"/>
          <w:szCs w:val="26"/>
          <w:lang w:val="fr-CA"/>
        </w:rPr>
        <w:t xml:space="preserve">, </w:t>
      </w:r>
      <w:r w:rsidR="003779EB" w:rsidRPr="00973090">
        <w:rPr>
          <w:rFonts w:cs="Arial"/>
          <w:szCs w:val="26"/>
          <w:lang w:val="fr-CA"/>
        </w:rPr>
        <w:t xml:space="preserve">26 </w:t>
      </w:r>
      <w:r w:rsidR="00AF6C7C" w:rsidRPr="00973090">
        <w:rPr>
          <w:rFonts w:cs="Arial"/>
          <w:szCs w:val="26"/>
          <w:lang w:val="fr-CA"/>
        </w:rPr>
        <w:t xml:space="preserve">novembre </w:t>
      </w:r>
      <w:r w:rsidR="003051F3" w:rsidRPr="00973090">
        <w:rPr>
          <w:rFonts w:cs="Arial"/>
          <w:szCs w:val="26"/>
          <w:lang w:val="fr-CA"/>
        </w:rPr>
        <w:t xml:space="preserve">2012), </w:t>
      </w:r>
      <w:r w:rsidRPr="00973090">
        <w:rPr>
          <w:rFonts w:cs="Arial"/>
          <w:szCs w:val="26"/>
          <w:lang w:val="fr-CA"/>
        </w:rPr>
        <w:t xml:space="preserve">au </w:t>
      </w:r>
      <w:r w:rsidR="003051F3" w:rsidRPr="00973090">
        <w:rPr>
          <w:rFonts w:cs="Arial"/>
          <w:szCs w:val="26"/>
          <w:lang w:val="fr-CA"/>
        </w:rPr>
        <w:t xml:space="preserve">para. 38, </w:t>
      </w:r>
      <w:r w:rsidRPr="00973090">
        <w:rPr>
          <w:rFonts w:cs="Arial"/>
          <w:szCs w:val="26"/>
          <w:lang w:val="fr-CA"/>
        </w:rPr>
        <w:t xml:space="preserve">le Conseil énonce les facteurs suivants comme pertinents pour évaluer la sanction </w:t>
      </w:r>
      <w:r w:rsidR="00AF6C7C" w:rsidRPr="00973090">
        <w:rPr>
          <w:rFonts w:cs="Arial"/>
          <w:szCs w:val="26"/>
          <w:lang w:val="fr-CA"/>
        </w:rPr>
        <w:t xml:space="preserve">appropriée en cas d’inconduite judiciaire </w:t>
      </w:r>
      <w:r w:rsidR="003051F3" w:rsidRPr="00973090">
        <w:rPr>
          <w:rFonts w:cs="Arial"/>
          <w:szCs w:val="26"/>
          <w:lang w:val="fr-CA"/>
        </w:rPr>
        <w:t>:</w:t>
      </w:r>
    </w:p>
    <w:p w14:paraId="26EDCC04" w14:textId="43D6E2E7"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Si l'inconduite est un incident isolé ou si elle s'inscrit dans une suite d'inconduites</w:t>
      </w:r>
      <w:r w:rsidR="003051F3" w:rsidRPr="00973090">
        <w:rPr>
          <w:lang w:val="fr-CA"/>
        </w:rPr>
        <w:t>;</w:t>
      </w:r>
    </w:p>
    <w:p w14:paraId="0BB877B1" w14:textId="3E27B06C"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La nature, l'étendue et la fréquence des actes d'inconduite</w:t>
      </w:r>
      <w:r w:rsidR="003051F3" w:rsidRPr="00973090">
        <w:rPr>
          <w:lang w:val="fr-CA"/>
        </w:rPr>
        <w:t>;</w:t>
      </w:r>
    </w:p>
    <w:p w14:paraId="3ED48AA8" w14:textId="76D10363"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Si la conduite s'est produite à l'intérieur ou à l'extérieur de la salle d'audience</w:t>
      </w:r>
      <w:r w:rsidR="003051F3" w:rsidRPr="00973090">
        <w:rPr>
          <w:lang w:val="fr-CA"/>
        </w:rPr>
        <w:t>;</w:t>
      </w:r>
    </w:p>
    <w:p w14:paraId="7AD82233" w14:textId="24F12B6B"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Si l'inconduite a eu lieu dans l'exercice des fonctions du juge ou dans sa vie privée</w:t>
      </w:r>
      <w:r w:rsidR="003051F3" w:rsidRPr="00973090">
        <w:rPr>
          <w:lang w:val="fr-CA"/>
        </w:rPr>
        <w:t>;</w:t>
      </w:r>
    </w:p>
    <w:p w14:paraId="50A4F031" w14:textId="0302623A"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Si le juge a reconnu que les faits ont eu lieu</w:t>
      </w:r>
      <w:r w:rsidR="003051F3" w:rsidRPr="00973090">
        <w:rPr>
          <w:lang w:val="fr-CA"/>
        </w:rPr>
        <w:t>;</w:t>
      </w:r>
    </w:p>
    <w:p w14:paraId="629F76C5" w14:textId="2C492FA9"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Si le juge a démontré des efforts en vue de modifier ou corriger sa conduite</w:t>
      </w:r>
      <w:r w:rsidR="003051F3" w:rsidRPr="00973090">
        <w:rPr>
          <w:lang w:val="fr-CA"/>
        </w:rPr>
        <w:t>;</w:t>
      </w:r>
    </w:p>
    <w:p w14:paraId="1A9C3DC8" w14:textId="1ABA2CC8"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La durée de service du juge</w:t>
      </w:r>
      <w:r w:rsidR="003051F3" w:rsidRPr="00973090">
        <w:rPr>
          <w:lang w:val="fr-CA"/>
        </w:rPr>
        <w:t>;</w:t>
      </w:r>
    </w:p>
    <w:p w14:paraId="76FAEFCE" w14:textId="42676CC2"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Si des plaintes ont déjà été déposées par le passé contre le juge</w:t>
      </w:r>
      <w:r w:rsidR="003051F3" w:rsidRPr="00973090">
        <w:rPr>
          <w:lang w:val="fr-CA"/>
        </w:rPr>
        <w:t>;</w:t>
      </w:r>
    </w:p>
    <w:p w14:paraId="13CE9CFD" w14:textId="3BBEFAAB" w:rsidR="003051F3" w:rsidRPr="00973090" w:rsidRDefault="00AF6C7C" w:rsidP="003051F3">
      <w:pPr>
        <w:pStyle w:val="AParaNumbering"/>
        <w:numPr>
          <w:ilvl w:val="0"/>
          <w:numId w:val="26"/>
        </w:numPr>
        <w:spacing w:before="80" w:after="300" w:line="240" w:lineRule="auto"/>
        <w:ind w:right="571"/>
        <w:rPr>
          <w:lang w:val="fr-CA"/>
        </w:rPr>
      </w:pPr>
      <w:r w:rsidRPr="00973090">
        <w:rPr>
          <w:lang w:val="fr-CA"/>
        </w:rPr>
        <w:t>Les répercussions de l'inconduite sur l'intégrité et le respect de la magistrature</w:t>
      </w:r>
      <w:r w:rsidR="003051F3" w:rsidRPr="00973090">
        <w:rPr>
          <w:lang w:val="fr-CA"/>
        </w:rPr>
        <w:t xml:space="preserve">; </w:t>
      </w:r>
    </w:p>
    <w:p w14:paraId="78693FCB" w14:textId="3FE664CC" w:rsidR="00F413BA" w:rsidRPr="00973090" w:rsidRDefault="00AF6C7C" w:rsidP="00F413BA">
      <w:pPr>
        <w:pStyle w:val="AParaNumbering"/>
        <w:numPr>
          <w:ilvl w:val="0"/>
          <w:numId w:val="26"/>
        </w:numPr>
        <w:spacing w:before="80" w:after="300" w:line="240" w:lineRule="auto"/>
        <w:ind w:right="571"/>
        <w:rPr>
          <w:lang w:val="fr-CA"/>
        </w:rPr>
      </w:pPr>
      <w:r w:rsidRPr="00973090">
        <w:rPr>
          <w:lang w:val="fr-CA"/>
        </w:rPr>
        <w:t>La mesure dont le juge a profité de sa position pour satisfaire des désirs personnels</w:t>
      </w:r>
      <w:r w:rsidR="003051F3" w:rsidRPr="00973090">
        <w:rPr>
          <w:lang w:val="fr-CA"/>
        </w:rPr>
        <w:t>.</w:t>
      </w:r>
      <w:r w:rsidRPr="00973090">
        <w:rPr>
          <w:lang w:val="fr-CA"/>
        </w:rPr>
        <w:t xml:space="preserve"> [TRADUCTION]</w:t>
      </w:r>
      <w:r w:rsidR="00F413BA" w:rsidRPr="00973090">
        <w:rPr>
          <w:lang w:val="fr-CA"/>
        </w:rPr>
        <w:t xml:space="preserve"> </w:t>
      </w:r>
    </w:p>
    <w:p w14:paraId="78C13D30" w14:textId="4B7C70C5" w:rsidR="00A27F7F" w:rsidRPr="00973090" w:rsidRDefault="00AB76DC" w:rsidP="00F413BA">
      <w:pPr>
        <w:pStyle w:val="AParaNumbering"/>
        <w:rPr>
          <w:lang w:val="fr-CA"/>
        </w:rPr>
      </w:pPr>
      <w:r w:rsidRPr="00973090">
        <w:rPr>
          <w:rFonts w:cs="Arial"/>
          <w:szCs w:val="26"/>
          <w:lang w:val="fr-CA"/>
        </w:rPr>
        <w:t xml:space="preserve">En ce qui concerne l’approche à suivre pour déterminer la mesure à prendre, la Cour a déclaré ce qui suit au paragraphe 8 de la décision </w:t>
      </w:r>
      <w:r w:rsidR="003051F3" w:rsidRPr="00973090">
        <w:rPr>
          <w:rFonts w:cs="Arial"/>
          <w:i/>
          <w:szCs w:val="26"/>
          <w:lang w:val="fr-CA"/>
        </w:rPr>
        <w:t>Re Baldwin</w:t>
      </w:r>
      <w:r w:rsidR="003051F3" w:rsidRPr="00973090">
        <w:rPr>
          <w:rFonts w:cs="Arial"/>
          <w:szCs w:val="26"/>
          <w:lang w:val="fr-CA"/>
        </w:rPr>
        <w:t>, (</w:t>
      </w:r>
      <w:r w:rsidRPr="00973090">
        <w:rPr>
          <w:rFonts w:cs="Arial"/>
          <w:szCs w:val="26"/>
          <w:lang w:val="fr-CA"/>
        </w:rPr>
        <w:t>CJO</w:t>
      </w:r>
      <w:r w:rsidR="003051F3" w:rsidRPr="00973090">
        <w:rPr>
          <w:rFonts w:cs="Arial"/>
          <w:szCs w:val="26"/>
          <w:lang w:val="fr-CA"/>
        </w:rPr>
        <w:t xml:space="preserve">, </w:t>
      </w:r>
      <w:r w:rsidRPr="00973090">
        <w:rPr>
          <w:rFonts w:cs="Arial"/>
          <w:szCs w:val="26"/>
          <w:lang w:val="fr-CA"/>
        </w:rPr>
        <w:t xml:space="preserve">10 mai </w:t>
      </w:r>
      <w:r w:rsidR="003051F3" w:rsidRPr="00973090">
        <w:rPr>
          <w:rFonts w:cs="Arial"/>
          <w:szCs w:val="26"/>
          <w:lang w:val="fr-CA"/>
        </w:rPr>
        <w:t>2002)</w:t>
      </w:r>
      <w:r w:rsidRPr="00973090">
        <w:rPr>
          <w:rFonts w:cs="Arial"/>
          <w:szCs w:val="26"/>
          <w:lang w:val="fr-CA"/>
        </w:rPr>
        <w:t xml:space="preserve"> </w:t>
      </w:r>
      <w:r w:rsidR="00A27F7F" w:rsidRPr="00973090">
        <w:rPr>
          <w:rFonts w:cs="Arial"/>
          <w:szCs w:val="26"/>
          <w:lang w:val="fr-CA"/>
        </w:rPr>
        <w:t>:</w:t>
      </w:r>
      <w:r w:rsidRPr="00973090">
        <w:rPr>
          <w:rFonts w:cs="Arial"/>
          <w:szCs w:val="26"/>
          <w:lang w:val="fr-CA"/>
        </w:rPr>
        <w:t xml:space="preserve"> </w:t>
      </w:r>
    </w:p>
    <w:p w14:paraId="285550C0" w14:textId="39C2B377" w:rsidR="003051F3" w:rsidRPr="00973090" w:rsidRDefault="00AB76DC" w:rsidP="00A27F7F">
      <w:pPr>
        <w:pStyle w:val="CQuote"/>
        <w:rPr>
          <w:rFonts w:cs="Times New Roman"/>
          <w:szCs w:val="20"/>
          <w:lang w:val="fr-CA"/>
        </w:rPr>
      </w:pPr>
      <w:r w:rsidRPr="00973090">
        <w:rPr>
          <w:lang w:val="fr-CA"/>
        </w:rPr>
        <w:t xml:space="preserve">Une fois qu'il est établi qu'une mesure en vertu du paragraphe 51.6 (11) s'impose, </w:t>
      </w:r>
      <w:r w:rsidRPr="00973090">
        <w:rPr>
          <w:rStyle w:val="Emphasis"/>
          <w:i w:val="0"/>
          <w:lang w:val="fr-CA"/>
        </w:rPr>
        <w:t>le Conseil devrait envisager en premier la mesure la moins grave, l'avertissement, et remonter une mesure à la fois jusqu'à la mesure la plus grave, la recommandation de destitution, et n'ordonner que la mesure qui est nécessaire pour restaurer la confiance du public envers le juge et l'administration de la justice en général</w:t>
      </w:r>
      <w:r w:rsidRPr="00973090">
        <w:rPr>
          <w:i/>
          <w:lang w:val="fr-CA"/>
        </w:rPr>
        <w:t>.</w:t>
      </w:r>
      <w:r w:rsidRPr="00973090">
        <w:rPr>
          <w:lang w:val="fr-CA"/>
        </w:rPr>
        <w:t xml:space="preserve"> [TRADUCTION]</w:t>
      </w:r>
    </w:p>
    <w:p w14:paraId="6C07A865" w14:textId="5C9E2C59" w:rsidR="00DA59E2" w:rsidRPr="00973090" w:rsidRDefault="00AB76DC" w:rsidP="00AB76DC">
      <w:pPr>
        <w:pStyle w:val="AParaNumbering"/>
        <w:rPr>
          <w:lang w:val="fr-CA"/>
        </w:rPr>
      </w:pPr>
      <w:r w:rsidRPr="00973090">
        <w:rPr>
          <w:lang w:val="fr-CA"/>
        </w:rPr>
        <w:t>Dans l’arrêt</w:t>
      </w:r>
      <w:r w:rsidR="000538DB" w:rsidRPr="00973090">
        <w:rPr>
          <w:lang w:val="fr-CA"/>
        </w:rPr>
        <w:t xml:space="preserve"> </w:t>
      </w:r>
      <w:r w:rsidR="000538DB" w:rsidRPr="00973090">
        <w:rPr>
          <w:i/>
          <w:lang w:val="fr-CA"/>
        </w:rPr>
        <w:t xml:space="preserve">Ruffo </w:t>
      </w:r>
      <w:r w:rsidRPr="00973090">
        <w:rPr>
          <w:i/>
          <w:lang w:val="fr-CA"/>
        </w:rPr>
        <w:t>c</w:t>
      </w:r>
      <w:r w:rsidR="000538DB" w:rsidRPr="00973090">
        <w:rPr>
          <w:i/>
          <w:lang w:val="fr-CA"/>
        </w:rPr>
        <w:t>. Conseil de la magistrature</w:t>
      </w:r>
      <w:r w:rsidR="000538DB" w:rsidRPr="00973090">
        <w:rPr>
          <w:lang w:val="fr-CA"/>
        </w:rPr>
        <w:t xml:space="preserve">, [1995] 4 </w:t>
      </w:r>
      <w:r w:rsidRPr="00973090">
        <w:rPr>
          <w:lang w:val="fr-CA"/>
        </w:rPr>
        <w:t>R</w:t>
      </w:r>
      <w:r w:rsidR="000538DB" w:rsidRPr="00973090">
        <w:rPr>
          <w:lang w:val="fr-CA"/>
        </w:rPr>
        <w:t>.C.</w:t>
      </w:r>
      <w:r w:rsidRPr="00973090">
        <w:rPr>
          <w:lang w:val="fr-CA"/>
        </w:rPr>
        <w:t>S</w:t>
      </w:r>
      <w:r w:rsidR="000538DB" w:rsidRPr="00973090">
        <w:rPr>
          <w:lang w:val="fr-CA"/>
        </w:rPr>
        <w:t xml:space="preserve">. 267, </w:t>
      </w:r>
      <w:r w:rsidRPr="00973090">
        <w:rPr>
          <w:lang w:val="fr-CA"/>
        </w:rPr>
        <w:t>au para</w:t>
      </w:r>
      <w:r w:rsidR="000538DB" w:rsidRPr="00973090">
        <w:rPr>
          <w:lang w:val="fr-CA"/>
        </w:rPr>
        <w:t xml:space="preserve">. 68, </w:t>
      </w:r>
      <w:r w:rsidRPr="00973090">
        <w:rPr>
          <w:lang w:val="fr-CA"/>
        </w:rPr>
        <w:t xml:space="preserve">la Cour suprême du Canada a souligné le fait que le rôle d’un organe traitant d’une question d’inconduite judiciaire était </w:t>
      </w:r>
      <w:r w:rsidRPr="00973090">
        <w:rPr>
          <w:rFonts w:cs="Arial"/>
          <w:szCs w:val="26"/>
          <w:lang w:val="fr-CA"/>
        </w:rPr>
        <w:t>de nature réparatrice</w:t>
      </w:r>
      <w:r w:rsidR="00E5145D" w:rsidRPr="00973090">
        <w:rPr>
          <w:lang w:val="fr-CA"/>
        </w:rPr>
        <w:t xml:space="preserve">. </w:t>
      </w:r>
      <w:r w:rsidR="003061DD" w:rsidRPr="00973090">
        <w:rPr>
          <w:lang w:val="fr-CA"/>
        </w:rPr>
        <w:t>L’objectif n’est pas de punir le juge, mais plutôt de réparer tout dommage causé à l’intégrité et à la réputation de l’administration de la justice</w:t>
      </w:r>
      <w:r w:rsidR="0046781A">
        <w:rPr>
          <w:lang w:val="fr-CA"/>
        </w:rPr>
        <w:t>.</w:t>
      </w:r>
      <w:r w:rsidR="003061DD" w:rsidRPr="00973090">
        <w:rPr>
          <w:lang w:val="fr-CA"/>
        </w:rPr>
        <w:t xml:space="preserve"> Voir aussi la décision </w:t>
      </w:r>
      <w:r w:rsidR="00E5145D" w:rsidRPr="00973090">
        <w:rPr>
          <w:i/>
          <w:lang w:val="fr-CA"/>
        </w:rPr>
        <w:t>Baldwin</w:t>
      </w:r>
      <w:r w:rsidR="00E5145D" w:rsidRPr="00973090">
        <w:rPr>
          <w:lang w:val="fr-CA"/>
        </w:rPr>
        <w:t xml:space="preserve">, </w:t>
      </w:r>
      <w:r w:rsidR="003061DD" w:rsidRPr="00973090">
        <w:rPr>
          <w:lang w:val="fr-CA"/>
        </w:rPr>
        <w:t xml:space="preserve">à la </w:t>
      </w:r>
      <w:r w:rsidR="00E5145D" w:rsidRPr="00973090">
        <w:rPr>
          <w:lang w:val="fr-CA"/>
        </w:rPr>
        <w:t>p.</w:t>
      </w:r>
      <w:r w:rsidR="00CE5BC1" w:rsidRPr="00973090">
        <w:rPr>
          <w:lang w:val="fr-CA"/>
        </w:rPr>
        <w:t xml:space="preserve"> 8</w:t>
      </w:r>
      <w:r w:rsidR="000D7B88" w:rsidRPr="00973090">
        <w:rPr>
          <w:lang w:val="fr-CA"/>
        </w:rPr>
        <w:t xml:space="preserve">, </w:t>
      </w:r>
      <w:r w:rsidR="0046781A">
        <w:rPr>
          <w:lang w:val="fr-CA"/>
        </w:rPr>
        <w:t>confirmant cette optique</w:t>
      </w:r>
      <w:r w:rsidR="00CE5BC1" w:rsidRPr="00973090">
        <w:rPr>
          <w:lang w:val="fr-CA"/>
        </w:rPr>
        <w:t>.</w:t>
      </w:r>
    </w:p>
    <w:p w14:paraId="7CD411F0" w14:textId="091952A0" w:rsidR="00DA59E2" w:rsidRPr="00973090" w:rsidRDefault="003061DD" w:rsidP="00EF7159">
      <w:pPr>
        <w:pStyle w:val="AParaNumbering"/>
        <w:rPr>
          <w:lang w:val="fr-CA"/>
        </w:rPr>
      </w:pPr>
      <w:r w:rsidRPr="00973090">
        <w:rPr>
          <w:lang w:val="fr-CA"/>
        </w:rPr>
        <w:t xml:space="preserve">Il ressort de la jurisprudence qu’une recommandation de destitution devrait être faite en dernier recours, uniquement dans des circonstances où l’aptitude du juge à </w:t>
      </w:r>
      <w:r w:rsidR="0046781A">
        <w:rPr>
          <w:lang w:val="fr-CA"/>
        </w:rPr>
        <w:t>remplir les fonctions de</w:t>
      </w:r>
      <w:r w:rsidRPr="00973090">
        <w:rPr>
          <w:lang w:val="fr-CA"/>
        </w:rPr>
        <w:t xml:space="preserve"> sa charge est irrémédiablement compromise </w:t>
      </w:r>
      <w:r w:rsidR="00EF7159" w:rsidRPr="00973090">
        <w:rPr>
          <w:lang w:val="fr-CA"/>
        </w:rPr>
        <w:t xml:space="preserve">au point qu’il soit </w:t>
      </w:r>
      <w:r w:rsidRPr="00973090">
        <w:rPr>
          <w:lang w:val="fr-CA"/>
        </w:rPr>
        <w:t xml:space="preserve">incapable </w:t>
      </w:r>
      <w:r w:rsidR="00EF7159" w:rsidRPr="00973090">
        <w:rPr>
          <w:rFonts w:cs="Arial"/>
          <w:szCs w:val="26"/>
          <w:lang w:val="fr-CA"/>
        </w:rPr>
        <w:t>de s'acquitter des fonctions de sa charge</w:t>
      </w:r>
      <w:r w:rsidRPr="00973090">
        <w:rPr>
          <w:lang w:val="fr-CA"/>
        </w:rPr>
        <w:t>. Dans l’arrêt</w:t>
      </w:r>
      <w:r w:rsidR="00DA59E2" w:rsidRPr="00973090">
        <w:rPr>
          <w:lang w:val="fr-CA"/>
        </w:rPr>
        <w:t xml:space="preserve"> </w:t>
      </w:r>
      <w:r w:rsidR="00DA59E2" w:rsidRPr="00973090">
        <w:rPr>
          <w:i/>
          <w:lang w:val="fr-CA"/>
        </w:rPr>
        <w:t>Re Therrien</w:t>
      </w:r>
      <w:r w:rsidR="00DA59E2" w:rsidRPr="00973090">
        <w:rPr>
          <w:lang w:val="fr-CA"/>
        </w:rPr>
        <w:t xml:space="preserve">, 2001 </w:t>
      </w:r>
      <w:r w:rsidRPr="00973090">
        <w:rPr>
          <w:lang w:val="fr-CA"/>
        </w:rPr>
        <w:t>CSC</w:t>
      </w:r>
      <w:r w:rsidR="00DA59E2" w:rsidRPr="00973090">
        <w:rPr>
          <w:lang w:val="fr-CA"/>
        </w:rPr>
        <w:t xml:space="preserve"> 35, [2001] 2 </w:t>
      </w:r>
      <w:r w:rsidRPr="00973090">
        <w:rPr>
          <w:lang w:val="fr-CA"/>
        </w:rPr>
        <w:t>R</w:t>
      </w:r>
      <w:r w:rsidR="00DA59E2" w:rsidRPr="00973090">
        <w:rPr>
          <w:lang w:val="fr-CA"/>
        </w:rPr>
        <w:t>.C.</w:t>
      </w:r>
      <w:r w:rsidRPr="00973090">
        <w:rPr>
          <w:lang w:val="fr-CA"/>
        </w:rPr>
        <w:t>S</w:t>
      </w:r>
      <w:r w:rsidR="00DA59E2" w:rsidRPr="00973090">
        <w:rPr>
          <w:lang w:val="fr-CA"/>
        </w:rPr>
        <w:t xml:space="preserve">. 3, </w:t>
      </w:r>
      <w:r w:rsidRPr="00973090">
        <w:rPr>
          <w:lang w:val="fr-CA"/>
        </w:rPr>
        <w:t>au</w:t>
      </w:r>
      <w:r w:rsidR="00DA59E2" w:rsidRPr="00973090">
        <w:rPr>
          <w:lang w:val="fr-CA"/>
        </w:rPr>
        <w:t xml:space="preserve"> para. 147, </w:t>
      </w:r>
      <w:r w:rsidRPr="00973090">
        <w:rPr>
          <w:lang w:val="fr-CA"/>
        </w:rPr>
        <w:t xml:space="preserve">la Cour suprême du Canada a expliqué </w:t>
      </w:r>
      <w:r w:rsidR="00DA59E2" w:rsidRPr="00973090">
        <w:rPr>
          <w:lang w:val="fr-CA"/>
        </w:rPr>
        <w:t>:</w:t>
      </w:r>
    </w:p>
    <w:p w14:paraId="6EC13013" w14:textId="07F605D2" w:rsidR="00DA59E2" w:rsidRPr="00973090" w:rsidRDefault="000E72DA" w:rsidP="00DA59E2">
      <w:pPr>
        <w:pStyle w:val="CQuote"/>
        <w:rPr>
          <w:rFonts w:cs="Times New Roman"/>
          <w:szCs w:val="20"/>
          <w:lang w:val="fr-CA"/>
        </w:rPr>
      </w:pPr>
      <w:r w:rsidRPr="00973090">
        <w:rPr>
          <w:lang w:val="fr-CA"/>
        </w:rPr>
        <w:t xml:space="preserve">La précieuse confiance que porte le public envers son système de justice et que chaque juge doit s'efforcer de préserver est au </w:t>
      </w:r>
      <w:r w:rsidR="00D24AF5" w:rsidRPr="00973090">
        <w:rPr>
          <w:lang w:val="fr-CA"/>
        </w:rPr>
        <w:t>cœur</w:t>
      </w:r>
      <w:r w:rsidRPr="00973090">
        <w:rPr>
          <w:lang w:val="fr-CA"/>
        </w:rPr>
        <w:t xml:space="preserve"> du présent litige</w:t>
      </w:r>
      <w:r w:rsidR="00DA59E2" w:rsidRPr="00973090">
        <w:rPr>
          <w:lang w:val="fr-CA"/>
        </w:rPr>
        <w:t xml:space="preserve">. </w:t>
      </w:r>
      <w:r w:rsidRPr="00973090">
        <w:rPr>
          <w:lang w:val="fr-CA"/>
        </w:rPr>
        <w:t>Elle en délimite les moindres contours et en dicte l'ultime conclusion</w:t>
      </w:r>
      <w:r w:rsidR="00DA59E2" w:rsidRPr="00973090">
        <w:rPr>
          <w:lang w:val="fr-CA"/>
        </w:rPr>
        <w:t xml:space="preserve">.  </w:t>
      </w:r>
      <w:r w:rsidRPr="00973090">
        <w:rPr>
          <w:lang w:val="fr-CA"/>
        </w:rPr>
        <w:t>Aussi, avant de formuler une recommandation de destitution à l'endroit d'un juge, doit-on se demander si la conduite qui lui est reprochée porte si manifestement et si totalement atteinte à l'impartialité, à l'intégrité et à l'indépendance de la magistrature qu'elle ébranle la confiance du justiciable ou du public en son système de justice et rend le juge incapable de s'acquitter des fonctions de sa charge</w:t>
      </w:r>
      <w:r w:rsidR="0046781A">
        <w:rPr>
          <w:lang w:val="fr-CA"/>
        </w:rPr>
        <w:t>.</w:t>
      </w:r>
      <w:r w:rsidR="00DA59E2" w:rsidRPr="00973090">
        <w:rPr>
          <w:lang w:val="fr-CA"/>
        </w:rPr>
        <w:t xml:space="preserve">  </w:t>
      </w:r>
    </w:p>
    <w:p w14:paraId="045E4DE7" w14:textId="0316E1F2" w:rsidR="00893903" w:rsidRPr="00973090" w:rsidRDefault="00893903" w:rsidP="00585485">
      <w:pPr>
        <w:pStyle w:val="AParaNumbering"/>
        <w:numPr>
          <w:ilvl w:val="0"/>
          <w:numId w:val="0"/>
        </w:numPr>
        <w:rPr>
          <w:lang w:val="fr-CA"/>
        </w:rPr>
      </w:pPr>
      <w:r w:rsidRPr="00973090">
        <w:rPr>
          <w:rFonts w:cs="Arial"/>
          <w:b/>
          <w:szCs w:val="26"/>
          <w:lang w:val="fr-CA"/>
        </w:rPr>
        <w:t>2.</w:t>
      </w:r>
      <w:r w:rsidR="00585485" w:rsidRPr="00973090">
        <w:rPr>
          <w:rFonts w:cs="Arial"/>
          <w:b/>
          <w:szCs w:val="26"/>
          <w:lang w:val="fr-CA"/>
        </w:rPr>
        <w:t xml:space="preserve">  </w:t>
      </w:r>
      <w:r w:rsidR="00301A4F" w:rsidRPr="00973090">
        <w:rPr>
          <w:rFonts w:cs="Arial"/>
          <w:b/>
          <w:szCs w:val="26"/>
          <w:lang w:val="fr-CA"/>
        </w:rPr>
        <w:t xml:space="preserve">Application </w:t>
      </w:r>
      <w:r w:rsidR="00EF7159" w:rsidRPr="00973090">
        <w:rPr>
          <w:rFonts w:cs="Arial"/>
          <w:b/>
          <w:szCs w:val="26"/>
          <w:lang w:val="fr-CA"/>
        </w:rPr>
        <w:t xml:space="preserve">des principes juridiques </w:t>
      </w:r>
      <w:r w:rsidRPr="00973090">
        <w:rPr>
          <w:lang w:val="fr-CA"/>
        </w:rPr>
        <w:t xml:space="preserve"> </w:t>
      </w:r>
    </w:p>
    <w:p w14:paraId="30DF5A48" w14:textId="6FCC0674" w:rsidR="0011091B" w:rsidRPr="00973090" w:rsidRDefault="00EF7159" w:rsidP="00961A83">
      <w:pPr>
        <w:pStyle w:val="AParaNumbering"/>
        <w:rPr>
          <w:lang w:val="fr-CA"/>
        </w:rPr>
      </w:pPr>
      <w:r w:rsidRPr="00973090">
        <w:rPr>
          <w:rFonts w:cs="Arial"/>
          <w:szCs w:val="26"/>
          <w:lang w:val="fr-CA"/>
        </w:rPr>
        <w:t>La confiance du public à l’égard du système de justice est au cœur d’une audience sur une inconduite judiciaire. Pour choisir la mesure appropriée, le comité d’audience doit se demander quelle sanction, ou combinaison de sanctions, serait suffisante pour restaurer la confiance du public envers le juge Keast et envers l’administration de la justice en général, tout en tenant compte des actions du juge Keast dans les circonstances du cas</w:t>
      </w:r>
      <w:r w:rsidR="00456DA3" w:rsidRPr="00973090">
        <w:rPr>
          <w:rFonts w:cs="Arial"/>
          <w:szCs w:val="26"/>
          <w:lang w:val="fr-CA"/>
        </w:rPr>
        <w:t xml:space="preserve">.  </w:t>
      </w:r>
    </w:p>
    <w:p w14:paraId="03973AF3" w14:textId="76208C86" w:rsidR="003051F3" w:rsidRPr="00973090" w:rsidRDefault="00D40048" w:rsidP="00961A83">
      <w:pPr>
        <w:pStyle w:val="AParaNumbering"/>
        <w:rPr>
          <w:lang w:val="fr-CA"/>
        </w:rPr>
      </w:pPr>
      <w:r>
        <w:rPr>
          <w:rFonts w:cs="Arial"/>
          <w:szCs w:val="26"/>
          <w:lang w:val="fr-CA"/>
        </w:rPr>
        <w:t>Aux fins de c</w:t>
      </w:r>
      <w:r w:rsidR="00E17226" w:rsidRPr="00973090">
        <w:rPr>
          <w:rFonts w:cs="Arial"/>
          <w:szCs w:val="26"/>
          <w:lang w:val="fr-CA"/>
        </w:rPr>
        <w:t>ette évaluation contextuelle</w:t>
      </w:r>
      <w:r>
        <w:rPr>
          <w:rFonts w:cs="Arial"/>
          <w:szCs w:val="26"/>
          <w:lang w:val="fr-CA"/>
        </w:rPr>
        <w:t xml:space="preserve">, nous reprenons les </w:t>
      </w:r>
      <w:r w:rsidR="00E10A9C" w:rsidRPr="00973090">
        <w:rPr>
          <w:rFonts w:cs="Arial"/>
          <w:szCs w:val="26"/>
          <w:lang w:val="fr-CA"/>
        </w:rPr>
        <w:t xml:space="preserve">facteurs énumérés dans la décision </w:t>
      </w:r>
      <w:r w:rsidR="00557D85" w:rsidRPr="00973090">
        <w:rPr>
          <w:rFonts w:cs="Arial"/>
          <w:i/>
          <w:szCs w:val="26"/>
          <w:lang w:val="fr-CA"/>
        </w:rPr>
        <w:t>Chisvin</w:t>
      </w:r>
      <w:r w:rsidR="00456DA3" w:rsidRPr="00973090">
        <w:rPr>
          <w:lang w:val="fr-CA"/>
        </w:rPr>
        <w:t>.</w:t>
      </w:r>
    </w:p>
    <w:p w14:paraId="5BBD37FE" w14:textId="64EBFCF2" w:rsidR="004277AB" w:rsidRPr="00973090" w:rsidRDefault="00E10A9C" w:rsidP="00961A83">
      <w:pPr>
        <w:pStyle w:val="AParaNumbering"/>
        <w:numPr>
          <w:ilvl w:val="0"/>
          <w:numId w:val="29"/>
        </w:numPr>
        <w:rPr>
          <w:lang w:val="fr-CA"/>
        </w:rPr>
      </w:pPr>
      <w:r w:rsidRPr="00973090">
        <w:rPr>
          <w:lang w:val="fr-CA"/>
        </w:rPr>
        <w:t xml:space="preserve">L’inconduite n’était pas un incident isolé, car elle s’est produite sur une période de trois mois. Toutefois, il n’y a pas de preuve d’antécédents d’inconduite de la part du juge </w:t>
      </w:r>
      <w:r w:rsidR="009247B6" w:rsidRPr="00973090">
        <w:rPr>
          <w:lang w:val="fr-CA"/>
        </w:rPr>
        <w:t>Keast</w:t>
      </w:r>
      <w:r w:rsidRPr="00973090">
        <w:rPr>
          <w:lang w:val="fr-CA"/>
        </w:rPr>
        <w:t>, car les textos découlent tous d’une seule situation personnelle, continue</w:t>
      </w:r>
      <w:r w:rsidR="0011091B" w:rsidRPr="00973090">
        <w:rPr>
          <w:lang w:val="fr-CA"/>
        </w:rPr>
        <w:t>;</w:t>
      </w:r>
      <w:r w:rsidR="004277AB" w:rsidRPr="00973090">
        <w:rPr>
          <w:lang w:val="fr-CA"/>
        </w:rPr>
        <w:t xml:space="preserve">  </w:t>
      </w:r>
    </w:p>
    <w:p w14:paraId="051A0290" w14:textId="29C6B474" w:rsidR="007D03D2" w:rsidRPr="00973090" w:rsidRDefault="00E10A9C" w:rsidP="00961A83">
      <w:pPr>
        <w:pStyle w:val="AParaNumbering"/>
        <w:numPr>
          <w:ilvl w:val="0"/>
          <w:numId w:val="29"/>
        </w:numPr>
        <w:rPr>
          <w:lang w:val="fr-CA"/>
        </w:rPr>
      </w:pPr>
      <w:r w:rsidRPr="00973090">
        <w:rPr>
          <w:lang w:val="fr-CA"/>
        </w:rPr>
        <w:t xml:space="preserve">La nature et l’étendue de l’inconduite sont décrites ci-dessus à la section </w:t>
      </w:r>
      <w:r w:rsidR="00D40048">
        <w:rPr>
          <w:lang w:val="fr-CA"/>
        </w:rPr>
        <w:t>C</w:t>
      </w:r>
      <w:r w:rsidRPr="00973090">
        <w:rPr>
          <w:lang w:val="fr-CA"/>
        </w:rPr>
        <w:t>ontexte et il n’est pas nécessaire de les décrire à nouveau ici. Il suffit de dire que les textos constituaient plusieur</w:t>
      </w:r>
      <w:r w:rsidR="00D40048">
        <w:rPr>
          <w:lang w:val="fr-CA"/>
        </w:rPr>
        <w:t xml:space="preserve">s types d’inconduite, y compris la création d’une </w:t>
      </w:r>
      <w:r w:rsidRPr="00973090">
        <w:rPr>
          <w:lang w:val="fr-CA"/>
        </w:rPr>
        <w:t xml:space="preserve">apparence </w:t>
      </w:r>
      <w:r w:rsidR="00D40048">
        <w:rPr>
          <w:lang w:val="fr-CA"/>
        </w:rPr>
        <w:t xml:space="preserve">de </w:t>
      </w:r>
      <w:r w:rsidRPr="00973090">
        <w:rPr>
          <w:lang w:val="fr-CA"/>
        </w:rPr>
        <w:t xml:space="preserve">préjudice envers la SAE, une institution qui est régulièrement représentée devant le juge </w:t>
      </w:r>
      <w:r w:rsidR="0011091B" w:rsidRPr="00973090">
        <w:rPr>
          <w:lang w:val="fr-CA"/>
        </w:rPr>
        <w:t>Keast</w:t>
      </w:r>
      <w:r w:rsidR="007D03D2" w:rsidRPr="00973090">
        <w:rPr>
          <w:lang w:val="fr-CA"/>
        </w:rPr>
        <w:t>;</w:t>
      </w:r>
      <w:r w:rsidR="00743CA9" w:rsidRPr="00973090">
        <w:rPr>
          <w:lang w:val="fr-CA"/>
        </w:rPr>
        <w:t xml:space="preserve"> </w:t>
      </w:r>
    </w:p>
    <w:p w14:paraId="51E10862" w14:textId="0006CCB5" w:rsidR="009D2CC8" w:rsidRPr="00973090" w:rsidRDefault="00EC3592" w:rsidP="009D2CC8">
      <w:pPr>
        <w:pStyle w:val="AParaNumbering"/>
        <w:numPr>
          <w:ilvl w:val="0"/>
          <w:numId w:val="29"/>
        </w:numPr>
        <w:rPr>
          <w:lang w:val="fr-CA"/>
        </w:rPr>
      </w:pPr>
      <w:r w:rsidRPr="00973090">
        <w:rPr>
          <w:lang w:val="fr-CA"/>
        </w:rPr>
        <w:t xml:space="preserve">Bien que les actions du juge </w:t>
      </w:r>
      <w:r w:rsidR="00E03086" w:rsidRPr="00973090">
        <w:rPr>
          <w:lang w:val="fr-CA"/>
        </w:rPr>
        <w:t>Keast</w:t>
      </w:r>
      <w:r w:rsidRPr="00973090">
        <w:rPr>
          <w:lang w:val="fr-CA"/>
        </w:rPr>
        <w:t xml:space="preserve"> n’aient pas été commises dans la salle d’audience, elles </w:t>
      </w:r>
      <w:r w:rsidR="00D40048">
        <w:rPr>
          <w:lang w:val="fr-CA"/>
        </w:rPr>
        <w:t>ont empiété sur ses</w:t>
      </w:r>
      <w:r w:rsidRPr="00973090">
        <w:rPr>
          <w:lang w:val="fr-CA"/>
        </w:rPr>
        <w:t xml:space="preserve"> fonctions judiciaires et sa vie personnelle</w:t>
      </w:r>
      <w:r w:rsidR="009D2CC8" w:rsidRPr="00973090">
        <w:rPr>
          <w:lang w:val="fr-CA"/>
        </w:rPr>
        <w:t>;</w:t>
      </w:r>
    </w:p>
    <w:p w14:paraId="410B68AD" w14:textId="309430E7" w:rsidR="009D2CC8" w:rsidRPr="00973090" w:rsidRDefault="00EC3592" w:rsidP="009D2CC8">
      <w:pPr>
        <w:pStyle w:val="AParaNumbering"/>
        <w:numPr>
          <w:ilvl w:val="0"/>
          <w:numId w:val="29"/>
        </w:numPr>
        <w:rPr>
          <w:lang w:val="fr-CA"/>
        </w:rPr>
      </w:pPr>
      <w:r w:rsidRPr="00973090">
        <w:rPr>
          <w:lang w:val="fr-CA"/>
        </w:rPr>
        <w:t xml:space="preserve">L’inconduite n’a pas été commise pendant que le juge Keast s’acquittait de ses fonctions judiciaires. Cependant, les textos ont été envoyés dans une situation qui </w:t>
      </w:r>
      <w:r w:rsidR="00E045A4">
        <w:rPr>
          <w:lang w:val="fr-CA"/>
        </w:rPr>
        <w:t xml:space="preserve">estompait </w:t>
      </w:r>
      <w:r w:rsidRPr="00973090">
        <w:rPr>
          <w:lang w:val="fr-CA"/>
        </w:rPr>
        <w:t>sa vie privée et sa vie professionnelle</w:t>
      </w:r>
      <w:r w:rsidR="00367864" w:rsidRPr="00973090">
        <w:rPr>
          <w:lang w:val="fr-CA"/>
        </w:rPr>
        <w:t xml:space="preserve">; </w:t>
      </w:r>
    </w:p>
    <w:p w14:paraId="6DBB7CDA" w14:textId="3D835F97" w:rsidR="00FB5436" w:rsidRPr="00973090" w:rsidRDefault="00EC3592" w:rsidP="00FB5436">
      <w:pPr>
        <w:pStyle w:val="AParaNumbering"/>
        <w:numPr>
          <w:ilvl w:val="0"/>
          <w:numId w:val="29"/>
        </w:numPr>
        <w:rPr>
          <w:lang w:val="fr-CA"/>
        </w:rPr>
      </w:pPr>
      <w:r w:rsidRPr="00973090">
        <w:rPr>
          <w:lang w:val="fr-CA"/>
        </w:rPr>
        <w:t xml:space="preserve">Lorsque le juge </w:t>
      </w:r>
      <w:r w:rsidR="009D2CC8" w:rsidRPr="00973090">
        <w:rPr>
          <w:lang w:val="fr-CA"/>
        </w:rPr>
        <w:t>Keast</w:t>
      </w:r>
      <w:r w:rsidR="00367864" w:rsidRPr="00973090">
        <w:rPr>
          <w:lang w:val="fr-CA"/>
        </w:rPr>
        <w:t xml:space="preserve"> </w:t>
      </w:r>
      <w:r w:rsidRPr="00973090">
        <w:rPr>
          <w:lang w:val="fr-CA"/>
        </w:rPr>
        <w:t xml:space="preserve">a été mis au courant de la plainte, il a répondu par écrit en reconnaissant </w:t>
      </w:r>
      <w:r w:rsidR="00E045A4">
        <w:rPr>
          <w:lang w:val="fr-CA"/>
        </w:rPr>
        <w:t xml:space="preserve">tous </w:t>
      </w:r>
      <w:r w:rsidRPr="00973090">
        <w:rPr>
          <w:lang w:val="fr-CA"/>
        </w:rPr>
        <w:t xml:space="preserve">les faits et leur </w:t>
      </w:r>
      <w:r w:rsidR="00E045A4">
        <w:rPr>
          <w:lang w:val="fr-CA"/>
        </w:rPr>
        <w:t>irrégularité</w:t>
      </w:r>
      <w:r w:rsidRPr="00973090">
        <w:rPr>
          <w:lang w:val="fr-CA"/>
        </w:rPr>
        <w:t>. Cet</w:t>
      </w:r>
      <w:r w:rsidR="00E045A4">
        <w:rPr>
          <w:lang w:val="fr-CA"/>
        </w:rPr>
        <w:t xml:space="preserve"> aveu</w:t>
      </w:r>
      <w:r w:rsidRPr="00973090">
        <w:rPr>
          <w:lang w:val="fr-CA"/>
        </w:rPr>
        <w:t xml:space="preserve"> ressort clairement de l’Exposé conjoint des faits déposé dans le cadre de l’audience</w:t>
      </w:r>
      <w:r w:rsidR="00FB5436" w:rsidRPr="00973090">
        <w:rPr>
          <w:lang w:val="fr-CA"/>
        </w:rPr>
        <w:t xml:space="preserve">; </w:t>
      </w:r>
    </w:p>
    <w:p w14:paraId="4CB1A663" w14:textId="2911405E" w:rsidR="009247B6" w:rsidRPr="00973090" w:rsidRDefault="00A030D9" w:rsidP="00E26770">
      <w:pPr>
        <w:pStyle w:val="AParaNumbering"/>
        <w:numPr>
          <w:ilvl w:val="0"/>
          <w:numId w:val="29"/>
        </w:numPr>
        <w:rPr>
          <w:lang w:val="fr-CA"/>
        </w:rPr>
      </w:pPr>
      <w:r w:rsidRPr="00973090">
        <w:rPr>
          <w:lang w:val="fr-CA"/>
        </w:rPr>
        <w:t xml:space="preserve">Le juge </w:t>
      </w:r>
      <w:r w:rsidR="0073080E" w:rsidRPr="00973090">
        <w:rPr>
          <w:lang w:val="fr-CA"/>
        </w:rPr>
        <w:t xml:space="preserve">Keast </w:t>
      </w:r>
      <w:r w:rsidRPr="00973090">
        <w:rPr>
          <w:lang w:val="fr-CA"/>
        </w:rPr>
        <w:t>a démontré qu’il faisait des efforts en vue de changer d’attitude. Il a suivi une période de counseling. Les personnes qui lui ont fourni les séances de counseling ont remis au conseil d’audience un rapport (le « rapport de counseling »)</w:t>
      </w:r>
      <w:r w:rsidR="00D2610C" w:rsidRPr="00973090">
        <w:rPr>
          <w:lang w:val="fr-CA"/>
        </w:rPr>
        <w:t xml:space="preserve">, qui formulait la conclusion suivante </w:t>
      </w:r>
      <w:r w:rsidR="009247B6" w:rsidRPr="00973090">
        <w:rPr>
          <w:lang w:val="fr-CA"/>
        </w:rPr>
        <w:t>:</w:t>
      </w:r>
    </w:p>
    <w:p w14:paraId="56491315" w14:textId="220B0B44" w:rsidR="00E26770" w:rsidRPr="00973090" w:rsidRDefault="00D2610C" w:rsidP="00D2610C">
      <w:pPr>
        <w:pStyle w:val="CQuote"/>
        <w:ind w:left="2160"/>
        <w:rPr>
          <w:lang w:val="fr-CA"/>
        </w:rPr>
      </w:pPr>
      <w:r w:rsidRPr="00973090">
        <w:rPr>
          <w:lang w:val="fr-CA"/>
        </w:rPr>
        <w:t xml:space="preserve">Nous pensons que le juge </w:t>
      </w:r>
      <w:r w:rsidR="00E26770" w:rsidRPr="00973090">
        <w:rPr>
          <w:lang w:val="fr-CA"/>
        </w:rPr>
        <w:t>Keast</w:t>
      </w:r>
      <w:r w:rsidR="009247B6" w:rsidRPr="00973090">
        <w:rPr>
          <w:lang w:val="fr-CA"/>
        </w:rPr>
        <w:t xml:space="preserve">, </w:t>
      </w:r>
      <w:r w:rsidRPr="00973090">
        <w:rPr>
          <w:lang w:val="fr-CA"/>
        </w:rPr>
        <w:t>après avoir suivi un counseling psychologique, discuté avec nous et, surtout, réfléchi lui-même de façon objective à sa conduite, comprend l’erreur de sa conduite. Il reconnaît e</w:t>
      </w:r>
      <w:r w:rsidR="00E045A4">
        <w:rPr>
          <w:lang w:val="fr-CA"/>
        </w:rPr>
        <w:t>t comprend très bien l’obligation des juges de séparer les principes d’i</w:t>
      </w:r>
      <w:r w:rsidRPr="00973090">
        <w:rPr>
          <w:lang w:val="fr-CA"/>
        </w:rPr>
        <w:t xml:space="preserve">mpartialité réelle et perçue et </w:t>
      </w:r>
      <w:r w:rsidR="00E045A4">
        <w:rPr>
          <w:lang w:val="fr-CA"/>
        </w:rPr>
        <w:t>d’</w:t>
      </w:r>
      <w:r w:rsidRPr="00973090">
        <w:rPr>
          <w:lang w:val="fr-CA"/>
        </w:rPr>
        <w:t xml:space="preserve">indépendance </w:t>
      </w:r>
      <w:r w:rsidR="00E045A4">
        <w:rPr>
          <w:lang w:val="fr-CA"/>
        </w:rPr>
        <w:t>judiciaire de leur vie</w:t>
      </w:r>
      <w:r w:rsidRPr="00973090">
        <w:rPr>
          <w:lang w:val="fr-CA"/>
        </w:rPr>
        <w:t xml:space="preserve"> personnel</w:t>
      </w:r>
      <w:r w:rsidR="00E045A4">
        <w:rPr>
          <w:lang w:val="fr-CA"/>
        </w:rPr>
        <w:t>le</w:t>
      </w:r>
      <w:r w:rsidRPr="00973090">
        <w:rPr>
          <w:lang w:val="fr-CA"/>
        </w:rPr>
        <w:t>.</w:t>
      </w:r>
      <w:r w:rsidR="009247B6" w:rsidRPr="00973090">
        <w:rPr>
          <w:lang w:val="fr-CA"/>
        </w:rPr>
        <w:t xml:space="preserve"> </w:t>
      </w:r>
      <w:r w:rsidRPr="00973090">
        <w:rPr>
          <w:lang w:val="fr-CA"/>
        </w:rPr>
        <w:t>Il ressent un profond respect envers le système de justice qu’il sert. Il regrette sincèrement sa conduite et se sent bouleversé par sa conduite et ses nombreuses répercussions sur autrui. Nous sommes sûrs qu’il ne se mettra plus jamais dans une situation aussi compromettante</w:t>
      </w:r>
      <w:r w:rsidR="009247B6" w:rsidRPr="00973090">
        <w:rPr>
          <w:lang w:val="fr-CA"/>
        </w:rPr>
        <w:t>;</w:t>
      </w:r>
      <w:r w:rsidR="00E26770" w:rsidRPr="00973090">
        <w:rPr>
          <w:lang w:val="fr-CA"/>
        </w:rPr>
        <w:t xml:space="preserve">  </w:t>
      </w:r>
      <w:r w:rsidRPr="00973090">
        <w:rPr>
          <w:lang w:val="fr-CA"/>
        </w:rPr>
        <w:t>[Traduction]</w:t>
      </w:r>
    </w:p>
    <w:p w14:paraId="4C6DF4C7" w14:textId="111DFC49" w:rsidR="00E26770" w:rsidRPr="00973090" w:rsidRDefault="00273F96" w:rsidP="00E26770">
      <w:pPr>
        <w:pStyle w:val="AParaNumbering"/>
        <w:numPr>
          <w:ilvl w:val="0"/>
          <w:numId w:val="29"/>
        </w:numPr>
        <w:rPr>
          <w:lang w:val="fr-CA"/>
        </w:rPr>
      </w:pPr>
      <w:r w:rsidRPr="00973090">
        <w:rPr>
          <w:lang w:val="fr-CA"/>
        </w:rPr>
        <w:t xml:space="preserve">Le juge </w:t>
      </w:r>
      <w:r w:rsidR="00EC3650" w:rsidRPr="00973090">
        <w:rPr>
          <w:lang w:val="fr-CA"/>
        </w:rPr>
        <w:t xml:space="preserve">Keast </w:t>
      </w:r>
      <w:r w:rsidRPr="00973090">
        <w:rPr>
          <w:lang w:val="fr-CA"/>
        </w:rPr>
        <w:t>a passé 17 ans irréprochables et exemplaires à la magistrature</w:t>
      </w:r>
      <w:r w:rsidR="00E26770" w:rsidRPr="00973090">
        <w:rPr>
          <w:lang w:val="fr-CA"/>
        </w:rPr>
        <w:t>;</w:t>
      </w:r>
    </w:p>
    <w:p w14:paraId="31546291" w14:textId="69F78492" w:rsidR="00743CA9" w:rsidRPr="00973090" w:rsidRDefault="00273F96" w:rsidP="0073080E">
      <w:pPr>
        <w:pStyle w:val="AParaNumbering"/>
        <w:numPr>
          <w:ilvl w:val="0"/>
          <w:numId w:val="29"/>
        </w:numPr>
        <w:rPr>
          <w:lang w:val="fr-CA"/>
        </w:rPr>
      </w:pPr>
      <w:r w:rsidRPr="00973090">
        <w:rPr>
          <w:lang w:val="fr-CA"/>
        </w:rPr>
        <w:t xml:space="preserve">Le juge </w:t>
      </w:r>
      <w:r w:rsidR="00E26770" w:rsidRPr="00973090">
        <w:rPr>
          <w:lang w:val="fr-CA"/>
        </w:rPr>
        <w:t xml:space="preserve">Keast </w:t>
      </w:r>
      <w:r w:rsidRPr="00973090">
        <w:rPr>
          <w:lang w:val="fr-CA"/>
        </w:rPr>
        <w:t>n’a aucun antécédent d’inconduite judiciaire</w:t>
      </w:r>
      <w:r w:rsidR="00743CA9" w:rsidRPr="00973090">
        <w:rPr>
          <w:lang w:val="fr-CA"/>
        </w:rPr>
        <w:t>;</w:t>
      </w:r>
    </w:p>
    <w:p w14:paraId="0D561A36" w14:textId="498BE4E0" w:rsidR="00B72F15" w:rsidRPr="00973090" w:rsidRDefault="00B23FB3" w:rsidP="0073080E">
      <w:pPr>
        <w:pStyle w:val="AParaNumbering"/>
        <w:numPr>
          <w:ilvl w:val="0"/>
          <w:numId w:val="29"/>
        </w:numPr>
        <w:rPr>
          <w:lang w:val="fr-CA"/>
        </w:rPr>
      </w:pPr>
      <w:r w:rsidRPr="00973090">
        <w:rPr>
          <w:lang w:val="fr-CA"/>
        </w:rPr>
        <w:t xml:space="preserve">Pour évaluer les répercussions de l’inconduite sur le respect envers le juge </w:t>
      </w:r>
      <w:r w:rsidR="00B72F15" w:rsidRPr="00973090">
        <w:rPr>
          <w:lang w:val="fr-CA"/>
        </w:rPr>
        <w:t xml:space="preserve">Keast </w:t>
      </w:r>
      <w:r w:rsidRPr="00973090">
        <w:rPr>
          <w:lang w:val="fr-CA"/>
        </w:rPr>
        <w:t xml:space="preserve">et la magistrature, le comité d’audience a tenu compte d’un dossier contenant 60 lettres de soutien pour le juge </w:t>
      </w:r>
      <w:r w:rsidR="004126AA" w:rsidRPr="00973090">
        <w:rPr>
          <w:lang w:val="fr-CA"/>
        </w:rPr>
        <w:t xml:space="preserve">Keast. </w:t>
      </w:r>
      <w:r w:rsidRPr="00973090">
        <w:rPr>
          <w:lang w:val="fr-CA"/>
        </w:rPr>
        <w:t>Nous parlerons plus en détail ci-dessous de ce dossier</w:t>
      </w:r>
      <w:r w:rsidR="004126AA" w:rsidRPr="00973090">
        <w:rPr>
          <w:lang w:val="fr-CA"/>
        </w:rPr>
        <w:t xml:space="preserve">; </w:t>
      </w:r>
    </w:p>
    <w:p w14:paraId="3B3852AC" w14:textId="0A348BE5" w:rsidR="00FB5436" w:rsidRPr="00973090" w:rsidRDefault="00B23FB3" w:rsidP="0073080E">
      <w:pPr>
        <w:pStyle w:val="AParaNumbering"/>
        <w:numPr>
          <w:ilvl w:val="0"/>
          <w:numId w:val="29"/>
        </w:numPr>
        <w:rPr>
          <w:lang w:val="fr-CA"/>
        </w:rPr>
      </w:pPr>
      <w:r w:rsidRPr="00973090">
        <w:rPr>
          <w:lang w:val="fr-CA"/>
        </w:rPr>
        <w:t xml:space="preserve">Les actions du juge </w:t>
      </w:r>
      <w:r w:rsidR="00B72F15" w:rsidRPr="00973090">
        <w:rPr>
          <w:lang w:val="fr-CA"/>
        </w:rPr>
        <w:t>Keast</w:t>
      </w:r>
      <w:r w:rsidRPr="00973090">
        <w:rPr>
          <w:lang w:val="fr-CA"/>
        </w:rPr>
        <w:t xml:space="preserve"> ne signifient pas qu’il a profité de sa position judiciaire pour satisfaire des désirs personnels</w:t>
      </w:r>
      <w:r w:rsidR="00B72F15" w:rsidRPr="00973090">
        <w:rPr>
          <w:lang w:val="fr-CA"/>
        </w:rPr>
        <w:t>.</w:t>
      </w:r>
    </w:p>
    <w:p w14:paraId="7AC86E24" w14:textId="063609CF" w:rsidR="00AA3804" w:rsidRPr="00973090" w:rsidRDefault="00B23FB3" w:rsidP="001B0D4F">
      <w:pPr>
        <w:pStyle w:val="AParaNumbering"/>
        <w:rPr>
          <w:lang w:val="fr-CA"/>
        </w:rPr>
      </w:pPr>
      <w:r w:rsidRPr="00973090">
        <w:rPr>
          <w:lang w:val="fr-CA"/>
        </w:rPr>
        <w:t xml:space="preserve">Après avoir examiné attentivement ce qui précède, le comité d’audience n’a pas </w:t>
      </w:r>
      <w:r w:rsidR="00E045A4">
        <w:rPr>
          <w:lang w:val="fr-CA"/>
        </w:rPr>
        <w:t xml:space="preserve">pu </w:t>
      </w:r>
      <w:r w:rsidRPr="00973090">
        <w:rPr>
          <w:lang w:val="fr-CA"/>
        </w:rPr>
        <w:t>accept</w:t>
      </w:r>
      <w:r w:rsidR="00E045A4">
        <w:rPr>
          <w:lang w:val="fr-CA"/>
        </w:rPr>
        <w:t>er</w:t>
      </w:r>
      <w:r w:rsidRPr="00973090">
        <w:rPr>
          <w:lang w:val="fr-CA"/>
        </w:rPr>
        <w:t xml:space="preserve"> les arguments de l’avocat chargé de la présentation ni ceux de l’avocat du juge </w:t>
      </w:r>
      <w:r w:rsidR="00854278" w:rsidRPr="00973090">
        <w:rPr>
          <w:lang w:val="fr-CA"/>
        </w:rPr>
        <w:t>Keast</w:t>
      </w:r>
      <w:r w:rsidR="00A06B4F" w:rsidRPr="00973090">
        <w:rPr>
          <w:lang w:val="fr-CA"/>
        </w:rPr>
        <w:t xml:space="preserve"> </w:t>
      </w:r>
      <w:r w:rsidRPr="00973090">
        <w:rPr>
          <w:lang w:val="fr-CA"/>
        </w:rPr>
        <w:t>en ce qui concerne la mesure appropriée</w:t>
      </w:r>
      <w:r w:rsidR="0068041F" w:rsidRPr="00973090">
        <w:rPr>
          <w:lang w:val="fr-CA"/>
        </w:rPr>
        <w:t xml:space="preserve">. </w:t>
      </w:r>
      <w:r w:rsidRPr="00973090">
        <w:rPr>
          <w:lang w:val="fr-CA"/>
        </w:rPr>
        <w:t xml:space="preserve">Rappelons que l’avocat chargé de la présentation a plaidé en faveur d’une suspension du juge </w:t>
      </w:r>
      <w:r w:rsidR="001B0D4F" w:rsidRPr="00973090">
        <w:rPr>
          <w:lang w:val="fr-CA"/>
        </w:rPr>
        <w:t>Keast</w:t>
      </w:r>
      <w:r w:rsidR="00854278" w:rsidRPr="00973090">
        <w:rPr>
          <w:lang w:val="fr-CA"/>
        </w:rPr>
        <w:t xml:space="preserve">, </w:t>
      </w:r>
      <w:r w:rsidRPr="00973090">
        <w:rPr>
          <w:lang w:val="fr-CA"/>
        </w:rPr>
        <w:t xml:space="preserve">sans rémunération, pendant 15 jours et que l’avocat du juge </w:t>
      </w:r>
      <w:r w:rsidR="001B0D4F" w:rsidRPr="00973090">
        <w:rPr>
          <w:lang w:val="fr-CA"/>
        </w:rPr>
        <w:t>Keast</w:t>
      </w:r>
      <w:r w:rsidRPr="00973090">
        <w:rPr>
          <w:lang w:val="fr-CA"/>
        </w:rPr>
        <w:t xml:space="preserve"> a proposé un avertissement ou une réprimande</w:t>
      </w:r>
      <w:r w:rsidR="00AA3804" w:rsidRPr="00973090">
        <w:rPr>
          <w:lang w:val="fr-CA"/>
        </w:rPr>
        <w:t xml:space="preserve">. </w:t>
      </w:r>
    </w:p>
    <w:p w14:paraId="76365D3A" w14:textId="736F0B27" w:rsidR="00AA3804" w:rsidRPr="00973090" w:rsidRDefault="00B23FB3" w:rsidP="00AA3804">
      <w:pPr>
        <w:pStyle w:val="AParaNumbering"/>
        <w:rPr>
          <w:lang w:val="fr-CA"/>
        </w:rPr>
      </w:pPr>
      <w:r w:rsidRPr="00973090">
        <w:rPr>
          <w:lang w:val="fr-CA"/>
        </w:rPr>
        <w:t xml:space="preserve">À notre avis, étant donné la nature et la portée de l’inconduite, nous avons décidé que notre choix devait porter sur deux mesures : la sanction la plus grave </w:t>
      </w:r>
      <w:r w:rsidR="00E045A4">
        <w:rPr>
          <w:lang w:val="fr-CA"/>
        </w:rPr>
        <w:t xml:space="preserve">après la destitution </w:t>
      </w:r>
      <w:r w:rsidR="00AA3804" w:rsidRPr="00973090">
        <w:rPr>
          <w:lang w:val="fr-CA"/>
        </w:rPr>
        <w:t xml:space="preserve">– </w:t>
      </w:r>
      <w:r w:rsidR="00E045A4">
        <w:rPr>
          <w:lang w:val="fr-CA"/>
        </w:rPr>
        <w:t xml:space="preserve">à savoir </w:t>
      </w:r>
      <w:r w:rsidRPr="00973090">
        <w:rPr>
          <w:lang w:val="fr-CA"/>
        </w:rPr>
        <w:t xml:space="preserve">la </w:t>
      </w:r>
      <w:r w:rsidR="00AA3804" w:rsidRPr="00973090">
        <w:rPr>
          <w:lang w:val="fr-CA"/>
        </w:rPr>
        <w:t xml:space="preserve">suspension </w:t>
      </w:r>
      <w:r w:rsidRPr="00973090">
        <w:rPr>
          <w:lang w:val="fr-CA"/>
        </w:rPr>
        <w:t>sans rémunération pendant 30 jours</w:t>
      </w:r>
      <w:r w:rsidR="00AA3804" w:rsidRPr="00973090">
        <w:rPr>
          <w:lang w:val="fr-CA"/>
        </w:rPr>
        <w:t xml:space="preserve"> – </w:t>
      </w:r>
      <w:r w:rsidRPr="00973090">
        <w:rPr>
          <w:lang w:val="fr-CA"/>
        </w:rPr>
        <w:t xml:space="preserve">et la recommandation de destitution du juge </w:t>
      </w:r>
      <w:r w:rsidR="0031091F" w:rsidRPr="00973090">
        <w:rPr>
          <w:lang w:val="fr-CA"/>
        </w:rPr>
        <w:t>Keast</w:t>
      </w:r>
      <w:r w:rsidR="00AA3804" w:rsidRPr="00973090">
        <w:rPr>
          <w:lang w:val="fr-CA"/>
        </w:rPr>
        <w:t>.</w:t>
      </w:r>
    </w:p>
    <w:p w14:paraId="1EA3678B" w14:textId="060BDC05" w:rsidR="0068041F" w:rsidRPr="00973090" w:rsidRDefault="00B23FB3" w:rsidP="0068041F">
      <w:pPr>
        <w:pStyle w:val="AParaNumbering"/>
        <w:rPr>
          <w:lang w:val="fr-CA"/>
        </w:rPr>
      </w:pPr>
      <w:r w:rsidRPr="00973090">
        <w:rPr>
          <w:lang w:val="fr-CA"/>
        </w:rPr>
        <w:t>Pour terminer, nous avons conclu qu’une recommandation de destitution n’était pas nécessaire pour rétablir la confiance du public envers le juge Keast et l’administration de la justice en général</w:t>
      </w:r>
      <w:r w:rsidR="00AA3804" w:rsidRPr="00973090">
        <w:rPr>
          <w:rFonts w:cs="Arial"/>
          <w:szCs w:val="26"/>
          <w:lang w:val="fr-CA"/>
        </w:rPr>
        <w:t>.</w:t>
      </w:r>
      <w:r w:rsidR="0068041F" w:rsidRPr="00973090">
        <w:rPr>
          <w:rFonts w:cs="Arial"/>
          <w:szCs w:val="26"/>
          <w:lang w:val="fr-CA"/>
        </w:rPr>
        <w:t xml:space="preserve"> </w:t>
      </w:r>
      <w:r w:rsidRPr="00973090">
        <w:rPr>
          <w:rFonts w:cs="Arial"/>
          <w:szCs w:val="26"/>
          <w:lang w:val="fr-CA"/>
        </w:rPr>
        <w:t xml:space="preserve">Le juge Keast a été un juge exemplaire pendant 17 ans. </w:t>
      </w:r>
      <w:r w:rsidRPr="00973090">
        <w:rPr>
          <w:lang w:val="fr-CA"/>
        </w:rPr>
        <w:t xml:space="preserve">Sa </w:t>
      </w:r>
      <w:r w:rsidR="00DB0989" w:rsidRPr="00973090">
        <w:rPr>
          <w:lang w:val="fr-CA"/>
        </w:rPr>
        <w:t>conduite, telle qu’exprimée dans les textos, est en totale rupture avec le reste de sa carrière</w:t>
      </w:r>
      <w:r w:rsidR="0068041F" w:rsidRPr="00973090">
        <w:rPr>
          <w:lang w:val="fr-CA"/>
        </w:rPr>
        <w:t xml:space="preserve">, </w:t>
      </w:r>
      <w:r w:rsidR="00DB0989" w:rsidRPr="00973090">
        <w:rPr>
          <w:lang w:val="fr-CA"/>
        </w:rPr>
        <w:t>aussi bien avant qu’après sa nomination à la magistrature. Nous sommes convaincus qu’une conduite de ce genre ne se reproduira plus</w:t>
      </w:r>
      <w:r w:rsidR="00E045A4">
        <w:rPr>
          <w:lang w:val="fr-CA"/>
        </w:rPr>
        <w:t xml:space="preserve"> jamais</w:t>
      </w:r>
      <w:r w:rsidR="00DB0989" w:rsidRPr="00973090">
        <w:rPr>
          <w:lang w:val="fr-CA"/>
        </w:rPr>
        <w:t>. Nous sommes aussi convaincus que sa réputation de juge équitable et impartial, déterminé à respecter les normes les plus élevées de conduite judiciaire, est tout à fait justifiée</w:t>
      </w:r>
      <w:r w:rsidR="0068041F" w:rsidRPr="00973090">
        <w:rPr>
          <w:lang w:val="fr-CA"/>
        </w:rPr>
        <w:t xml:space="preserve">. </w:t>
      </w:r>
    </w:p>
    <w:p w14:paraId="7DC80181" w14:textId="2A813238" w:rsidR="00521E68" w:rsidRPr="00973090" w:rsidRDefault="00973090" w:rsidP="00521E68">
      <w:pPr>
        <w:pStyle w:val="AParaNumbering"/>
        <w:rPr>
          <w:lang w:val="fr-CA"/>
        </w:rPr>
      </w:pPr>
      <w:r w:rsidRPr="00973090">
        <w:rPr>
          <w:lang w:val="fr-CA"/>
        </w:rPr>
        <w:t xml:space="preserve">Nous avons </w:t>
      </w:r>
      <w:r w:rsidR="00E045A4">
        <w:rPr>
          <w:lang w:val="fr-CA"/>
        </w:rPr>
        <w:t>apprécié</w:t>
      </w:r>
      <w:r w:rsidRPr="00973090">
        <w:rPr>
          <w:lang w:val="fr-CA"/>
        </w:rPr>
        <w:t xml:space="preserve"> la réputation du juge Keast grâce au dossier contenant 60 lettres de soutien de collègues et de supérieurs de la magistrature</w:t>
      </w:r>
      <w:r w:rsidR="00521E68" w:rsidRPr="00973090">
        <w:rPr>
          <w:lang w:val="fr-CA"/>
        </w:rPr>
        <w:t xml:space="preserve">, </w:t>
      </w:r>
      <w:r w:rsidRPr="00973090">
        <w:rPr>
          <w:lang w:val="fr-CA"/>
        </w:rPr>
        <w:t xml:space="preserve">d’avocats, de membres du personnel judiciaire et de membres du public, qui a été remis au comité d’audience. Les auteurs de ces lettres déclarent clairement qu’ils comprennent la nature et la portée des actions du juge Keast. </w:t>
      </w:r>
      <w:r w:rsidR="00E045A4">
        <w:rPr>
          <w:lang w:val="fr-CA"/>
        </w:rPr>
        <w:t>M</w:t>
      </w:r>
      <w:r w:rsidRPr="00973090">
        <w:rPr>
          <w:lang w:val="fr-CA"/>
        </w:rPr>
        <w:t xml:space="preserve">algré cela, ils louent son travail sérieux à la magistrature et </w:t>
      </w:r>
      <w:r w:rsidR="00E045A4">
        <w:rPr>
          <w:lang w:val="fr-CA"/>
        </w:rPr>
        <w:t xml:space="preserve">dans le domaine de l’éducation </w:t>
      </w:r>
      <w:r w:rsidRPr="00973090">
        <w:rPr>
          <w:lang w:val="fr-CA"/>
        </w:rPr>
        <w:t xml:space="preserve">judiciaire, son professionnalisme, son intégrité et son impartialité. </w:t>
      </w:r>
      <w:r w:rsidR="00E045A4">
        <w:rPr>
          <w:lang w:val="fr-CA"/>
        </w:rPr>
        <w:t xml:space="preserve">À la lecture de ces lettres, on a l’impression </w:t>
      </w:r>
      <w:r w:rsidRPr="00973090">
        <w:rPr>
          <w:lang w:val="fr-CA"/>
        </w:rPr>
        <w:t xml:space="preserve">que l’inconduite du juge Keast </w:t>
      </w:r>
      <w:r w:rsidR="00E045A4">
        <w:rPr>
          <w:lang w:val="fr-CA"/>
        </w:rPr>
        <w:t xml:space="preserve">a </w:t>
      </w:r>
      <w:r w:rsidRPr="00973090">
        <w:rPr>
          <w:lang w:val="fr-CA"/>
        </w:rPr>
        <w:t>découl</w:t>
      </w:r>
      <w:r w:rsidR="00E045A4">
        <w:rPr>
          <w:lang w:val="fr-CA"/>
        </w:rPr>
        <w:t>é</w:t>
      </w:r>
      <w:r w:rsidRPr="00973090">
        <w:rPr>
          <w:lang w:val="fr-CA"/>
        </w:rPr>
        <w:t xml:space="preserve"> de son désir de protéger un jeune en danger. Son inquiétude </w:t>
      </w:r>
      <w:r>
        <w:rPr>
          <w:lang w:val="fr-CA"/>
        </w:rPr>
        <w:t>pour le jeune en danger, conjuguée à son amitié de longue date avec le destinataire des textos, l’a conduit à perdre son sens du jugement et à estomper les limites entre ses fonctions judiciaires et sa vie personnelle</w:t>
      </w:r>
      <w:r w:rsidR="00521E68" w:rsidRPr="00973090">
        <w:rPr>
          <w:lang w:val="fr-CA"/>
        </w:rPr>
        <w:t xml:space="preserve">.  </w:t>
      </w:r>
    </w:p>
    <w:p w14:paraId="7CEEB309" w14:textId="41308E1C" w:rsidR="009171C1" w:rsidRPr="00973090" w:rsidRDefault="002D79BF" w:rsidP="00961A83">
      <w:pPr>
        <w:pStyle w:val="AParaNumbering"/>
        <w:rPr>
          <w:lang w:val="fr-CA"/>
        </w:rPr>
      </w:pPr>
      <w:r>
        <w:rPr>
          <w:lang w:val="fr-CA"/>
        </w:rPr>
        <w:t>Les textos représentent un incident isolé sur une carrière judiciaire irréprochable de 17 ans. Ils ont été le produit de circonstances personnelles difficiles, exceptionnelles, dans lesquelles le juge Keast s’efforçait de protéger une personne vulnérable</w:t>
      </w:r>
      <w:r w:rsidR="00B4295D" w:rsidRPr="00973090">
        <w:rPr>
          <w:lang w:val="fr-CA"/>
        </w:rPr>
        <w:t>.</w:t>
      </w:r>
      <w:r w:rsidR="00B3149A" w:rsidRPr="00973090">
        <w:rPr>
          <w:lang w:val="fr-CA"/>
        </w:rPr>
        <w:t xml:space="preserve"> </w:t>
      </w:r>
      <w:r>
        <w:rPr>
          <w:lang w:val="fr-CA"/>
        </w:rPr>
        <w:t xml:space="preserve">Les actions n’ont pas eu lieu dans la salle d’audience ou en public. Bien que les textos révèlent un manque grave de jugement, personne ne dispute le fait que le juge Keast était motivé par un objectif bien intentionné. En outre, le juge Keast a bien essayé de régler </w:t>
      </w:r>
      <w:r w:rsidR="0021058F">
        <w:rPr>
          <w:lang w:val="fr-CA"/>
        </w:rPr>
        <w:t xml:space="preserve">le </w:t>
      </w:r>
      <w:r>
        <w:rPr>
          <w:lang w:val="fr-CA"/>
        </w:rPr>
        <w:t xml:space="preserve">conflit d’intérêts apparent </w:t>
      </w:r>
      <w:r w:rsidR="0021058F">
        <w:rPr>
          <w:lang w:val="fr-CA"/>
        </w:rPr>
        <w:t xml:space="preserve">dans lequel il se trouvait </w:t>
      </w:r>
      <w:r>
        <w:rPr>
          <w:lang w:val="fr-CA"/>
        </w:rPr>
        <w:t xml:space="preserve">en demandant conseil à son </w:t>
      </w:r>
      <w:r w:rsidR="0021058F">
        <w:t>juge principal régional</w:t>
      </w:r>
      <w:r w:rsidR="009171C1" w:rsidRPr="00973090">
        <w:rPr>
          <w:lang w:val="fr-CA"/>
        </w:rPr>
        <w:t>.</w:t>
      </w:r>
    </w:p>
    <w:p w14:paraId="6C57662A" w14:textId="225BED32" w:rsidR="00FC1BDC" w:rsidRPr="00973090" w:rsidRDefault="002D79BF" w:rsidP="00961A83">
      <w:pPr>
        <w:pStyle w:val="AParaNumbering"/>
        <w:rPr>
          <w:lang w:val="fr-CA"/>
        </w:rPr>
      </w:pPr>
      <w:r>
        <w:rPr>
          <w:lang w:val="fr-CA"/>
        </w:rPr>
        <w:t xml:space="preserve">De sa propre initiative, le juge Keast a suivi </w:t>
      </w:r>
      <w:r w:rsidR="00B3149A" w:rsidRPr="00973090">
        <w:rPr>
          <w:lang w:val="fr-CA"/>
        </w:rPr>
        <w:t xml:space="preserve">– </w:t>
      </w:r>
      <w:r>
        <w:rPr>
          <w:lang w:val="fr-CA"/>
        </w:rPr>
        <w:t>et terminé</w:t>
      </w:r>
      <w:r w:rsidR="00B3149A" w:rsidRPr="00973090">
        <w:rPr>
          <w:lang w:val="fr-CA"/>
        </w:rPr>
        <w:t xml:space="preserve"> </w:t>
      </w:r>
      <w:r w:rsidR="00FC1BDC" w:rsidRPr="00973090">
        <w:rPr>
          <w:lang w:val="fr-CA"/>
        </w:rPr>
        <w:t>–</w:t>
      </w:r>
      <w:r w:rsidR="00B3149A" w:rsidRPr="00973090">
        <w:rPr>
          <w:lang w:val="fr-CA"/>
        </w:rPr>
        <w:t xml:space="preserve"> </w:t>
      </w:r>
      <w:r>
        <w:rPr>
          <w:lang w:val="fr-CA"/>
        </w:rPr>
        <w:t>des séances de counseling, qui lui ont permis de comprendre ce qui s’était passé et l’ont armé des outils nécessaires pour éviter une conduite de ce genre à l’avenir</w:t>
      </w:r>
      <w:r w:rsidR="00FC1BDC" w:rsidRPr="00973090">
        <w:rPr>
          <w:lang w:val="fr-CA"/>
        </w:rPr>
        <w:t xml:space="preserve">.  </w:t>
      </w:r>
    </w:p>
    <w:p w14:paraId="6FF749DF" w14:textId="1DC3B080" w:rsidR="00C73B19" w:rsidRPr="00973090" w:rsidRDefault="002D79BF" w:rsidP="00961A83">
      <w:pPr>
        <w:pStyle w:val="AParaNumbering"/>
        <w:rPr>
          <w:lang w:val="fr-CA"/>
        </w:rPr>
      </w:pPr>
      <w:r>
        <w:rPr>
          <w:lang w:val="fr-CA"/>
        </w:rPr>
        <w:t xml:space="preserve">Dans les circonstances, nous sommes convaincus que le juge Keast ne se conduira plus </w:t>
      </w:r>
      <w:r w:rsidR="00FF1B6D">
        <w:rPr>
          <w:lang w:val="fr-CA"/>
        </w:rPr>
        <w:t xml:space="preserve">jamais </w:t>
      </w:r>
      <w:r>
        <w:rPr>
          <w:lang w:val="fr-CA"/>
        </w:rPr>
        <w:t xml:space="preserve">de cette façon et que la SAE n’a </w:t>
      </w:r>
      <w:r w:rsidR="00FF1B6D">
        <w:rPr>
          <w:lang w:val="fr-CA"/>
        </w:rPr>
        <w:t>pas à craindre un traitement préjudiciable de la part du juge Keast</w:t>
      </w:r>
      <w:r w:rsidR="00282F79" w:rsidRPr="00973090">
        <w:rPr>
          <w:lang w:val="fr-CA"/>
        </w:rPr>
        <w:t xml:space="preserve">.  </w:t>
      </w:r>
    </w:p>
    <w:p w14:paraId="7CD9F083" w14:textId="37632CBD" w:rsidR="00CE5210" w:rsidRPr="00973090" w:rsidRDefault="00FF1B6D" w:rsidP="00CE5210">
      <w:pPr>
        <w:pStyle w:val="AParaNumbering"/>
        <w:rPr>
          <w:lang w:val="fr-CA"/>
        </w:rPr>
      </w:pPr>
      <w:r>
        <w:rPr>
          <w:lang w:val="fr-CA"/>
        </w:rPr>
        <w:t xml:space="preserve">Comme nous l’avons indiqué ci-dessus, le comité d’audience a conclu que les sanctions suivantes étaient appropriées en l’espèce </w:t>
      </w:r>
      <w:r w:rsidR="00CE5210" w:rsidRPr="00973090">
        <w:rPr>
          <w:lang w:val="fr-CA"/>
        </w:rPr>
        <w:t xml:space="preserve">: </w:t>
      </w:r>
      <w:r>
        <w:rPr>
          <w:lang w:val="fr-CA"/>
        </w:rPr>
        <w:t xml:space="preserve">une réprimande, l’ordre que le juge présente des excuses; </w:t>
      </w:r>
      <w:r w:rsidR="0021058F">
        <w:rPr>
          <w:lang w:val="fr-CA"/>
        </w:rPr>
        <w:t>la suspension du</w:t>
      </w:r>
      <w:r>
        <w:rPr>
          <w:lang w:val="fr-CA"/>
        </w:rPr>
        <w:t xml:space="preserve"> juge Keast, sans rémunération, pendant 30 jours. Nous relevons que ces sanctions viennent s’ajouter au fait que le juge Keast n’a pas été assigné à présider depuis 15 mois et que cette mesure lui a causé beaucoup d’anxiété</w:t>
      </w:r>
      <w:r w:rsidR="009171C1" w:rsidRPr="00973090">
        <w:rPr>
          <w:lang w:val="fr-CA"/>
        </w:rPr>
        <w:t>.</w:t>
      </w:r>
    </w:p>
    <w:p w14:paraId="4FECBF36" w14:textId="5EFD6D45" w:rsidR="00CE5210" w:rsidRPr="00973090" w:rsidRDefault="00DE6405" w:rsidP="00961A83">
      <w:pPr>
        <w:pStyle w:val="AParaNumbering"/>
        <w:rPr>
          <w:lang w:val="fr-CA"/>
        </w:rPr>
      </w:pPr>
      <w:r>
        <w:rPr>
          <w:lang w:val="fr-CA"/>
        </w:rPr>
        <w:t>Une réprimande est justif</w:t>
      </w:r>
      <w:r w:rsidR="0021058F">
        <w:rPr>
          <w:lang w:val="fr-CA"/>
        </w:rPr>
        <w:t>i</w:t>
      </w:r>
      <w:r>
        <w:rPr>
          <w:lang w:val="fr-CA"/>
        </w:rPr>
        <w:t>ée, étant donné la gravité de l’inconduite</w:t>
      </w:r>
      <w:r w:rsidR="004A0409" w:rsidRPr="00973090">
        <w:rPr>
          <w:lang w:val="fr-CA"/>
        </w:rPr>
        <w:t xml:space="preserve">.  </w:t>
      </w:r>
    </w:p>
    <w:p w14:paraId="48704A91" w14:textId="6BA270BC" w:rsidR="003A760A" w:rsidRPr="00973090" w:rsidRDefault="00DE6405" w:rsidP="00961A83">
      <w:pPr>
        <w:pStyle w:val="AParaNumbering"/>
        <w:rPr>
          <w:lang w:val="fr-CA"/>
        </w:rPr>
      </w:pPr>
      <w:r>
        <w:rPr>
          <w:lang w:val="fr-CA"/>
        </w:rPr>
        <w:t>Par ailleurs, bien que le juge Keast se soit excusé, par écrit, de ses commentaires déplacés et désobligeants et qu’il ait offert également ses excuses pendant l’audience, nous pensons qu’il devrait présenter ses excuses directement aux deux individus qu’il a injustement traités dans ses textos et à la SAE</w:t>
      </w:r>
      <w:r w:rsidR="004A0409" w:rsidRPr="00973090">
        <w:rPr>
          <w:lang w:val="fr-CA"/>
        </w:rPr>
        <w:t xml:space="preserve">.  </w:t>
      </w:r>
    </w:p>
    <w:p w14:paraId="16E96F40" w14:textId="1F864A7A" w:rsidR="003051F3" w:rsidRPr="00973090" w:rsidRDefault="00216B40" w:rsidP="00961A83">
      <w:pPr>
        <w:pStyle w:val="AParaNumbering"/>
        <w:rPr>
          <w:lang w:val="fr-CA"/>
        </w:rPr>
      </w:pPr>
      <w:r>
        <w:rPr>
          <w:lang w:val="fr-CA"/>
        </w:rPr>
        <w:t>En outre, même si la desti</w:t>
      </w:r>
      <w:r w:rsidR="0021058F">
        <w:rPr>
          <w:lang w:val="fr-CA"/>
        </w:rPr>
        <w:t>tu</w:t>
      </w:r>
      <w:r>
        <w:rPr>
          <w:lang w:val="fr-CA"/>
        </w:rPr>
        <w:t>tion ne se justifie pas, à notre avis, il y a lieu de lui imposer la san</w:t>
      </w:r>
      <w:r w:rsidR="00B72DAE">
        <w:rPr>
          <w:lang w:val="fr-CA"/>
        </w:rPr>
        <w:t>c</w:t>
      </w:r>
      <w:r>
        <w:rPr>
          <w:lang w:val="fr-CA"/>
        </w:rPr>
        <w:t xml:space="preserve">tion la plus grave que prévoit la loi, à part la destitution. Pour cette raison, nous lui imposons également </w:t>
      </w:r>
      <w:r w:rsidR="0021058F">
        <w:rPr>
          <w:lang w:val="fr-CA"/>
        </w:rPr>
        <w:t>une</w:t>
      </w:r>
      <w:r>
        <w:rPr>
          <w:lang w:val="fr-CA"/>
        </w:rPr>
        <w:t xml:space="preserve"> suspension, sans rémunération, pendant 30 jours</w:t>
      </w:r>
      <w:r w:rsidR="002C50B0" w:rsidRPr="00973090">
        <w:rPr>
          <w:lang w:val="fr-CA"/>
        </w:rPr>
        <w:t>.</w:t>
      </w:r>
      <w:r w:rsidR="00E75B2E" w:rsidRPr="00973090">
        <w:rPr>
          <w:lang w:val="fr-CA"/>
        </w:rPr>
        <w:t xml:space="preserve">  </w:t>
      </w:r>
    </w:p>
    <w:p w14:paraId="145DA42C" w14:textId="01C4D95B" w:rsidR="00FF18FA" w:rsidRPr="00973090" w:rsidRDefault="009A5DF5" w:rsidP="009A5DF5">
      <w:pPr>
        <w:pStyle w:val="AParaNumbering"/>
        <w:numPr>
          <w:ilvl w:val="0"/>
          <w:numId w:val="0"/>
        </w:numPr>
        <w:rPr>
          <w:b/>
          <w:lang w:val="fr-CA"/>
        </w:rPr>
      </w:pPr>
      <w:r w:rsidRPr="00973090">
        <w:rPr>
          <w:b/>
          <w:lang w:val="fr-CA"/>
        </w:rPr>
        <w:t>D</w:t>
      </w:r>
      <w:r w:rsidR="00216B40">
        <w:rPr>
          <w:b/>
          <w:lang w:val="fr-CA"/>
        </w:rPr>
        <w:t>ÉCISION</w:t>
      </w:r>
    </w:p>
    <w:p w14:paraId="676FEF1E" w14:textId="48336258" w:rsidR="009A5DF5" w:rsidRPr="00973090" w:rsidRDefault="00216B40" w:rsidP="00BF7E4D">
      <w:pPr>
        <w:pStyle w:val="AParaNumbering"/>
        <w:rPr>
          <w:lang w:val="fr-CA"/>
        </w:rPr>
      </w:pPr>
      <w:r>
        <w:rPr>
          <w:lang w:val="fr-CA"/>
        </w:rPr>
        <w:t xml:space="preserve">En conséquence, nous rendons l’ordonnance suivante, conformément au paragraphe </w:t>
      </w:r>
      <w:r w:rsidR="009A5DF5" w:rsidRPr="00973090">
        <w:rPr>
          <w:lang w:val="fr-CA"/>
        </w:rPr>
        <w:t>51.6</w:t>
      </w:r>
      <w:r>
        <w:rPr>
          <w:lang w:val="fr-CA"/>
        </w:rPr>
        <w:t xml:space="preserve"> </w:t>
      </w:r>
      <w:r w:rsidR="009A5DF5" w:rsidRPr="00973090">
        <w:rPr>
          <w:lang w:val="fr-CA"/>
        </w:rPr>
        <w:t xml:space="preserve">(11) </w:t>
      </w:r>
      <w:r>
        <w:rPr>
          <w:lang w:val="fr-CA"/>
        </w:rPr>
        <w:t xml:space="preserve">de la Loi </w:t>
      </w:r>
      <w:r w:rsidR="009A5DF5" w:rsidRPr="00973090">
        <w:rPr>
          <w:lang w:val="fr-CA"/>
        </w:rPr>
        <w:t>:</w:t>
      </w:r>
    </w:p>
    <w:p w14:paraId="4C354882" w14:textId="53D5B7E5" w:rsidR="009A5DF5" w:rsidRPr="00973090" w:rsidRDefault="00301A4F" w:rsidP="00301A4F">
      <w:pPr>
        <w:pStyle w:val="AParaNumbering"/>
        <w:numPr>
          <w:ilvl w:val="0"/>
          <w:numId w:val="0"/>
        </w:numPr>
        <w:ind w:left="1440"/>
        <w:rPr>
          <w:lang w:val="fr-CA"/>
        </w:rPr>
      </w:pPr>
      <w:r w:rsidRPr="00973090">
        <w:rPr>
          <w:lang w:val="fr-CA"/>
        </w:rPr>
        <w:t>a.</w:t>
      </w:r>
      <w:r w:rsidR="009A5DF5" w:rsidRPr="00973090">
        <w:rPr>
          <w:lang w:val="fr-CA"/>
        </w:rPr>
        <w:t xml:space="preserve"> </w:t>
      </w:r>
      <w:r w:rsidR="0031399E">
        <w:rPr>
          <w:lang w:val="fr-CA"/>
        </w:rPr>
        <w:t>Le juge Keast est réprimandé pour sa violation des normes de conduite judiciaire</w:t>
      </w:r>
      <w:r w:rsidR="009A5DF5" w:rsidRPr="00973090">
        <w:rPr>
          <w:lang w:val="fr-CA"/>
        </w:rPr>
        <w:t>;</w:t>
      </w:r>
    </w:p>
    <w:p w14:paraId="332B91AC" w14:textId="74848D23" w:rsidR="009A5DF5" w:rsidRPr="00973090" w:rsidRDefault="00301A4F" w:rsidP="00301A4F">
      <w:pPr>
        <w:pStyle w:val="AParaNumbering"/>
        <w:numPr>
          <w:ilvl w:val="0"/>
          <w:numId w:val="0"/>
        </w:numPr>
        <w:ind w:left="1440"/>
        <w:rPr>
          <w:lang w:val="fr-CA"/>
        </w:rPr>
      </w:pPr>
      <w:r w:rsidRPr="00973090">
        <w:rPr>
          <w:lang w:val="fr-CA"/>
        </w:rPr>
        <w:t>b.</w:t>
      </w:r>
      <w:r w:rsidR="00DE6EA0" w:rsidRPr="00973090">
        <w:rPr>
          <w:lang w:val="fr-CA"/>
        </w:rPr>
        <w:t xml:space="preserve"> </w:t>
      </w:r>
      <w:r w:rsidR="0031399E">
        <w:rPr>
          <w:lang w:val="fr-CA"/>
        </w:rPr>
        <w:t xml:space="preserve">Le juge </w:t>
      </w:r>
      <w:r w:rsidR="009A5DF5" w:rsidRPr="00973090">
        <w:rPr>
          <w:lang w:val="fr-CA"/>
        </w:rPr>
        <w:t xml:space="preserve">Keast </w:t>
      </w:r>
      <w:r w:rsidR="0031399E">
        <w:rPr>
          <w:lang w:val="fr-CA"/>
        </w:rPr>
        <w:t xml:space="preserve">doit présenter des excuses par écrit aux deux individus qu’il a injustement traités dans ses textos et à la SAE. </w:t>
      </w:r>
      <w:r w:rsidR="0053584D">
        <w:rPr>
          <w:lang w:val="fr-CA"/>
        </w:rPr>
        <w:t xml:space="preserve">Les lettres d’excuses doivent être remises au greffier du Conseil qui les transmettra à l’avocat </w:t>
      </w:r>
      <w:r w:rsidR="00273A6A">
        <w:rPr>
          <w:lang w:val="fr-CA"/>
        </w:rPr>
        <w:t>de la SAE</w:t>
      </w:r>
      <w:r w:rsidR="0021058F">
        <w:rPr>
          <w:lang w:val="fr-CA"/>
        </w:rPr>
        <w:t>,</w:t>
      </w:r>
      <w:r w:rsidR="00273A6A">
        <w:rPr>
          <w:lang w:val="fr-CA"/>
        </w:rPr>
        <w:t xml:space="preserve"> qui se chargera de les communiquer </w:t>
      </w:r>
      <w:r w:rsidR="0021058F">
        <w:rPr>
          <w:lang w:val="fr-CA"/>
        </w:rPr>
        <w:t>à leurs</w:t>
      </w:r>
      <w:r w:rsidR="00273A6A">
        <w:rPr>
          <w:lang w:val="fr-CA"/>
        </w:rPr>
        <w:t xml:space="preserve"> destinataires</w:t>
      </w:r>
      <w:r w:rsidR="00000A86" w:rsidRPr="00973090">
        <w:rPr>
          <w:lang w:val="fr-CA"/>
        </w:rPr>
        <w:t>;</w:t>
      </w:r>
    </w:p>
    <w:p w14:paraId="29804349" w14:textId="35B65FD6" w:rsidR="009A5DF5" w:rsidRPr="00973090" w:rsidRDefault="00301A4F" w:rsidP="00301A4F">
      <w:pPr>
        <w:pStyle w:val="AParaNumbering"/>
        <w:numPr>
          <w:ilvl w:val="0"/>
          <w:numId w:val="0"/>
        </w:numPr>
        <w:ind w:left="1440"/>
        <w:rPr>
          <w:lang w:val="fr-CA"/>
        </w:rPr>
      </w:pPr>
      <w:r w:rsidRPr="00973090">
        <w:rPr>
          <w:lang w:val="fr-CA"/>
        </w:rPr>
        <w:t xml:space="preserve">c. </w:t>
      </w:r>
      <w:r w:rsidR="00273A6A">
        <w:rPr>
          <w:lang w:val="fr-CA"/>
        </w:rPr>
        <w:t>Le juge Keast est suspendu pendant 30 jours, sans rémunération</w:t>
      </w:r>
      <w:r w:rsidR="00A67044" w:rsidRPr="00973090">
        <w:rPr>
          <w:lang w:val="fr-CA"/>
        </w:rPr>
        <w:t>.</w:t>
      </w:r>
    </w:p>
    <w:p w14:paraId="38A20C28" w14:textId="77777777" w:rsidR="0024573E" w:rsidRPr="00973090" w:rsidRDefault="0095539C" w:rsidP="00301A4F">
      <w:pPr>
        <w:pStyle w:val="AParaNumbering"/>
        <w:numPr>
          <w:ilvl w:val="0"/>
          <w:numId w:val="0"/>
        </w:numPr>
        <w:rPr>
          <w:lang w:val="fr-CA"/>
        </w:rPr>
      </w:pPr>
      <w:r w:rsidRPr="00973090">
        <w:rPr>
          <w:lang w:val="fr-CA"/>
        </w:rPr>
        <w:t xml:space="preserve"> </w:t>
      </w:r>
    </w:p>
    <w:p w14:paraId="3BB91CB2" w14:textId="5DE3A146" w:rsidR="006F4DD8" w:rsidRPr="00973090" w:rsidRDefault="00273A6A" w:rsidP="006F4DD8">
      <w:pPr>
        <w:pStyle w:val="AParaNumbering"/>
        <w:numPr>
          <w:ilvl w:val="0"/>
          <w:numId w:val="0"/>
        </w:numPr>
        <w:rPr>
          <w:lang w:val="fr-CA"/>
        </w:rPr>
      </w:pPr>
      <w:r>
        <w:rPr>
          <w:lang w:val="fr-CA"/>
        </w:rPr>
        <w:t xml:space="preserve">Date : le 15 décembre </w:t>
      </w:r>
      <w:r w:rsidR="006F4DD8" w:rsidRPr="00973090">
        <w:rPr>
          <w:lang w:val="fr-CA"/>
        </w:rPr>
        <w:t>2017.</w:t>
      </w:r>
    </w:p>
    <w:p w14:paraId="478E9B0D" w14:textId="5AB13965" w:rsidR="00B6143D" w:rsidRPr="00973090" w:rsidRDefault="0033045D" w:rsidP="00F00E24">
      <w:pPr>
        <w:pStyle w:val="CQuote"/>
        <w:ind w:left="0"/>
        <w:rPr>
          <w:lang w:val="fr-CA"/>
        </w:rPr>
      </w:pPr>
      <w:r w:rsidRPr="00973090">
        <w:rPr>
          <w:lang w:val="fr-CA"/>
        </w:rPr>
        <w:t>“</w:t>
      </w:r>
      <w:r w:rsidR="00B6143D" w:rsidRPr="00973090">
        <w:rPr>
          <w:lang w:val="fr-CA"/>
        </w:rPr>
        <w:t>Ju</w:t>
      </w:r>
      <w:r w:rsidR="00273A6A">
        <w:rPr>
          <w:lang w:val="fr-CA"/>
        </w:rPr>
        <w:t>ge</w:t>
      </w:r>
      <w:r w:rsidR="00B6143D" w:rsidRPr="00973090">
        <w:rPr>
          <w:lang w:val="fr-CA"/>
        </w:rPr>
        <w:t xml:space="preserve"> Eileen E. Gillese</w:t>
      </w:r>
      <w:r w:rsidRPr="00973090">
        <w:rPr>
          <w:lang w:val="fr-CA"/>
        </w:rPr>
        <w:t>”</w:t>
      </w:r>
    </w:p>
    <w:p w14:paraId="44DF1904" w14:textId="70D6BB85" w:rsidR="006F4DD8" w:rsidRPr="00973090" w:rsidRDefault="0033045D" w:rsidP="00F00E24">
      <w:pPr>
        <w:pStyle w:val="CQuote"/>
        <w:ind w:left="0"/>
        <w:rPr>
          <w:lang w:val="fr-CA"/>
        </w:rPr>
      </w:pPr>
      <w:r w:rsidRPr="00973090">
        <w:rPr>
          <w:lang w:val="fr-CA"/>
        </w:rPr>
        <w:t>“</w:t>
      </w:r>
      <w:r w:rsidR="00B6143D" w:rsidRPr="00973090">
        <w:rPr>
          <w:lang w:val="fr-CA"/>
        </w:rPr>
        <w:t>Ju</w:t>
      </w:r>
      <w:r w:rsidR="00273A6A">
        <w:rPr>
          <w:lang w:val="fr-CA"/>
        </w:rPr>
        <w:t>ge</w:t>
      </w:r>
      <w:r w:rsidR="00B6143D" w:rsidRPr="00973090">
        <w:rPr>
          <w:lang w:val="fr-CA"/>
        </w:rPr>
        <w:t xml:space="preserve"> Lise </w:t>
      </w:r>
      <w:r w:rsidR="004827C5" w:rsidRPr="00973090">
        <w:rPr>
          <w:lang w:val="fr-CA"/>
        </w:rPr>
        <w:t xml:space="preserve">S. </w:t>
      </w:r>
      <w:r w:rsidR="00B6143D" w:rsidRPr="00973090">
        <w:rPr>
          <w:lang w:val="fr-CA"/>
        </w:rPr>
        <w:t>Parent</w:t>
      </w:r>
      <w:r w:rsidRPr="00973090">
        <w:rPr>
          <w:lang w:val="fr-CA"/>
        </w:rPr>
        <w:t>”</w:t>
      </w:r>
    </w:p>
    <w:p w14:paraId="3DCF7962" w14:textId="78E4C6BD" w:rsidR="00B6143D" w:rsidRPr="00973090" w:rsidRDefault="0033045D" w:rsidP="00F00E24">
      <w:pPr>
        <w:pStyle w:val="CQuote"/>
        <w:ind w:left="0"/>
        <w:rPr>
          <w:lang w:val="fr-CA"/>
        </w:rPr>
      </w:pPr>
      <w:r w:rsidRPr="00973090">
        <w:rPr>
          <w:lang w:val="fr-CA"/>
        </w:rPr>
        <w:t>“</w:t>
      </w:r>
      <w:r w:rsidR="00B6143D" w:rsidRPr="00973090">
        <w:rPr>
          <w:lang w:val="fr-CA"/>
        </w:rPr>
        <w:t xml:space="preserve">M. Christopher </w:t>
      </w:r>
      <w:r w:rsidR="004827C5" w:rsidRPr="00973090">
        <w:rPr>
          <w:lang w:val="fr-CA"/>
        </w:rPr>
        <w:t xml:space="preserve">D. </w:t>
      </w:r>
      <w:r w:rsidR="00B6143D" w:rsidRPr="00973090">
        <w:rPr>
          <w:lang w:val="fr-CA"/>
        </w:rPr>
        <w:t>Bredt</w:t>
      </w:r>
      <w:r w:rsidRPr="00973090">
        <w:rPr>
          <w:lang w:val="fr-CA"/>
        </w:rPr>
        <w:t>”</w:t>
      </w:r>
    </w:p>
    <w:p w14:paraId="5B7070A7" w14:textId="53FE8364" w:rsidR="00F00E24" w:rsidRPr="00973090" w:rsidRDefault="0033045D" w:rsidP="0033045D">
      <w:pPr>
        <w:pStyle w:val="CQuote"/>
        <w:ind w:left="0"/>
        <w:rPr>
          <w:lang w:val="fr-CA"/>
        </w:rPr>
      </w:pPr>
      <w:r w:rsidRPr="00973090">
        <w:rPr>
          <w:lang w:val="fr-CA"/>
        </w:rPr>
        <w:t>“</w:t>
      </w:r>
      <w:r w:rsidR="00B6143D" w:rsidRPr="00973090">
        <w:rPr>
          <w:lang w:val="fr-CA"/>
        </w:rPr>
        <w:t>M</w:t>
      </w:r>
      <w:r w:rsidR="00273A6A">
        <w:rPr>
          <w:lang w:val="fr-CA"/>
        </w:rPr>
        <w:t>me</w:t>
      </w:r>
      <w:r w:rsidR="00B6143D" w:rsidRPr="00973090">
        <w:rPr>
          <w:lang w:val="fr-CA"/>
        </w:rPr>
        <w:t xml:space="preserve"> Judith </w:t>
      </w:r>
      <w:r w:rsidR="004827C5" w:rsidRPr="00973090">
        <w:rPr>
          <w:lang w:val="fr-CA"/>
        </w:rPr>
        <w:t xml:space="preserve">A. </w:t>
      </w:r>
      <w:r w:rsidR="00B6143D" w:rsidRPr="00973090">
        <w:rPr>
          <w:lang w:val="fr-CA"/>
        </w:rPr>
        <w:t>Larocque</w:t>
      </w:r>
      <w:r w:rsidRPr="00973090">
        <w:rPr>
          <w:lang w:val="fr-CA"/>
        </w:rPr>
        <w:t>”</w:t>
      </w:r>
    </w:p>
    <w:sectPr w:rsidR="00F00E24" w:rsidRPr="00973090" w:rsidSect="003D51E5">
      <w:headerReference w:type="default" r:id="rId9"/>
      <w:pgSz w:w="12240" w:h="15840" w:code="1"/>
      <w:pgMar w:top="1440" w:right="1440" w:bottom="1440" w:left="1440" w:header="0" w:footer="706"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31FD3" w14:textId="77777777" w:rsidR="005A02E6" w:rsidRDefault="005A02E6" w:rsidP="00752EF4">
      <w:r>
        <w:separator/>
      </w:r>
    </w:p>
    <w:p w14:paraId="6878BEF0" w14:textId="77777777" w:rsidR="005A02E6" w:rsidRDefault="005A02E6"/>
  </w:endnote>
  <w:endnote w:type="continuationSeparator" w:id="0">
    <w:p w14:paraId="28B4CFC7" w14:textId="77777777" w:rsidR="005A02E6" w:rsidRDefault="005A02E6" w:rsidP="00752EF4">
      <w:r>
        <w:continuationSeparator/>
      </w:r>
    </w:p>
    <w:p w14:paraId="3B93BE77" w14:textId="77777777" w:rsidR="005A02E6" w:rsidRDefault="005A0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94225" w14:textId="77777777" w:rsidR="005A02E6" w:rsidRDefault="005A02E6" w:rsidP="00752EF4">
      <w:r>
        <w:separator/>
      </w:r>
    </w:p>
    <w:p w14:paraId="796B55C4" w14:textId="77777777" w:rsidR="005A02E6" w:rsidRDefault="005A02E6"/>
  </w:footnote>
  <w:footnote w:type="continuationSeparator" w:id="0">
    <w:p w14:paraId="3DB67497" w14:textId="77777777" w:rsidR="005A02E6" w:rsidRDefault="005A02E6" w:rsidP="00752EF4">
      <w:r>
        <w:continuationSeparator/>
      </w:r>
    </w:p>
    <w:p w14:paraId="1BA38AB1" w14:textId="77777777" w:rsidR="005A02E6" w:rsidRDefault="005A02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A5AFD" w14:textId="77777777" w:rsidR="00524104" w:rsidRDefault="00524104" w:rsidP="00686133">
    <w:pPr>
      <w:rPr>
        <w:rStyle w:val="PageNumber"/>
      </w:rPr>
    </w:pPr>
  </w:p>
  <w:p w14:paraId="22C1718E" w14:textId="77777777" w:rsidR="00524104" w:rsidRDefault="00524104" w:rsidP="00686133">
    <w:pPr>
      <w:rPr>
        <w:rStyle w:val="PageNumber"/>
      </w:rPr>
    </w:pPr>
  </w:p>
  <w:p w14:paraId="722E1FA9" w14:textId="77777777" w:rsidR="00524104" w:rsidRDefault="00524104" w:rsidP="00686133">
    <w:pPr>
      <w:rPr>
        <w:rStyle w:val="PageNumber"/>
      </w:rPr>
    </w:pPr>
  </w:p>
  <w:p w14:paraId="6E8196BF" w14:textId="045247DF" w:rsidR="00524104" w:rsidRDefault="00524104" w:rsidP="00752EF4">
    <w:pPr>
      <w:jc w:val="center"/>
      <w:rPr>
        <w:rStyle w:val="PageNumber"/>
      </w:rPr>
    </w:pPr>
    <w:r>
      <w:rPr>
        <w:rStyle w:val="PageNumber"/>
      </w:rPr>
      <w:t xml:space="preserve">Page :  </w:t>
    </w:r>
    <w:r>
      <w:rPr>
        <w:rStyle w:val="PageNumber"/>
      </w:rPr>
      <w:fldChar w:fldCharType="begin"/>
    </w:r>
    <w:r>
      <w:rPr>
        <w:rStyle w:val="PageNumber"/>
      </w:rPr>
      <w:instrText xml:space="preserve">PAGE  </w:instrText>
    </w:r>
    <w:r>
      <w:rPr>
        <w:rStyle w:val="PageNumber"/>
      </w:rPr>
      <w:fldChar w:fldCharType="separate"/>
    </w:r>
    <w:r w:rsidR="00455B76">
      <w:rPr>
        <w:rStyle w:val="PageNumber"/>
        <w:noProof/>
      </w:rPr>
      <w:t>20</w:t>
    </w:r>
    <w:r>
      <w:rPr>
        <w:rStyle w:val="PageNumber"/>
      </w:rPr>
      <w:fldChar w:fldCharType="end"/>
    </w:r>
  </w:p>
  <w:p w14:paraId="7C80FD11" w14:textId="77777777" w:rsidR="00524104" w:rsidRDefault="00524104"/>
  <w:p w14:paraId="7B7973BA" w14:textId="77777777" w:rsidR="00524104" w:rsidRDefault="005241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B216DC"/>
    <w:lvl w:ilvl="0">
      <w:start w:val="1"/>
      <w:numFmt w:val="decimal"/>
      <w:lvlText w:val="%1."/>
      <w:lvlJc w:val="left"/>
      <w:pPr>
        <w:tabs>
          <w:tab w:val="num" w:pos="1492"/>
        </w:tabs>
        <w:ind w:left="1492" w:hanging="360"/>
      </w:pPr>
    </w:lvl>
  </w:abstractNum>
  <w:abstractNum w:abstractNumId="1">
    <w:nsid w:val="FFFFFF7D"/>
    <w:multiLevelType w:val="singleLevel"/>
    <w:tmpl w:val="C4BC0436"/>
    <w:lvl w:ilvl="0">
      <w:start w:val="1"/>
      <w:numFmt w:val="decimal"/>
      <w:lvlText w:val="%1."/>
      <w:lvlJc w:val="left"/>
      <w:pPr>
        <w:tabs>
          <w:tab w:val="num" w:pos="1209"/>
        </w:tabs>
        <w:ind w:left="1209" w:hanging="360"/>
      </w:pPr>
    </w:lvl>
  </w:abstractNum>
  <w:abstractNum w:abstractNumId="2">
    <w:nsid w:val="FFFFFF7E"/>
    <w:multiLevelType w:val="singleLevel"/>
    <w:tmpl w:val="0E4270FC"/>
    <w:lvl w:ilvl="0">
      <w:start w:val="1"/>
      <w:numFmt w:val="decimal"/>
      <w:lvlText w:val="%1."/>
      <w:lvlJc w:val="left"/>
      <w:pPr>
        <w:tabs>
          <w:tab w:val="num" w:pos="926"/>
        </w:tabs>
        <w:ind w:left="926" w:hanging="360"/>
      </w:pPr>
    </w:lvl>
  </w:abstractNum>
  <w:abstractNum w:abstractNumId="3">
    <w:nsid w:val="FFFFFF7F"/>
    <w:multiLevelType w:val="singleLevel"/>
    <w:tmpl w:val="AC82A892"/>
    <w:lvl w:ilvl="0">
      <w:start w:val="1"/>
      <w:numFmt w:val="lowerLetter"/>
      <w:pStyle w:val="ListNumber2"/>
      <w:lvlText w:val="%1."/>
      <w:lvlJc w:val="left"/>
      <w:pPr>
        <w:ind w:left="643" w:hanging="360"/>
      </w:pPr>
    </w:lvl>
  </w:abstractNum>
  <w:abstractNum w:abstractNumId="4">
    <w:nsid w:val="FFFFFF80"/>
    <w:multiLevelType w:val="singleLevel"/>
    <w:tmpl w:val="2A300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1A65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E5B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C66D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4B0912A"/>
    <w:lvl w:ilvl="0">
      <w:start w:val="1"/>
      <w:numFmt w:val="decimal"/>
      <w:pStyle w:val="ListNumber"/>
      <w:lvlText w:val="%1."/>
      <w:lvlJc w:val="left"/>
      <w:pPr>
        <w:tabs>
          <w:tab w:val="num" w:pos="360"/>
        </w:tabs>
        <w:ind w:left="360" w:hanging="360"/>
      </w:pPr>
    </w:lvl>
  </w:abstractNum>
  <w:abstractNum w:abstractNumId="9">
    <w:nsid w:val="FFFFFF89"/>
    <w:multiLevelType w:val="singleLevel"/>
    <w:tmpl w:val="D5A81C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3705A"/>
    <w:multiLevelType w:val="hybridMultilevel"/>
    <w:tmpl w:val="44D2A08C"/>
    <w:lvl w:ilvl="0" w:tplc="CA22370C">
      <w:start w:val="1"/>
      <w:numFmt w:val="decimal"/>
      <w:pStyle w:val="Heading3"/>
      <w:lvlText w:val="(%1)"/>
      <w:lvlJc w:val="left"/>
      <w:pPr>
        <w:ind w:left="720" w:hanging="360"/>
      </w:pPr>
      <w:rPr>
        <w:rFonts w:ascii="Arial" w:hAnsi="Arial" w:hint="default"/>
        <w:b/>
        <w:i w:val="0"/>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05900AF9"/>
    <w:multiLevelType w:val="hybridMultilevel"/>
    <w:tmpl w:val="714263FE"/>
    <w:lvl w:ilvl="0" w:tplc="B458228A">
      <w:start w:val="1"/>
      <w:numFmt w:val="lowerRoman"/>
      <w:pStyle w:val="Heading9"/>
      <w:lvlText w:val="(%1)"/>
      <w:lvlJc w:val="left"/>
      <w:pPr>
        <w:ind w:left="720" w:hanging="360"/>
      </w:pPr>
      <w:rPr>
        <w:rFonts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0A72627C"/>
    <w:multiLevelType w:val="hybridMultilevel"/>
    <w:tmpl w:val="AA703A9E"/>
    <w:lvl w:ilvl="0" w:tplc="1276A202">
      <w:start w:val="1"/>
      <w:numFmt w:val="upperLetter"/>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5FF0733"/>
    <w:multiLevelType w:val="hybridMultilevel"/>
    <w:tmpl w:val="8370F80E"/>
    <w:lvl w:ilvl="0" w:tplc="E7EC02D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19CF5B5E"/>
    <w:multiLevelType w:val="hybridMultilevel"/>
    <w:tmpl w:val="C298C17C"/>
    <w:lvl w:ilvl="0" w:tplc="C7105462">
      <w:start w:val="1"/>
      <w:numFmt w:val="lowerRoman"/>
      <w:pStyle w:val="KHeading10"/>
      <w:lvlText w:val="(%1)"/>
      <w:lvlJc w:val="left"/>
      <w:pPr>
        <w:ind w:left="1080" w:hanging="360"/>
      </w:pPr>
      <w:rPr>
        <w:rFonts w:hint="default"/>
        <w:b/>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1DD5339B"/>
    <w:multiLevelType w:val="hybridMultilevel"/>
    <w:tmpl w:val="D8D61098"/>
    <w:lvl w:ilvl="0" w:tplc="6B5C13FA">
      <w:start w:val="1"/>
      <w:numFmt w:val="lowerLetter"/>
      <w:pStyle w:val="Heading6"/>
      <w:lvlText w:val="(%1)"/>
      <w:lvlJc w:val="left"/>
      <w:pPr>
        <w:ind w:left="72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29A72801"/>
    <w:multiLevelType w:val="hybridMultilevel"/>
    <w:tmpl w:val="F22077D8"/>
    <w:lvl w:ilvl="0" w:tplc="292CDECC">
      <w:start w:val="1"/>
      <w:numFmt w:val="decimal"/>
      <w:pStyle w:val="Heading2"/>
      <w:lvlText w:val="(%1)"/>
      <w:lvlJc w:val="left"/>
      <w:pPr>
        <w:ind w:left="360" w:hanging="360"/>
      </w:pPr>
      <w:rPr>
        <w:rFonts w:ascii="Arial" w:hAnsi="Arial"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2B644945"/>
    <w:multiLevelType w:val="multilevel"/>
    <w:tmpl w:val="E5D4A65E"/>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nsid w:val="2BDD6686"/>
    <w:multiLevelType w:val="hybridMultilevel"/>
    <w:tmpl w:val="AC2CB450"/>
    <w:lvl w:ilvl="0" w:tplc="821A86B0">
      <w:start w:val="1"/>
      <w:numFmt w:val="lowerLetter"/>
      <w:pStyle w:val="Heading7"/>
      <w:lvlText w:val="(%1)"/>
      <w:lvlJc w:val="left"/>
      <w:pPr>
        <w:ind w:left="108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C19717D"/>
    <w:multiLevelType w:val="hybridMultilevel"/>
    <w:tmpl w:val="E2A0B74A"/>
    <w:lvl w:ilvl="0" w:tplc="C6C85F7E">
      <w:start w:val="1"/>
      <w:numFmt w:val="lowerRoman"/>
      <w:pStyle w:val="Heading8"/>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7586785"/>
    <w:multiLevelType w:val="hybridMultilevel"/>
    <w:tmpl w:val="6EDE9D98"/>
    <w:lvl w:ilvl="0" w:tplc="7AF472AA">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AF214C8"/>
    <w:multiLevelType w:val="hybridMultilevel"/>
    <w:tmpl w:val="47B4254E"/>
    <w:lvl w:ilvl="0" w:tplc="9C586DFE">
      <w:start w:val="1"/>
      <w:numFmt w:val="decimal"/>
      <w:lvlText w:val="%1."/>
      <w:lvlJc w:val="left"/>
      <w:pPr>
        <w:ind w:left="1440" w:hanging="360"/>
      </w:pPr>
      <w:rPr>
        <w:rFonts w:ascii="Arial" w:hAnsi="Arial" w:hint="default"/>
        <w:b w:val="0"/>
        <w:i w:val="0"/>
        <w:color w:val="auto"/>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nsid w:val="41DD706F"/>
    <w:multiLevelType w:val="hybridMultilevel"/>
    <w:tmpl w:val="4D5C2B26"/>
    <w:lvl w:ilvl="0" w:tplc="1D7EF1DE">
      <w:start w:val="1"/>
      <w:numFmt w:val="decimal"/>
      <w:pStyle w:val="Heading4"/>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48AD65A4"/>
    <w:multiLevelType w:val="hybridMultilevel"/>
    <w:tmpl w:val="4BF0BA6E"/>
    <w:lvl w:ilvl="0" w:tplc="CE2AB3FC">
      <w:start w:val="1"/>
      <w:numFmt w:val="upperRoman"/>
      <w:pStyle w:val="MHeading12"/>
      <w:lvlText w:val="%1"/>
      <w:lvlJc w:val="center"/>
      <w:pPr>
        <w:ind w:left="720" w:hanging="360"/>
      </w:pPr>
      <w:rPr>
        <w:rFonts w:ascii="Arial" w:hAnsi="Arial" w:hint="default"/>
        <w:b/>
        <w:i w:val="0"/>
        <w:color w:val="auto"/>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9272893"/>
    <w:multiLevelType w:val="hybridMultilevel"/>
    <w:tmpl w:val="4842A178"/>
    <w:lvl w:ilvl="0" w:tplc="1936AABE">
      <w:start w:val="1"/>
      <w:numFmt w:val="decimal"/>
      <w:lvlText w:val="%1."/>
      <w:lvlJc w:val="left"/>
      <w:pPr>
        <w:ind w:left="1800" w:hanging="360"/>
      </w:pPr>
      <w:rPr>
        <w:rFonts w:ascii="Arial" w:eastAsia="Times New Roman" w:hAnsi="Arial" w:cs="Times New Roman"/>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nsid w:val="492E1F4E"/>
    <w:multiLevelType w:val="hybridMultilevel"/>
    <w:tmpl w:val="46D01502"/>
    <w:lvl w:ilvl="0" w:tplc="D0526F34">
      <w:start w:val="1"/>
      <w:numFmt w:val="decimal"/>
      <w:pStyle w:val="ParagraphLevel1"/>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DC54CD"/>
    <w:multiLevelType w:val="hybridMultilevel"/>
    <w:tmpl w:val="74BA7E6E"/>
    <w:lvl w:ilvl="0" w:tplc="69D8DF92">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EB567CB"/>
    <w:multiLevelType w:val="hybridMultilevel"/>
    <w:tmpl w:val="A4E67F6C"/>
    <w:lvl w:ilvl="0" w:tplc="F8D0D21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7A240A6E"/>
    <w:multiLevelType w:val="hybridMultilevel"/>
    <w:tmpl w:val="7054C33E"/>
    <w:lvl w:ilvl="0" w:tplc="6FD23DFC">
      <w:start w:val="1"/>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7F2A3347"/>
    <w:multiLevelType w:val="hybridMultilevel"/>
    <w:tmpl w:val="F546FF1E"/>
    <w:lvl w:ilvl="0" w:tplc="9924886A">
      <w:start w:val="1"/>
      <w:numFmt w:val="lowerLetter"/>
      <w:pStyle w:val="Heading5"/>
      <w:lvlText w:val="(%1)"/>
      <w:lvlJc w:val="left"/>
      <w:pPr>
        <w:ind w:left="36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num>
  <w:num w:numId="2">
    <w:abstractNumId w:val="17"/>
  </w:num>
  <w:num w:numId="3">
    <w:abstractNumId w:val="20"/>
  </w:num>
  <w:num w:numId="4">
    <w:abstractNumId w:val="12"/>
  </w:num>
  <w:num w:numId="5">
    <w:abstractNumId w:val="16"/>
  </w:num>
  <w:num w:numId="6">
    <w:abstractNumId w:val="10"/>
  </w:num>
  <w:num w:numId="7">
    <w:abstractNumId w:val="22"/>
  </w:num>
  <w:num w:numId="8">
    <w:abstractNumId w:val="29"/>
  </w:num>
  <w:num w:numId="9">
    <w:abstractNumId w:val="15"/>
  </w:num>
  <w:num w:numId="10">
    <w:abstractNumId w:val="18"/>
  </w:num>
  <w:num w:numId="11">
    <w:abstractNumId w:val="19"/>
  </w:num>
  <w:num w:numId="12">
    <w:abstractNumId w:val="11"/>
  </w:num>
  <w:num w:numId="13">
    <w:abstractNumId w:val="14"/>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3"/>
  </w:num>
  <w:num w:numId="25">
    <w:abstractNumId w:val="24"/>
  </w:num>
  <w:num w:numId="26">
    <w:abstractNumId w:val="26"/>
  </w:num>
  <w:num w:numId="27">
    <w:abstractNumId w:val="25"/>
  </w:num>
  <w:num w:numId="28">
    <w:abstractNumId w:val="28"/>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D3"/>
    <w:rsid w:val="00000A86"/>
    <w:rsid w:val="00002F2D"/>
    <w:rsid w:val="000140D7"/>
    <w:rsid w:val="00014113"/>
    <w:rsid w:val="00014F2F"/>
    <w:rsid w:val="000174FD"/>
    <w:rsid w:val="00023D90"/>
    <w:rsid w:val="0002518A"/>
    <w:rsid w:val="000251ED"/>
    <w:rsid w:val="00032ABE"/>
    <w:rsid w:val="000359F8"/>
    <w:rsid w:val="00037BCE"/>
    <w:rsid w:val="00046736"/>
    <w:rsid w:val="0005255E"/>
    <w:rsid w:val="000538DB"/>
    <w:rsid w:val="000541AA"/>
    <w:rsid w:val="00054ADD"/>
    <w:rsid w:val="00054D59"/>
    <w:rsid w:val="000564D8"/>
    <w:rsid w:val="000571F3"/>
    <w:rsid w:val="000611EE"/>
    <w:rsid w:val="00065679"/>
    <w:rsid w:val="0007238F"/>
    <w:rsid w:val="00072BE9"/>
    <w:rsid w:val="00073D96"/>
    <w:rsid w:val="000774E7"/>
    <w:rsid w:val="00082B61"/>
    <w:rsid w:val="00087CCD"/>
    <w:rsid w:val="00090142"/>
    <w:rsid w:val="0009098C"/>
    <w:rsid w:val="0009203F"/>
    <w:rsid w:val="00096EE3"/>
    <w:rsid w:val="000A603D"/>
    <w:rsid w:val="000B5506"/>
    <w:rsid w:val="000B572B"/>
    <w:rsid w:val="000B5ED1"/>
    <w:rsid w:val="000C068A"/>
    <w:rsid w:val="000C1801"/>
    <w:rsid w:val="000C3FB9"/>
    <w:rsid w:val="000C54F3"/>
    <w:rsid w:val="000C72FD"/>
    <w:rsid w:val="000D0680"/>
    <w:rsid w:val="000D0D51"/>
    <w:rsid w:val="000D7B88"/>
    <w:rsid w:val="000E17A0"/>
    <w:rsid w:val="000E49A2"/>
    <w:rsid w:val="000E5AD1"/>
    <w:rsid w:val="000E6633"/>
    <w:rsid w:val="000E72DA"/>
    <w:rsid w:val="000F2A27"/>
    <w:rsid w:val="000F3017"/>
    <w:rsid w:val="000F40EE"/>
    <w:rsid w:val="000F4EAF"/>
    <w:rsid w:val="000F67B3"/>
    <w:rsid w:val="00102157"/>
    <w:rsid w:val="001055D0"/>
    <w:rsid w:val="0011091B"/>
    <w:rsid w:val="00113AB3"/>
    <w:rsid w:val="00115FDC"/>
    <w:rsid w:val="00120C0F"/>
    <w:rsid w:val="001236B7"/>
    <w:rsid w:val="001244A8"/>
    <w:rsid w:val="001302AA"/>
    <w:rsid w:val="0013143C"/>
    <w:rsid w:val="00131FE2"/>
    <w:rsid w:val="00135A91"/>
    <w:rsid w:val="00136FE9"/>
    <w:rsid w:val="0014037F"/>
    <w:rsid w:val="00146F52"/>
    <w:rsid w:val="00151961"/>
    <w:rsid w:val="001521D6"/>
    <w:rsid w:val="00160715"/>
    <w:rsid w:val="00161523"/>
    <w:rsid w:val="00161A82"/>
    <w:rsid w:val="00164894"/>
    <w:rsid w:val="001652A4"/>
    <w:rsid w:val="00170060"/>
    <w:rsid w:val="0017684C"/>
    <w:rsid w:val="00176F3C"/>
    <w:rsid w:val="00176FDE"/>
    <w:rsid w:val="00182AB6"/>
    <w:rsid w:val="001879EF"/>
    <w:rsid w:val="00191FEE"/>
    <w:rsid w:val="00194462"/>
    <w:rsid w:val="0019747F"/>
    <w:rsid w:val="001A4E8B"/>
    <w:rsid w:val="001B0D4F"/>
    <w:rsid w:val="001B2424"/>
    <w:rsid w:val="001B79CC"/>
    <w:rsid w:val="001C6215"/>
    <w:rsid w:val="001C7A52"/>
    <w:rsid w:val="001D059A"/>
    <w:rsid w:val="001D4F06"/>
    <w:rsid w:val="001E4A5F"/>
    <w:rsid w:val="001F16FA"/>
    <w:rsid w:val="001F1D96"/>
    <w:rsid w:val="001F1ED9"/>
    <w:rsid w:val="001F26FB"/>
    <w:rsid w:val="001F5457"/>
    <w:rsid w:val="001F555E"/>
    <w:rsid w:val="0020007C"/>
    <w:rsid w:val="0021058F"/>
    <w:rsid w:val="0021290E"/>
    <w:rsid w:val="00214152"/>
    <w:rsid w:val="00216B40"/>
    <w:rsid w:val="00217BC3"/>
    <w:rsid w:val="0023370E"/>
    <w:rsid w:val="0024573E"/>
    <w:rsid w:val="00252CD6"/>
    <w:rsid w:val="0025447F"/>
    <w:rsid w:val="00254870"/>
    <w:rsid w:val="002554EE"/>
    <w:rsid w:val="002604BE"/>
    <w:rsid w:val="002606F4"/>
    <w:rsid w:val="00272CB8"/>
    <w:rsid w:val="00273A6A"/>
    <w:rsid w:val="00273F96"/>
    <w:rsid w:val="00275CD8"/>
    <w:rsid w:val="00276933"/>
    <w:rsid w:val="00282F79"/>
    <w:rsid w:val="0028324B"/>
    <w:rsid w:val="00286CF2"/>
    <w:rsid w:val="00292273"/>
    <w:rsid w:val="00293E3A"/>
    <w:rsid w:val="00295FBF"/>
    <w:rsid w:val="002A0997"/>
    <w:rsid w:val="002B0C60"/>
    <w:rsid w:val="002C1B96"/>
    <w:rsid w:val="002C1CB3"/>
    <w:rsid w:val="002C50B0"/>
    <w:rsid w:val="002D79BF"/>
    <w:rsid w:val="002E4B54"/>
    <w:rsid w:val="002F668E"/>
    <w:rsid w:val="002F6E20"/>
    <w:rsid w:val="00301A4F"/>
    <w:rsid w:val="00304B1C"/>
    <w:rsid w:val="003051F3"/>
    <w:rsid w:val="003061DD"/>
    <w:rsid w:val="0030782F"/>
    <w:rsid w:val="00307A6E"/>
    <w:rsid w:val="0031091F"/>
    <w:rsid w:val="0031399E"/>
    <w:rsid w:val="003143B1"/>
    <w:rsid w:val="00314C7C"/>
    <w:rsid w:val="0031604B"/>
    <w:rsid w:val="003166C5"/>
    <w:rsid w:val="00322A82"/>
    <w:rsid w:val="0033045D"/>
    <w:rsid w:val="00335525"/>
    <w:rsid w:val="00341F55"/>
    <w:rsid w:val="003423EE"/>
    <w:rsid w:val="0034545E"/>
    <w:rsid w:val="00347C1E"/>
    <w:rsid w:val="00355A66"/>
    <w:rsid w:val="003673C3"/>
    <w:rsid w:val="00367864"/>
    <w:rsid w:val="0037064B"/>
    <w:rsid w:val="00370EA8"/>
    <w:rsid w:val="00372E93"/>
    <w:rsid w:val="003753B5"/>
    <w:rsid w:val="003776F8"/>
    <w:rsid w:val="003778E8"/>
    <w:rsid w:val="003779EB"/>
    <w:rsid w:val="003975CE"/>
    <w:rsid w:val="003A572D"/>
    <w:rsid w:val="003A760A"/>
    <w:rsid w:val="003A7853"/>
    <w:rsid w:val="003B3E67"/>
    <w:rsid w:val="003B693A"/>
    <w:rsid w:val="003B6D68"/>
    <w:rsid w:val="003C3864"/>
    <w:rsid w:val="003C3D7D"/>
    <w:rsid w:val="003D423A"/>
    <w:rsid w:val="003D51E5"/>
    <w:rsid w:val="003D54BC"/>
    <w:rsid w:val="003D5561"/>
    <w:rsid w:val="003E3A67"/>
    <w:rsid w:val="003E7A58"/>
    <w:rsid w:val="003F775E"/>
    <w:rsid w:val="00401764"/>
    <w:rsid w:val="004033DE"/>
    <w:rsid w:val="0040789B"/>
    <w:rsid w:val="004126AA"/>
    <w:rsid w:val="00413320"/>
    <w:rsid w:val="00424489"/>
    <w:rsid w:val="00424933"/>
    <w:rsid w:val="004277AB"/>
    <w:rsid w:val="00430173"/>
    <w:rsid w:val="004320DD"/>
    <w:rsid w:val="00432F23"/>
    <w:rsid w:val="00434B4E"/>
    <w:rsid w:val="00440FA2"/>
    <w:rsid w:val="00440FC6"/>
    <w:rsid w:val="00446BAB"/>
    <w:rsid w:val="0045200A"/>
    <w:rsid w:val="00455B76"/>
    <w:rsid w:val="0045692D"/>
    <w:rsid w:val="00456DA3"/>
    <w:rsid w:val="004633F3"/>
    <w:rsid w:val="0046781A"/>
    <w:rsid w:val="004727A2"/>
    <w:rsid w:val="00476AF6"/>
    <w:rsid w:val="004778E2"/>
    <w:rsid w:val="004802B4"/>
    <w:rsid w:val="004827C5"/>
    <w:rsid w:val="0048493C"/>
    <w:rsid w:val="00493D53"/>
    <w:rsid w:val="00496830"/>
    <w:rsid w:val="00497856"/>
    <w:rsid w:val="004A0409"/>
    <w:rsid w:val="004A4DE3"/>
    <w:rsid w:val="004B3082"/>
    <w:rsid w:val="004B73BD"/>
    <w:rsid w:val="004C0D5B"/>
    <w:rsid w:val="004C56B4"/>
    <w:rsid w:val="004C6CAE"/>
    <w:rsid w:val="004D14DD"/>
    <w:rsid w:val="004D32E9"/>
    <w:rsid w:val="004F20CE"/>
    <w:rsid w:val="004F4178"/>
    <w:rsid w:val="005054E6"/>
    <w:rsid w:val="00512199"/>
    <w:rsid w:val="0051424E"/>
    <w:rsid w:val="00521E68"/>
    <w:rsid w:val="00524104"/>
    <w:rsid w:val="00525CE6"/>
    <w:rsid w:val="00526D3C"/>
    <w:rsid w:val="00533A0F"/>
    <w:rsid w:val="00534523"/>
    <w:rsid w:val="0053584D"/>
    <w:rsid w:val="00536C09"/>
    <w:rsid w:val="00540443"/>
    <w:rsid w:val="00541D9C"/>
    <w:rsid w:val="005433B1"/>
    <w:rsid w:val="00543AB8"/>
    <w:rsid w:val="005461B9"/>
    <w:rsid w:val="00554CBB"/>
    <w:rsid w:val="00557D85"/>
    <w:rsid w:val="0056306C"/>
    <w:rsid w:val="00566D49"/>
    <w:rsid w:val="00567793"/>
    <w:rsid w:val="00571E06"/>
    <w:rsid w:val="00574E11"/>
    <w:rsid w:val="00585485"/>
    <w:rsid w:val="0058553B"/>
    <w:rsid w:val="00587EF5"/>
    <w:rsid w:val="005922A2"/>
    <w:rsid w:val="00597FA2"/>
    <w:rsid w:val="005A02E6"/>
    <w:rsid w:val="005A38C3"/>
    <w:rsid w:val="005A6F6E"/>
    <w:rsid w:val="005A70CF"/>
    <w:rsid w:val="005B0B9A"/>
    <w:rsid w:val="005B131D"/>
    <w:rsid w:val="005B4309"/>
    <w:rsid w:val="005C1CA5"/>
    <w:rsid w:val="005C49EE"/>
    <w:rsid w:val="005C6017"/>
    <w:rsid w:val="005C6E21"/>
    <w:rsid w:val="005D01F5"/>
    <w:rsid w:val="005D178F"/>
    <w:rsid w:val="005D7D47"/>
    <w:rsid w:val="005E0274"/>
    <w:rsid w:val="005E36B6"/>
    <w:rsid w:val="005E4051"/>
    <w:rsid w:val="005E6251"/>
    <w:rsid w:val="005F033E"/>
    <w:rsid w:val="005F2871"/>
    <w:rsid w:val="005F2F62"/>
    <w:rsid w:val="005F3306"/>
    <w:rsid w:val="005F536A"/>
    <w:rsid w:val="006062E5"/>
    <w:rsid w:val="0061565D"/>
    <w:rsid w:val="006202B5"/>
    <w:rsid w:val="00620F7F"/>
    <w:rsid w:val="0062101E"/>
    <w:rsid w:val="00635FCA"/>
    <w:rsid w:val="006360BC"/>
    <w:rsid w:val="00637013"/>
    <w:rsid w:val="00642156"/>
    <w:rsid w:val="00644B08"/>
    <w:rsid w:val="00656176"/>
    <w:rsid w:val="006600B7"/>
    <w:rsid w:val="00665EE9"/>
    <w:rsid w:val="00666CE5"/>
    <w:rsid w:val="00667C72"/>
    <w:rsid w:val="00667DA8"/>
    <w:rsid w:val="00672DE3"/>
    <w:rsid w:val="00680074"/>
    <w:rsid w:val="0068041F"/>
    <w:rsid w:val="006820D3"/>
    <w:rsid w:val="0068425F"/>
    <w:rsid w:val="00686133"/>
    <w:rsid w:val="00691D9B"/>
    <w:rsid w:val="00696570"/>
    <w:rsid w:val="006A15FA"/>
    <w:rsid w:val="006A2416"/>
    <w:rsid w:val="006A499D"/>
    <w:rsid w:val="006B6A13"/>
    <w:rsid w:val="006B729B"/>
    <w:rsid w:val="006C4918"/>
    <w:rsid w:val="006C5A03"/>
    <w:rsid w:val="006D7F09"/>
    <w:rsid w:val="006E22FD"/>
    <w:rsid w:val="006E2887"/>
    <w:rsid w:val="006E3DD9"/>
    <w:rsid w:val="006E7FFE"/>
    <w:rsid w:val="006F3B77"/>
    <w:rsid w:val="006F4401"/>
    <w:rsid w:val="006F4DD8"/>
    <w:rsid w:val="006F6001"/>
    <w:rsid w:val="00702DA7"/>
    <w:rsid w:val="00703438"/>
    <w:rsid w:val="00706EB5"/>
    <w:rsid w:val="00716FE4"/>
    <w:rsid w:val="0072564E"/>
    <w:rsid w:val="0073080E"/>
    <w:rsid w:val="00733A5A"/>
    <w:rsid w:val="00743CA9"/>
    <w:rsid w:val="007447AE"/>
    <w:rsid w:val="00752EF4"/>
    <w:rsid w:val="00760A60"/>
    <w:rsid w:val="00762B8F"/>
    <w:rsid w:val="007724E3"/>
    <w:rsid w:val="00774B94"/>
    <w:rsid w:val="007816B2"/>
    <w:rsid w:val="00783766"/>
    <w:rsid w:val="00784072"/>
    <w:rsid w:val="00784190"/>
    <w:rsid w:val="007879A1"/>
    <w:rsid w:val="00790071"/>
    <w:rsid w:val="0079223C"/>
    <w:rsid w:val="007A3113"/>
    <w:rsid w:val="007A70D9"/>
    <w:rsid w:val="007B7042"/>
    <w:rsid w:val="007C2A3D"/>
    <w:rsid w:val="007C3766"/>
    <w:rsid w:val="007C552E"/>
    <w:rsid w:val="007D03D2"/>
    <w:rsid w:val="007D5AFF"/>
    <w:rsid w:val="007D6615"/>
    <w:rsid w:val="007E2263"/>
    <w:rsid w:val="007E41D1"/>
    <w:rsid w:val="007E5144"/>
    <w:rsid w:val="007E5E72"/>
    <w:rsid w:val="007F01C7"/>
    <w:rsid w:val="007F7445"/>
    <w:rsid w:val="00801D97"/>
    <w:rsid w:val="00810432"/>
    <w:rsid w:val="0081197D"/>
    <w:rsid w:val="00812D4A"/>
    <w:rsid w:val="0081336B"/>
    <w:rsid w:val="00816C67"/>
    <w:rsid w:val="00821214"/>
    <w:rsid w:val="00821707"/>
    <w:rsid w:val="00821B93"/>
    <w:rsid w:val="008253E3"/>
    <w:rsid w:val="008318A1"/>
    <w:rsid w:val="00832C82"/>
    <w:rsid w:val="008332E1"/>
    <w:rsid w:val="00836C10"/>
    <w:rsid w:val="0083786B"/>
    <w:rsid w:val="00847820"/>
    <w:rsid w:val="00853335"/>
    <w:rsid w:val="00854278"/>
    <w:rsid w:val="008567E9"/>
    <w:rsid w:val="00856956"/>
    <w:rsid w:val="0085733C"/>
    <w:rsid w:val="00857F70"/>
    <w:rsid w:val="00860300"/>
    <w:rsid w:val="0086481C"/>
    <w:rsid w:val="008666D0"/>
    <w:rsid w:val="008673D3"/>
    <w:rsid w:val="00871B9E"/>
    <w:rsid w:val="00875CB1"/>
    <w:rsid w:val="00877996"/>
    <w:rsid w:val="008824F5"/>
    <w:rsid w:val="008834FD"/>
    <w:rsid w:val="00893903"/>
    <w:rsid w:val="00895902"/>
    <w:rsid w:val="008A152E"/>
    <w:rsid w:val="008B1616"/>
    <w:rsid w:val="008B3922"/>
    <w:rsid w:val="008C163D"/>
    <w:rsid w:val="008E3A1B"/>
    <w:rsid w:val="008E3AAC"/>
    <w:rsid w:val="008E4D38"/>
    <w:rsid w:val="008E6C48"/>
    <w:rsid w:val="008F1CEB"/>
    <w:rsid w:val="008F5D9F"/>
    <w:rsid w:val="008F72F8"/>
    <w:rsid w:val="009005C9"/>
    <w:rsid w:val="00904423"/>
    <w:rsid w:val="00905ED0"/>
    <w:rsid w:val="00906881"/>
    <w:rsid w:val="00910C09"/>
    <w:rsid w:val="00912C3A"/>
    <w:rsid w:val="009171C1"/>
    <w:rsid w:val="00921F12"/>
    <w:rsid w:val="0092389C"/>
    <w:rsid w:val="009247B6"/>
    <w:rsid w:val="009326AB"/>
    <w:rsid w:val="00934392"/>
    <w:rsid w:val="00942FB9"/>
    <w:rsid w:val="0094484D"/>
    <w:rsid w:val="0095002C"/>
    <w:rsid w:val="0095539C"/>
    <w:rsid w:val="0095546D"/>
    <w:rsid w:val="00961428"/>
    <w:rsid w:val="00961A83"/>
    <w:rsid w:val="00965443"/>
    <w:rsid w:val="009714F0"/>
    <w:rsid w:val="00973090"/>
    <w:rsid w:val="00975314"/>
    <w:rsid w:val="00985FEC"/>
    <w:rsid w:val="009874D2"/>
    <w:rsid w:val="00991495"/>
    <w:rsid w:val="00991B36"/>
    <w:rsid w:val="0099276E"/>
    <w:rsid w:val="009927BC"/>
    <w:rsid w:val="00994D7B"/>
    <w:rsid w:val="009A57D5"/>
    <w:rsid w:val="009A5DF5"/>
    <w:rsid w:val="009B4E63"/>
    <w:rsid w:val="009B73EA"/>
    <w:rsid w:val="009C214D"/>
    <w:rsid w:val="009C4882"/>
    <w:rsid w:val="009C5601"/>
    <w:rsid w:val="009C73D7"/>
    <w:rsid w:val="009D2082"/>
    <w:rsid w:val="009D2CC8"/>
    <w:rsid w:val="009D416D"/>
    <w:rsid w:val="009E2A2D"/>
    <w:rsid w:val="009E31B6"/>
    <w:rsid w:val="009E5BE8"/>
    <w:rsid w:val="009F144D"/>
    <w:rsid w:val="009F1597"/>
    <w:rsid w:val="00A0168C"/>
    <w:rsid w:val="00A02093"/>
    <w:rsid w:val="00A030D9"/>
    <w:rsid w:val="00A06697"/>
    <w:rsid w:val="00A06B4F"/>
    <w:rsid w:val="00A07D56"/>
    <w:rsid w:val="00A17EBB"/>
    <w:rsid w:val="00A27033"/>
    <w:rsid w:val="00A27F7F"/>
    <w:rsid w:val="00A30D77"/>
    <w:rsid w:val="00A42B53"/>
    <w:rsid w:val="00A45B68"/>
    <w:rsid w:val="00A515D1"/>
    <w:rsid w:val="00A53942"/>
    <w:rsid w:val="00A554AD"/>
    <w:rsid w:val="00A66AF8"/>
    <w:rsid w:val="00A67015"/>
    <w:rsid w:val="00A67044"/>
    <w:rsid w:val="00A715DC"/>
    <w:rsid w:val="00A72FA6"/>
    <w:rsid w:val="00A7484D"/>
    <w:rsid w:val="00A76D71"/>
    <w:rsid w:val="00A8495D"/>
    <w:rsid w:val="00A85040"/>
    <w:rsid w:val="00A91D17"/>
    <w:rsid w:val="00A972CC"/>
    <w:rsid w:val="00AA0A99"/>
    <w:rsid w:val="00AA2B00"/>
    <w:rsid w:val="00AA3804"/>
    <w:rsid w:val="00AA63B9"/>
    <w:rsid w:val="00AA785F"/>
    <w:rsid w:val="00AA7E17"/>
    <w:rsid w:val="00AB12DA"/>
    <w:rsid w:val="00AB18E7"/>
    <w:rsid w:val="00AB2556"/>
    <w:rsid w:val="00AB45BB"/>
    <w:rsid w:val="00AB5D2D"/>
    <w:rsid w:val="00AB6C2A"/>
    <w:rsid w:val="00AB76DC"/>
    <w:rsid w:val="00AC105F"/>
    <w:rsid w:val="00AC4370"/>
    <w:rsid w:val="00AC64E4"/>
    <w:rsid w:val="00AD37D3"/>
    <w:rsid w:val="00AD3E4D"/>
    <w:rsid w:val="00AF4AFA"/>
    <w:rsid w:val="00AF5D08"/>
    <w:rsid w:val="00AF6A03"/>
    <w:rsid w:val="00AF6C7C"/>
    <w:rsid w:val="00AF740E"/>
    <w:rsid w:val="00B0116C"/>
    <w:rsid w:val="00B017D2"/>
    <w:rsid w:val="00B04C67"/>
    <w:rsid w:val="00B12844"/>
    <w:rsid w:val="00B20798"/>
    <w:rsid w:val="00B21E46"/>
    <w:rsid w:val="00B23FB3"/>
    <w:rsid w:val="00B24390"/>
    <w:rsid w:val="00B26ED0"/>
    <w:rsid w:val="00B27065"/>
    <w:rsid w:val="00B27ABC"/>
    <w:rsid w:val="00B300D3"/>
    <w:rsid w:val="00B30AB5"/>
    <w:rsid w:val="00B3149A"/>
    <w:rsid w:val="00B32FAB"/>
    <w:rsid w:val="00B4295D"/>
    <w:rsid w:val="00B5062A"/>
    <w:rsid w:val="00B511A5"/>
    <w:rsid w:val="00B525F0"/>
    <w:rsid w:val="00B559E7"/>
    <w:rsid w:val="00B56306"/>
    <w:rsid w:val="00B612DE"/>
    <w:rsid w:val="00B6143D"/>
    <w:rsid w:val="00B65DD4"/>
    <w:rsid w:val="00B72DAE"/>
    <w:rsid w:val="00B72F15"/>
    <w:rsid w:val="00B736EB"/>
    <w:rsid w:val="00B74DD2"/>
    <w:rsid w:val="00B82C0C"/>
    <w:rsid w:val="00B874A0"/>
    <w:rsid w:val="00B918BB"/>
    <w:rsid w:val="00B92146"/>
    <w:rsid w:val="00B96804"/>
    <w:rsid w:val="00B97DFE"/>
    <w:rsid w:val="00BA5289"/>
    <w:rsid w:val="00BB496A"/>
    <w:rsid w:val="00BC51D1"/>
    <w:rsid w:val="00BC7B3D"/>
    <w:rsid w:val="00BD1D26"/>
    <w:rsid w:val="00BD2349"/>
    <w:rsid w:val="00BD659E"/>
    <w:rsid w:val="00BE18AF"/>
    <w:rsid w:val="00BE3623"/>
    <w:rsid w:val="00BE5E59"/>
    <w:rsid w:val="00BE6694"/>
    <w:rsid w:val="00BE6FBF"/>
    <w:rsid w:val="00BF0021"/>
    <w:rsid w:val="00BF0EDB"/>
    <w:rsid w:val="00BF7E4D"/>
    <w:rsid w:val="00C00D32"/>
    <w:rsid w:val="00C02404"/>
    <w:rsid w:val="00C035C2"/>
    <w:rsid w:val="00C062FC"/>
    <w:rsid w:val="00C06C78"/>
    <w:rsid w:val="00C115DB"/>
    <w:rsid w:val="00C23BD9"/>
    <w:rsid w:val="00C31D8F"/>
    <w:rsid w:val="00C4101A"/>
    <w:rsid w:val="00C411D9"/>
    <w:rsid w:val="00C54540"/>
    <w:rsid w:val="00C57955"/>
    <w:rsid w:val="00C63541"/>
    <w:rsid w:val="00C718A9"/>
    <w:rsid w:val="00C71DA5"/>
    <w:rsid w:val="00C7211D"/>
    <w:rsid w:val="00C73B19"/>
    <w:rsid w:val="00C751A2"/>
    <w:rsid w:val="00C831FC"/>
    <w:rsid w:val="00C87F06"/>
    <w:rsid w:val="00C9311E"/>
    <w:rsid w:val="00C94FA6"/>
    <w:rsid w:val="00CA03DA"/>
    <w:rsid w:val="00CA2997"/>
    <w:rsid w:val="00CA4C59"/>
    <w:rsid w:val="00CA642D"/>
    <w:rsid w:val="00CB0947"/>
    <w:rsid w:val="00CB67E8"/>
    <w:rsid w:val="00CC10F9"/>
    <w:rsid w:val="00CD2B9E"/>
    <w:rsid w:val="00CD5B2C"/>
    <w:rsid w:val="00CE2D3C"/>
    <w:rsid w:val="00CE5210"/>
    <w:rsid w:val="00CE5BC1"/>
    <w:rsid w:val="00D06527"/>
    <w:rsid w:val="00D13E57"/>
    <w:rsid w:val="00D16C8E"/>
    <w:rsid w:val="00D2112F"/>
    <w:rsid w:val="00D24AF5"/>
    <w:rsid w:val="00D2610C"/>
    <w:rsid w:val="00D271BF"/>
    <w:rsid w:val="00D27C77"/>
    <w:rsid w:val="00D30465"/>
    <w:rsid w:val="00D31DF8"/>
    <w:rsid w:val="00D3604C"/>
    <w:rsid w:val="00D40048"/>
    <w:rsid w:val="00D433D8"/>
    <w:rsid w:val="00D46458"/>
    <w:rsid w:val="00D470EB"/>
    <w:rsid w:val="00D47DCB"/>
    <w:rsid w:val="00D50775"/>
    <w:rsid w:val="00D52074"/>
    <w:rsid w:val="00D545A2"/>
    <w:rsid w:val="00D54B65"/>
    <w:rsid w:val="00D62C4E"/>
    <w:rsid w:val="00D63011"/>
    <w:rsid w:val="00D66168"/>
    <w:rsid w:val="00D66B27"/>
    <w:rsid w:val="00D86009"/>
    <w:rsid w:val="00D92654"/>
    <w:rsid w:val="00D92E7A"/>
    <w:rsid w:val="00D93D1D"/>
    <w:rsid w:val="00D957D2"/>
    <w:rsid w:val="00DA59E2"/>
    <w:rsid w:val="00DB0989"/>
    <w:rsid w:val="00DB2EC3"/>
    <w:rsid w:val="00DB6486"/>
    <w:rsid w:val="00DC058B"/>
    <w:rsid w:val="00DC22CA"/>
    <w:rsid w:val="00DD7935"/>
    <w:rsid w:val="00DE6405"/>
    <w:rsid w:val="00DE6EA0"/>
    <w:rsid w:val="00DF30E2"/>
    <w:rsid w:val="00E005E6"/>
    <w:rsid w:val="00E02AC2"/>
    <w:rsid w:val="00E03086"/>
    <w:rsid w:val="00E045A4"/>
    <w:rsid w:val="00E10A9C"/>
    <w:rsid w:val="00E12313"/>
    <w:rsid w:val="00E17226"/>
    <w:rsid w:val="00E260CC"/>
    <w:rsid w:val="00E26770"/>
    <w:rsid w:val="00E273FD"/>
    <w:rsid w:val="00E31AF7"/>
    <w:rsid w:val="00E44071"/>
    <w:rsid w:val="00E45598"/>
    <w:rsid w:val="00E5145D"/>
    <w:rsid w:val="00E51E34"/>
    <w:rsid w:val="00E53072"/>
    <w:rsid w:val="00E60EDD"/>
    <w:rsid w:val="00E64133"/>
    <w:rsid w:val="00E725D7"/>
    <w:rsid w:val="00E75B2E"/>
    <w:rsid w:val="00E81E11"/>
    <w:rsid w:val="00E82102"/>
    <w:rsid w:val="00E87C41"/>
    <w:rsid w:val="00E96745"/>
    <w:rsid w:val="00E97557"/>
    <w:rsid w:val="00E97E56"/>
    <w:rsid w:val="00EA7CB1"/>
    <w:rsid w:val="00EA7DC7"/>
    <w:rsid w:val="00EB1E6D"/>
    <w:rsid w:val="00EB46AC"/>
    <w:rsid w:val="00EB46B6"/>
    <w:rsid w:val="00EB6F5C"/>
    <w:rsid w:val="00EC04B8"/>
    <w:rsid w:val="00EC0657"/>
    <w:rsid w:val="00EC3592"/>
    <w:rsid w:val="00EC3650"/>
    <w:rsid w:val="00EC5809"/>
    <w:rsid w:val="00ED0F59"/>
    <w:rsid w:val="00ED2602"/>
    <w:rsid w:val="00ED5808"/>
    <w:rsid w:val="00EE45A4"/>
    <w:rsid w:val="00EE4EFE"/>
    <w:rsid w:val="00EE6767"/>
    <w:rsid w:val="00EE736E"/>
    <w:rsid w:val="00EF548D"/>
    <w:rsid w:val="00EF70A0"/>
    <w:rsid w:val="00EF7159"/>
    <w:rsid w:val="00F0055A"/>
    <w:rsid w:val="00F00931"/>
    <w:rsid w:val="00F00E24"/>
    <w:rsid w:val="00F039E3"/>
    <w:rsid w:val="00F04D81"/>
    <w:rsid w:val="00F05CCD"/>
    <w:rsid w:val="00F06E6A"/>
    <w:rsid w:val="00F1051D"/>
    <w:rsid w:val="00F13310"/>
    <w:rsid w:val="00F15F6F"/>
    <w:rsid w:val="00F200D8"/>
    <w:rsid w:val="00F21E02"/>
    <w:rsid w:val="00F2468D"/>
    <w:rsid w:val="00F400A8"/>
    <w:rsid w:val="00F413BA"/>
    <w:rsid w:val="00F44D92"/>
    <w:rsid w:val="00F47AD1"/>
    <w:rsid w:val="00F65B3B"/>
    <w:rsid w:val="00F66EBA"/>
    <w:rsid w:val="00F73A72"/>
    <w:rsid w:val="00F801B8"/>
    <w:rsid w:val="00F8090E"/>
    <w:rsid w:val="00F832FA"/>
    <w:rsid w:val="00F9291F"/>
    <w:rsid w:val="00F9473B"/>
    <w:rsid w:val="00F94982"/>
    <w:rsid w:val="00F94FF3"/>
    <w:rsid w:val="00F963B6"/>
    <w:rsid w:val="00FA35B7"/>
    <w:rsid w:val="00FA3E4A"/>
    <w:rsid w:val="00FB07A8"/>
    <w:rsid w:val="00FB49B2"/>
    <w:rsid w:val="00FB5436"/>
    <w:rsid w:val="00FB5853"/>
    <w:rsid w:val="00FC1BDC"/>
    <w:rsid w:val="00FC3403"/>
    <w:rsid w:val="00FC3982"/>
    <w:rsid w:val="00FC3E78"/>
    <w:rsid w:val="00FC5E19"/>
    <w:rsid w:val="00FC5EDC"/>
    <w:rsid w:val="00FC7508"/>
    <w:rsid w:val="00FD0625"/>
    <w:rsid w:val="00FF18FA"/>
    <w:rsid w:val="00FF1B6D"/>
    <w:rsid w:val="00FF34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1A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06"/>
    <w:rPr>
      <w:rFonts w:ascii="Arial" w:hAnsi="Arial" w:cs="Arial"/>
      <w:sz w:val="26"/>
      <w:szCs w:val="24"/>
      <w:lang w:eastAsia="en-US"/>
    </w:rPr>
  </w:style>
  <w:style w:type="paragraph" w:styleId="Heading1">
    <w:name w:val="heading 1"/>
    <w:basedOn w:val="Normal"/>
    <w:next w:val="AParaNumbering"/>
    <w:link w:val="Heading1Char"/>
    <w:qFormat/>
    <w:rsid w:val="007E5144"/>
    <w:pPr>
      <w:keepNext/>
      <w:numPr>
        <w:numId w:val="4"/>
      </w:numPr>
      <w:spacing w:before="120" w:after="120" w:line="480" w:lineRule="auto"/>
      <w:ind w:hanging="720"/>
      <w:outlineLvl w:val="0"/>
    </w:pPr>
    <w:rPr>
      <w:rFonts w:cs="Times New Roman"/>
      <w:b/>
      <w:bCs/>
      <w:caps/>
      <w:kern w:val="32"/>
      <w:szCs w:val="32"/>
    </w:rPr>
  </w:style>
  <w:style w:type="paragraph" w:styleId="Heading2">
    <w:name w:val="heading 2"/>
    <w:basedOn w:val="Normal"/>
    <w:next w:val="AParaNumbering"/>
    <w:link w:val="Heading2Char"/>
    <w:qFormat/>
    <w:rsid w:val="007E5144"/>
    <w:pPr>
      <w:keepNext/>
      <w:numPr>
        <w:numId w:val="5"/>
      </w:numPr>
      <w:tabs>
        <w:tab w:val="left" w:pos="720"/>
      </w:tabs>
      <w:spacing w:before="120" w:after="120" w:line="480" w:lineRule="auto"/>
      <w:ind w:left="720" w:hanging="720"/>
      <w:outlineLvl w:val="1"/>
    </w:pPr>
    <w:rPr>
      <w:rFonts w:cs="Times New Roman"/>
      <w:b/>
      <w:bCs/>
      <w:iCs/>
      <w:szCs w:val="28"/>
    </w:rPr>
  </w:style>
  <w:style w:type="paragraph" w:styleId="Heading3">
    <w:name w:val="heading 3"/>
    <w:basedOn w:val="Normal"/>
    <w:next w:val="AParaNumbering"/>
    <w:link w:val="Heading3Char"/>
    <w:qFormat/>
    <w:rsid w:val="007E5144"/>
    <w:pPr>
      <w:keepNext/>
      <w:numPr>
        <w:numId w:val="6"/>
      </w:numPr>
      <w:tabs>
        <w:tab w:val="left" w:pos="1080"/>
      </w:tabs>
      <w:spacing w:before="120" w:after="120" w:line="480" w:lineRule="auto"/>
      <w:ind w:left="1080" w:hanging="720"/>
      <w:outlineLvl w:val="2"/>
    </w:pPr>
    <w:rPr>
      <w:rFonts w:cs="Times New Roman"/>
      <w:b/>
      <w:bCs/>
      <w:szCs w:val="26"/>
    </w:rPr>
  </w:style>
  <w:style w:type="paragraph" w:styleId="Heading4">
    <w:name w:val="heading 4"/>
    <w:basedOn w:val="Normal"/>
    <w:next w:val="AParaNumbering"/>
    <w:link w:val="Heading4Char"/>
    <w:qFormat/>
    <w:rsid w:val="007E5144"/>
    <w:pPr>
      <w:keepNext/>
      <w:numPr>
        <w:numId w:val="7"/>
      </w:numPr>
      <w:tabs>
        <w:tab w:val="left" w:pos="1440"/>
      </w:tabs>
      <w:spacing w:before="120" w:after="120" w:line="480" w:lineRule="auto"/>
      <w:ind w:hanging="720"/>
      <w:outlineLvl w:val="3"/>
    </w:pPr>
    <w:rPr>
      <w:rFonts w:cs="Times New Roman"/>
      <w:b/>
      <w:bCs/>
      <w:szCs w:val="28"/>
    </w:rPr>
  </w:style>
  <w:style w:type="paragraph" w:styleId="Heading5">
    <w:name w:val="heading 5"/>
    <w:basedOn w:val="Normal"/>
    <w:next w:val="AParaNumbering"/>
    <w:link w:val="Heading5Char"/>
    <w:qFormat/>
    <w:rsid w:val="00DB2EC3"/>
    <w:pPr>
      <w:keepNext/>
      <w:numPr>
        <w:numId w:val="8"/>
      </w:numPr>
      <w:tabs>
        <w:tab w:val="left" w:pos="720"/>
      </w:tabs>
      <w:spacing w:before="120" w:after="120" w:line="480" w:lineRule="auto"/>
      <w:ind w:left="720" w:hanging="720"/>
      <w:outlineLvl w:val="4"/>
    </w:pPr>
    <w:rPr>
      <w:rFonts w:cs="Times New Roman"/>
      <w:b/>
      <w:bCs/>
      <w:iCs/>
      <w:szCs w:val="26"/>
    </w:rPr>
  </w:style>
  <w:style w:type="paragraph" w:styleId="Heading6">
    <w:name w:val="heading 6"/>
    <w:basedOn w:val="Normal"/>
    <w:next w:val="AParaNumbering"/>
    <w:link w:val="Heading6Char"/>
    <w:qFormat/>
    <w:rsid w:val="00DB2EC3"/>
    <w:pPr>
      <w:keepNext/>
      <w:numPr>
        <w:numId w:val="9"/>
      </w:numPr>
      <w:tabs>
        <w:tab w:val="left" w:pos="1080"/>
      </w:tabs>
      <w:spacing w:before="120" w:after="120" w:line="480" w:lineRule="auto"/>
      <w:ind w:left="1077" w:hanging="720"/>
      <w:outlineLvl w:val="5"/>
    </w:pPr>
    <w:rPr>
      <w:rFonts w:cs="Times New Roman"/>
      <w:b/>
      <w:bCs/>
      <w:szCs w:val="22"/>
    </w:rPr>
  </w:style>
  <w:style w:type="paragraph" w:styleId="Heading7">
    <w:name w:val="heading 7"/>
    <w:basedOn w:val="Normal"/>
    <w:next w:val="AParaNumbering"/>
    <w:link w:val="Heading7Char"/>
    <w:qFormat/>
    <w:rsid w:val="00DB2EC3"/>
    <w:pPr>
      <w:keepNext/>
      <w:numPr>
        <w:numId w:val="10"/>
      </w:numPr>
      <w:tabs>
        <w:tab w:val="left" w:pos="1440"/>
      </w:tabs>
      <w:spacing w:before="120" w:after="120" w:line="480" w:lineRule="auto"/>
      <w:ind w:left="1440" w:hanging="720"/>
      <w:outlineLvl w:val="6"/>
    </w:pPr>
    <w:rPr>
      <w:rFonts w:cs="Times New Roman"/>
      <w:b/>
    </w:rPr>
  </w:style>
  <w:style w:type="paragraph" w:styleId="Heading8">
    <w:name w:val="heading 8"/>
    <w:basedOn w:val="Normal"/>
    <w:next w:val="AParaNumbering"/>
    <w:link w:val="Heading8Char"/>
    <w:qFormat/>
    <w:rsid w:val="00DB2EC3"/>
    <w:pPr>
      <w:keepNext/>
      <w:numPr>
        <w:numId w:val="11"/>
      </w:numPr>
      <w:tabs>
        <w:tab w:val="left" w:pos="720"/>
      </w:tabs>
      <w:spacing w:before="120" w:after="120" w:line="480" w:lineRule="auto"/>
      <w:ind w:left="720" w:hanging="720"/>
      <w:outlineLvl w:val="7"/>
    </w:pPr>
    <w:rPr>
      <w:rFonts w:cs="Times New Roman"/>
      <w:b/>
      <w:iCs/>
    </w:rPr>
  </w:style>
  <w:style w:type="paragraph" w:styleId="Heading9">
    <w:name w:val="heading 9"/>
    <w:basedOn w:val="Normal"/>
    <w:next w:val="AParaNumbering"/>
    <w:link w:val="Heading9Char"/>
    <w:qFormat/>
    <w:rsid w:val="00DB2EC3"/>
    <w:pPr>
      <w:keepNext/>
      <w:numPr>
        <w:numId w:val="12"/>
      </w:numPr>
      <w:tabs>
        <w:tab w:val="left" w:pos="1080"/>
      </w:tabs>
      <w:spacing w:before="120" w:after="120" w:line="480" w:lineRule="auto"/>
      <w:ind w:left="1077" w:hanging="720"/>
      <w:outlineLvl w:val="8"/>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5144"/>
    <w:rPr>
      <w:rFonts w:ascii="Arial" w:hAnsi="Arial"/>
      <w:b/>
      <w:bCs/>
      <w:caps/>
      <w:kern w:val="32"/>
      <w:sz w:val="26"/>
      <w:szCs w:val="32"/>
      <w:lang w:eastAsia="en-US"/>
    </w:rPr>
  </w:style>
  <w:style w:type="character" w:customStyle="1" w:styleId="Heading2Char">
    <w:name w:val="Heading 2 Char"/>
    <w:link w:val="Heading2"/>
    <w:rsid w:val="007E5144"/>
    <w:rPr>
      <w:rFonts w:ascii="Arial" w:hAnsi="Arial"/>
      <w:b/>
      <w:bCs/>
      <w:iCs/>
      <w:sz w:val="26"/>
      <w:szCs w:val="28"/>
      <w:lang w:eastAsia="en-US"/>
    </w:rPr>
  </w:style>
  <w:style w:type="character" w:customStyle="1" w:styleId="Heading3Char">
    <w:name w:val="Heading 3 Char"/>
    <w:link w:val="Heading3"/>
    <w:rsid w:val="007E5144"/>
    <w:rPr>
      <w:rFonts w:ascii="Arial" w:hAnsi="Arial"/>
      <w:b/>
      <w:bCs/>
      <w:sz w:val="26"/>
      <w:szCs w:val="26"/>
      <w:lang w:eastAsia="en-US"/>
    </w:rPr>
  </w:style>
  <w:style w:type="character" w:customStyle="1" w:styleId="Heading4Char">
    <w:name w:val="Heading 4 Char"/>
    <w:link w:val="Heading4"/>
    <w:rsid w:val="007E5144"/>
    <w:rPr>
      <w:rFonts w:ascii="Arial" w:hAnsi="Arial"/>
      <w:b/>
      <w:bCs/>
      <w:sz w:val="26"/>
      <w:szCs w:val="28"/>
      <w:lang w:eastAsia="en-US"/>
    </w:rPr>
  </w:style>
  <w:style w:type="character" w:customStyle="1" w:styleId="Heading5Char">
    <w:name w:val="Heading 5 Char"/>
    <w:link w:val="Heading5"/>
    <w:rsid w:val="00DB2EC3"/>
    <w:rPr>
      <w:rFonts w:ascii="Arial" w:hAnsi="Arial"/>
      <w:b/>
      <w:bCs/>
      <w:iCs/>
      <w:sz w:val="26"/>
      <w:szCs w:val="26"/>
      <w:lang w:eastAsia="en-US"/>
    </w:rPr>
  </w:style>
  <w:style w:type="character" w:customStyle="1" w:styleId="Heading6Char">
    <w:name w:val="Heading 6 Char"/>
    <w:link w:val="Heading6"/>
    <w:rsid w:val="00DB2EC3"/>
    <w:rPr>
      <w:rFonts w:ascii="Arial" w:hAnsi="Arial"/>
      <w:b/>
      <w:bCs/>
      <w:sz w:val="26"/>
      <w:szCs w:val="22"/>
      <w:lang w:eastAsia="en-US"/>
    </w:rPr>
  </w:style>
  <w:style w:type="character" w:customStyle="1" w:styleId="Heading7Char">
    <w:name w:val="Heading 7 Char"/>
    <w:link w:val="Heading7"/>
    <w:rsid w:val="00DB2EC3"/>
    <w:rPr>
      <w:rFonts w:ascii="Arial" w:hAnsi="Arial"/>
      <w:b/>
      <w:sz w:val="26"/>
      <w:szCs w:val="24"/>
      <w:lang w:eastAsia="en-US"/>
    </w:rPr>
  </w:style>
  <w:style w:type="character" w:customStyle="1" w:styleId="Heading8Char">
    <w:name w:val="Heading 8 Char"/>
    <w:link w:val="Heading8"/>
    <w:rsid w:val="00DB2EC3"/>
    <w:rPr>
      <w:rFonts w:ascii="Arial" w:hAnsi="Arial"/>
      <w:b/>
      <w:iCs/>
      <w:sz w:val="26"/>
      <w:szCs w:val="24"/>
      <w:lang w:eastAsia="en-US"/>
    </w:rPr>
  </w:style>
  <w:style w:type="character" w:customStyle="1" w:styleId="Heading9Char">
    <w:name w:val="Heading 9 Char"/>
    <w:link w:val="Heading9"/>
    <w:rsid w:val="00DB2EC3"/>
    <w:rPr>
      <w:rFonts w:ascii="Arial" w:hAnsi="Arial"/>
      <w:b/>
      <w:sz w:val="26"/>
      <w:szCs w:val="22"/>
      <w:lang w:eastAsia="en-US"/>
    </w:rPr>
  </w:style>
  <w:style w:type="paragraph" w:customStyle="1" w:styleId="CITATION">
    <w:name w:val="CITATION"/>
    <w:basedOn w:val="Normal"/>
    <w:semiHidden/>
    <w:rsid w:val="00161A82"/>
    <w:pPr>
      <w:jc w:val="right"/>
    </w:pPr>
  </w:style>
  <w:style w:type="paragraph" w:customStyle="1" w:styleId="Date1">
    <w:name w:val="Date1"/>
    <w:basedOn w:val="Date"/>
    <w:semiHidden/>
    <w:rsid w:val="00161A82"/>
    <w:pPr>
      <w:jc w:val="right"/>
    </w:pPr>
  </w:style>
  <w:style w:type="paragraph" w:styleId="Date">
    <w:name w:val="Date"/>
    <w:basedOn w:val="Normal"/>
    <w:next w:val="Normal"/>
    <w:link w:val="DateChar"/>
    <w:semiHidden/>
    <w:rsid w:val="00161A82"/>
  </w:style>
  <w:style w:type="character" w:customStyle="1" w:styleId="DateChar">
    <w:name w:val="Date Char"/>
    <w:link w:val="Date"/>
    <w:semiHidden/>
    <w:rsid w:val="005D01F5"/>
    <w:rPr>
      <w:rFonts w:ascii="Arial" w:hAnsi="Arial" w:cs="Arial"/>
      <w:sz w:val="26"/>
      <w:szCs w:val="24"/>
      <w:lang w:eastAsia="en-US"/>
    </w:rPr>
  </w:style>
  <w:style w:type="paragraph" w:customStyle="1" w:styleId="DOCKET">
    <w:name w:val="DOCKET"/>
    <w:basedOn w:val="Normal"/>
    <w:semiHidden/>
    <w:qFormat/>
    <w:rsid w:val="00161A82"/>
    <w:pPr>
      <w:jc w:val="right"/>
    </w:pPr>
  </w:style>
  <w:style w:type="paragraph" w:customStyle="1" w:styleId="CourtofAppealforOntario">
    <w:name w:val="Court of Appeal for Ontario"/>
    <w:basedOn w:val="Normal"/>
    <w:semiHidden/>
    <w:qFormat/>
    <w:rsid w:val="00F06E6A"/>
    <w:pPr>
      <w:spacing w:after="360"/>
      <w:jc w:val="center"/>
    </w:pPr>
    <w:rPr>
      <w:sz w:val="30"/>
    </w:rPr>
  </w:style>
  <w:style w:type="paragraph" w:customStyle="1" w:styleId="Namesofpanelofjudges">
    <w:name w:val="Names of panel of judges"/>
    <w:basedOn w:val="Normal"/>
    <w:semiHidden/>
    <w:qFormat/>
    <w:rsid w:val="00B56306"/>
    <w:pPr>
      <w:spacing w:before="360" w:after="960"/>
      <w:jc w:val="center"/>
    </w:pPr>
  </w:style>
  <w:style w:type="character" w:styleId="PlaceholderText">
    <w:name w:val="Placeholder Text"/>
    <w:uiPriority w:val="99"/>
    <w:semiHidden/>
    <w:rsid w:val="00161A82"/>
    <w:rPr>
      <w:color w:val="808080"/>
    </w:rPr>
  </w:style>
  <w:style w:type="paragraph" w:styleId="BalloonText">
    <w:name w:val="Balloon Text"/>
    <w:basedOn w:val="Normal"/>
    <w:link w:val="BalloonTextChar"/>
    <w:semiHidden/>
    <w:rsid w:val="00161A82"/>
    <w:rPr>
      <w:rFonts w:ascii="Tahoma" w:hAnsi="Tahoma" w:cs="Tahoma"/>
      <w:sz w:val="16"/>
      <w:szCs w:val="16"/>
    </w:rPr>
  </w:style>
  <w:style w:type="character" w:customStyle="1" w:styleId="BalloonTextChar">
    <w:name w:val="Balloon Text Char"/>
    <w:link w:val="BalloonText"/>
    <w:semiHidden/>
    <w:rsid w:val="005D01F5"/>
    <w:rPr>
      <w:rFonts w:ascii="Tahoma" w:hAnsi="Tahoma" w:cs="Tahoma"/>
      <w:sz w:val="16"/>
      <w:szCs w:val="16"/>
      <w:lang w:eastAsia="en-US"/>
    </w:rPr>
  </w:style>
  <w:style w:type="paragraph" w:customStyle="1" w:styleId="BETWEEN">
    <w:name w:val="BETWEEN"/>
    <w:basedOn w:val="Normal"/>
    <w:semiHidden/>
    <w:qFormat/>
    <w:rsid w:val="00272CB8"/>
  </w:style>
  <w:style w:type="paragraph" w:customStyle="1" w:styleId="Namesofparty">
    <w:name w:val="Names of party"/>
    <w:basedOn w:val="Namesofpanelofjudges"/>
    <w:semiHidden/>
    <w:qFormat/>
    <w:rsid w:val="00B56306"/>
    <w:pPr>
      <w:spacing w:after="2160"/>
    </w:pPr>
  </w:style>
  <w:style w:type="paragraph" w:customStyle="1" w:styleId="Partys">
    <w:name w:val="Party(s)"/>
    <w:basedOn w:val="Normal"/>
    <w:semiHidden/>
    <w:qFormat/>
    <w:rsid w:val="00272CB8"/>
    <w:pPr>
      <w:spacing w:before="120" w:after="120"/>
      <w:jc w:val="right"/>
    </w:pPr>
  </w:style>
  <w:style w:type="paragraph" w:customStyle="1" w:styleId="and">
    <w:name w:val="and"/>
    <w:basedOn w:val="Normal"/>
    <w:semiHidden/>
    <w:qFormat/>
    <w:rsid w:val="00272CB8"/>
    <w:pPr>
      <w:spacing w:before="240" w:after="240"/>
      <w:jc w:val="center"/>
    </w:pPr>
  </w:style>
  <w:style w:type="paragraph" w:customStyle="1" w:styleId="Nameofcounsel">
    <w:name w:val="Name of counsel"/>
    <w:basedOn w:val="Normal"/>
    <w:semiHidden/>
    <w:qFormat/>
    <w:rsid w:val="00272CB8"/>
    <w:pPr>
      <w:spacing w:before="240" w:after="240"/>
    </w:pPr>
  </w:style>
  <w:style w:type="paragraph" w:customStyle="1" w:styleId="Heard">
    <w:name w:val="Heard"/>
    <w:basedOn w:val="Normal"/>
    <w:semiHidden/>
    <w:qFormat/>
    <w:rsid w:val="00D54B65"/>
    <w:pPr>
      <w:spacing w:before="240" w:after="240"/>
    </w:pPr>
  </w:style>
  <w:style w:type="paragraph" w:customStyle="1" w:styleId="Onappealfrom">
    <w:name w:val="On appeal from"/>
    <w:basedOn w:val="Normal"/>
    <w:semiHidden/>
    <w:qFormat/>
    <w:rsid w:val="00D54B65"/>
    <w:pPr>
      <w:spacing w:before="240" w:after="240"/>
      <w:jc w:val="both"/>
    </w:pPr>
  </w:style>
  <w:style w:type="paragraph" w:customStyle="1" w:styleId="Judge">
    <w:name w:val="Judge"/>
    <w:basedOn w:val="Normal"/>
    <w:next w:val="AParaNumbering"/>
    <w:semiHidden/>
    <w:qFormat/>
    <w:rsid w:val="00176FDE"/>
    <w:pPr>
      <w:spacing w:before="360" w:after="360"/>
    </w:pPr>
    <w:rPr>
      <w:b/>
    </w:rPr>
  </w:style>
  <w:style w:type="character" w:customStyle="1" w:styleId="Underline">
    <w:name w:val="Underline"/>
    <w:qFormat/>
    <w:rsid w:val="00A17EBB"/>
    <w:rPr>
      <w:rFonts w:ascii="Arial" w:hAnsi="Arial"/>
      <w:sz w:val="26"/>
      <w:u w:val="single"/>
    </w:rPr>
  </w:style>
  <w:style w:type="paragraph" w:customStyle="1" w:styleId="StrongUnderline">
    <w:name w:val="Strong &amp; Underline"/>
    <w:basedOn w:val="Normal"/>
    <w:next w:val="AParaNumbering"/>
    <w:qFormat/>
    <w:rsid w:val="00961428"/>
    <w:rPr>
      <w:b/>
      <w:u w:val="single"/>
    </w:rPr>
  </w:style>
  <w:style w:type="character" w:styleId="PageNumber">
    <w:name w:val="page number"/>
    <w:semiHidden/>
    <w:rsid w:val="0081336B"/>
    <w:rPr>
      <w:rFonts w:ascii="Arial" w:hAnsi="Arial"/>
      <w:sz w:val="26"/>
    </w:rPr>
  </w:style>
  <w:style w:type="paragraph" w:customStyle="1" w:styleId="DSubquote">
    <w:name w:val="D. Subquote"/>
    <w:basedOn w:val="Normal"/>
    <w:next w:val="AParaNumbering"/>
    <w:qFormat/>
    <w:rsid w:val="00AB2556"/>
    <w:pPr>
      <w:tabs>
        <w:tab w:val="left" w:pos="2880"/>
      </w:tabs>
      <w:spacing w:after="120"/>
      <w:ind w:left="2160" w:right="2160"/>
      <w:jc w:val="both"/>
    </w:pPr>
  </w:style>
  <w:style w:type="paragraph" w:customStyle="1" w:styleId="AParaNumbering">
    <w:name w:val="A. Para Numbering"/>
    <w:basedOn w:val="Normal"/>
    <w:link w:val="AParaNumberingChar"/>
    <w:autoRedefine/>
    <w:qFormat/>
    <w:rsid w:val="007C3766"/>
    <w:pPr>
      <w:numPr>
        <w:ilvl w:val="1"/>
        <w:numId w:val="2"/>
      </w:numPr>
      <w:tabs>
        <w:tab w:val="clear" w:pos="540"/>
        <w:tab w:val="num" w:pos="720"/>
      </w:tabs>
      <w:spacing w:before="120" w:after="120" w:line="480" w:lineRule="auto"/>
      <w:ind w:left="0"/>
      <w:jc w:val="both"/>
    </w:pPr>
    <w:rPr>
      <w:rFonts w:cs="Times New Roman"/>
      <w:szCs w:val="20"/>
    </w:rPr>
  </w:style>
  <w:style w:type="paragraph" w:styleId="BodyText">
    <w:name w:val="Body Text"/>
    <w:basedOn w:val="Normal"/>
    <w:link w:val="BodyTextChar"/>
    <w:semiHidden/>
    <w:rsid w:val="001652A4"/>
  </w:style>
  <w:style w:type="character" w:customStyle="1" w:styleId="BodyTextChar">
    <w:name w:val="Body Text Char"/>
    <w:link w:val="BodyText"/>
    <w:semiHidden/>
    <w:rsid w:val="005D01F5"/>
    <w:rPr>
      <w:rFonts w:ascii="Arial" w:hAnsi="Arial" w:cs="Arial"/>
      <w:sz w:val="26"/>
      <w:szCs w:val="24"/>
      <w:lang w:eastAsia="en-US"/>
    </w:rPr>
  </w:style>
  <w:style w:type="paragraph" w:customStyle="1" w:styleId="CQuote">
    <w:name w:val="C. Quote"/>
    <w:basedOn w:val="Normal"/>
    <w:next w:val="AParaNumbering"/>
    <w:qFormat/>
    <w:rsid w:val="0081336B"/>
    <w:pPr>
      <w:tabs>
        <w:tab w:val="left" w:pos="2160"/>
      </w:tabs>
      <w:spacing w:before="120" w:after="240"/>
      <w:ind w:left="1440" w:right="1440"/>
      <w:jc w:val="both"/>
    </w:pPr>
  </w:style>
  <w:style w:type="paragraph" w:customStyle="1" w:styleId="BContinuingPara">
    <w:name w:val="B. Continuing Para"/>
    <w:basedOn w:val="AParaNumbering"/>
    <w:next w:val="AParaNumbering"/>
    <w:qFormat/>
    <w:rsid w:val="0081336B"/>
    <w:pPr>
      <w:numPr>
        <w:ilvl w:val="0"/>
        <w:numId w:val="0"/>
      </w:numPr>
    </w:pPr>
  </w:style>
  <w:style w:type="paragraph" w:styleId="FootnoteText">
    <w:name w:val="footnote text"/>
    <w:basedOn w:val="Normal"/>
    <w:next w:val="AParaNumbering"/>
    <w:link w:val="FootnoteTextChar"/>
    <w:rsid w:val="0062101E"/>
    <w:rPr>
      <w:sz w:val="20"/>
      <w:szCs w:val="20"/>
    </w:rPr>
  </w:style>
  <w:style w:type="character" w:customStyle="1" w:styleId="FootnoteTextChar">
    <w:name w:val="Footnote Text Char"/>
    <w:link w:val="FootnoteText"/>
    <w:rsid w:val="0062101E"/>
    <w:rPr>
      <w:rFonts w:ascii="Arial" w:hAnsi="Arial" w:cs="Arial"/>
      <w:lang w:eastAsia="en-US"/>
    </w:rPr>
  </w:style>
  <w:style w:type="paragraph" w:customStyle="1" w:styleId="LHeading11">
    <w:name w:val="L. Heading 11"/>
    <w:basedOn w:val="Normal"/>
    <w:next w:val="AParaNumbering"/>
    <w:link w:val="LHeading11Char"/>
    <w:qFormat/>
    <w:rsid w:val="00DB2EC3"/>
    <w:pPr>
      <w:keepNext/>
      <w:spacing w:before="120" w:after="120" w:line="480" w:lineRule="auto"/>
    </w:pPr>
    <w:rPr>
      <w:b/>
      <w:i/>
    </w:rPr>
  </w:style>
  <w:style w:type="character" w:customStyle="1" w:styleId="LHeading11Char">
    <w:name w:val="L. Heading 11 Char"/>
    <w:link w:val="LHeading11"/>
    <w:rsid w:val="00DB2EC3"/>
    <w:rPr>
      <w:rFonts w:ascii="Arial" w:hAnsi="Arial" w:cs="Arial"/>
      <w:b/>
      <w:i/>
      <w:sz w:val="26"/>
      <w:szCs w:val="24"/>
      <w:lang w:eastAsia="en-US"/>
    </w:rPr>
  </w:style>
  <w:style w:type="paragraph" w:customStyle="1" w:styleId="KHeading10">
    <w:name w:val="K Heading 10"/>
    <w:basedOn w:val="Normal"/>
    <w:next w:val="AParaNumbering"/>
    <w:link w:val="KHeading10Char"/>
    <w:qFormat/>
    <w:rsid w:val="00DB2EC3"/>
    <w:pPr>
      <w:keepNext/>
      <w:numPr>
        <w:numId w:val="13"/>
      </w:numPr>
      <w:tabs>
        <w:tab w:val="left" w:pos="1440"/>
      </w:tabs>
      <w:spacing w:before="120" w:after="120" w:line="480" w:lineRule="auto"/>
      <w:ind w:left="1440" w:hanging="720"/>
    </w:pPr>
    <w:rPr>
      <w:b/>
    </w:rPr>
  </w:style>
  <w:style w:type="paragraph" w:customStyle="1" w:styleId="MHeading12">
    <w:name w:val="M. Heading 12"/>
    <w:basedOn w:val="Normal"/>
    <w:next w:val="AParaNumbering"/>
    <w:link w:val="MHeading12Char"/>
    <w:qFormat/>
    <w:rsid w:val="00DB2EC3"/>
    <w:pPr>
      <w:keepNext/>
      <w:numPr>
        <w:numId w:val="24"/>
      </w:numPr>
      <w:spacing w:before="120" w:after="120" w:line="480" w:lineRule="auto"/>
      <w:ind w:left="0" w:firstLine="0"/>
      <w:jc w:val="center"/>
    </w:pPr>
    <w:rPr>
      <w:b/>
    </w:rPr>
  </w:style>
  <w:style w:type="character" w:styleId="Strong">
    <w:name w:val="Strong"/>
    <w:qFormat/>
    <w:rsid w:val="007E5144"/>
    <w:rPr>
      <w:rFonts w:ascii="Arial" w:hAnsi="Arial"/>
      <w:b/>
      <w:bCs/>
      <w:sz w:val="26"/>
    </w:rPr>
  </w:style>
  <w:style w:type="character" w:styleId="Emphasis">
    <w:name w:val="Emphasis"/>
    <w:qFormat/>
    <w:rsid w:val="00AB18E7"/>
    <w:rPr>
      <w:rFonts w:ascii="Arial" w:hAnsi="Arial"/>
      <w:i/>
      <w:iCs/>
      <w:sz w:val="26"/>
    </w:rPr>
  </w:style>
  <w:style w:type="paragraph" w:customStyle="1" w:styleId="EmphasisStrong">
    <w:name w:val="Emphasis &amp; Strong"/>
    <w:basedOn w:val="Normal"/>
    <w:next w:val="AParaNumbering"/>
    <w:link w:val="EmphasisStrongChar"/>
    <w:qFormat/>
    <w:rsid w:val="004F4178"/>
    <w:rPr>
      <w:b/>
      <w:i/>
    </w:rPr>
  </w:style>
  <w:style w:type="paragraph" w:customStyle="1" w:styleId="LegislativeQuote">
    <w:name w:val="Legislative Quote"/>
    <w:basedOn w:val="Normal"/>
    <w:next w:val="AParaNumbering"/>
    <w:qFormat/>
    <w:rsid w:val="00176FDE"/>
    <w:pPr>
      <w:spacing w:before="120" w:after="240"/>
      <w:ind w:left="1440"/>
      <w:jc w:val="both"/>
    </w:pPr>
  </w:style>
  <w:style w:type="paragraph" w:customStyle="1" w:styleId="LegislativeSubquote">
    <w:name w:val="Legislative Subquote"/>
    <w:basedOn w:val="Normal"/>
    <w:next w:val="AParaNumbering"/>
    <w:qFormat/>
    <w:rsid w:val="00176FDE"/>
    <w:pPr>
      <w:spacing w:before="120" w:after="240"/>
      <w:ind w:left="2160"/>
      <w:jc w:val="both"/>
    </w:pPr>
  </w:style>
  <w:style w:type="paragraph" w:styleId="ListBullet">
    <w:name w:val="List Bullet"/>
    <w:basedOn w:val="Normal"/>
    <w:next w:val="AParaNumbering"/>
    <w:rsid w:val="00961428"/>
    <w:pPr>
      <w:numPr>
        <w:numId w:val="14"/>
      </w:numPr>
      <w:spacing w:line="480" w:lineRule="auto"/>
      <w:ind w:left="720"/>
      <w:contextualSpacing/>
      <w:jc w:val="both"/>
    </w:pPr>
  </w:style>
  <w:style w:type="paragraph" w:styleId="ListBullet2">
    <w:name w:val="List Bullet 2"/>
    <w:basedOn w:val="Normal"/>
    <w:next w:val="AParaNumbering"/>
    <w:rsid w:val="004F4178"/>
    <w:pPr>
      <w:numPr>
        <w:numId w:val="16"/>
      </w:numPr>
      <w:spacing w:before="240" w:after="240"/>
      <w:ind w:left="2160" w:right="1440" w:hanging="720"/>
      <w:jc w:val="both"/>
    </w:pPr>
  </w:style>
  <w:style w:type="paragraph" w:customStyle="1" w:styleId="FootnoteTextEmphasis">
    <w:name w:val="Footnote Text &amp; Emphasis"/>
    <w:basedOn w:val="FootnoteText"/>
    <w:next w:val="AParaNumbering"/>
    <w:link w:val="FootnoteTextEmphasisChar"/>
    <w:qFormat/>
    <w:rsid w:val="004F4178"/>
    <w:rPr>
      <w:i/>
    </w:rPr>
  </w:style>
  <w:style w:type="paragraph" w:customStyle="1" w:styleId="Heading">
    <w:name w:val="Heading"/>
    <w:basedOn w:val="Normal"/>
    <w:next w:val="AParaNumbering"/>
    <w:link w:val="HeadingChar"/>
    <w:qFormat/>
    <w:rsid w:val="00DB2EC3"/>
    <w:pPr>
      <w:keepNext/>
      <w:spacing w:before="120" w:after="120" w:line="480" w:lineRule="auto"/>
    </w:pPr>
    <w:rPr>
      <w:b/>
    </w:rPr>
  </w:style>
  <w:style w:type="character" w:customStyle="1" w:styleId="EmphasisStrongChar">
    <w:name w:val="Emphasis &amp; Strong Char"/>
    <w:link w:val="EmphasisStrong"/>
    <w:rsid w:val="005F536A"/>
    <w:rPr>
      <w:rFonts w:ascii="Arial" w:hAnsi="Arial" w:cs="Arial"/>
      <w:b/>
      <w:i/>
      <w:sz w:val="26"/>
      <w:szCs w:val="24"/>
      <w:lang w:eastAsia="en-US"/>
    </w:rPr>
  </w:style>
  <w:style w:type="paragraph" w:customStyle="1" w:styleId="EmphasisStrongUnderline">
    <w:name w:val="Emphasis &amp; Strong &amp; Underline"/>
    <w:basedOn w:val="Normal"/>
    <w:next w:val="AParaNumbering"/>
    <w:link w:val="EmphasisStrongUnderlineChar"/>
    <w:qFormat/>
    <w:rsid w:val="005F536A"/>
    <w:rPr>
      <w:b/>
      <w:i/>
      <w:u w:val="single"/>
    </w:rPr>
  </w:style>
  <w:style w:type="character" w:customStyle="1" w:styleId="FootnoteTextEmphasisChar">
    <w:name w:val="Footnote Text &amp; Emphasis Char"/>
    <w:link w:val="FootnoteTextEmphasis"/>
    <w:rsid w:val="005F536A"/>
    <w:rPr>
      <w:rFonts w:ascii="Arial" w:hAnsi="Arial" w:cs="Arial"/>
      <w:i/>
      <w:lang w:eastAsia="en-US"/>
    </w:rPr>
  </w:style>
  <w:style w:type="character" w:customStyle="1" w:styleId="EmphasisStrongUnderlineChar">
    <w:name w:val="Emphasis &amp; Strong &amp; Underline Char"/>
    <w:link w:val="EmphasisStrongUnderline"/>
    <w:rsid w:val="005F536A"/>
    <w:rPr>
      <w:rFonts w:ascii="Arial" w:hAnsi="Arial" w:cs="Arial"/>
      <w:b/>
      <w:i/>
      <w:sz w:val="26"/>
      <w:szCs w:val="24"/>
      <w:u w:val="single"/>
      <w:lang w:eastAsia="en-US"/>
    </w:rPr>
  </w:style>
  <w:style w:type="character" w:customStyle="1" w:styleId="HeadingChar">
    <w:name w:val="Heading Char"/>
    <w:link w:val="Heading"/>
    <w:rsid w:val="00DB2EC3"/>
    <w:rPr>
      <w:rFonts w:ascii="Arial" w:hAnsi="Arial" w:cs="Arial"/>
      <w:b/>
      <w:sz w:val="26"/>
      <w:szCs w:val="24"/>
      <w:lang w:eastAsia="en-US"/>
    </w:rPr>
  </w:style>
  <w:style w:type="character" w:customStyle="1" w:styleId="KHeading10Char">
    <w:name w:val="K Heading 10 Char"/>
    <w:link w:val="KHeading10"/>
    <w:rsid w:val="00DB2EC3"/>
    <w:rPr>
      <w:rFonts w:ascii="Arial" w:hAnsi="Arial" w:cs="Arial"/>
      <w:b/>
      <w:sz w:val="26"/>
      <w:szCs w:val="24"/>
      <w:lang w:eastAsia="en-US"/>
    </w:rPr>
  </w:style>
  <w:style w:type="character" w:customStyle="1" w:styleId="MHeading12Char">
    <w:name w:val="M. Heading 12 Char"/>
    <w:link w:val="MHeading12"/>
    <w:rsid w:val="00DB2EC3"/>
    <w:rPr>
      <w:rFonts w:ascii="Arial" w:hAnsi="Arial" w:cs="Arial"/>
      <w:b/>
      <w:sz w:val="26"/>
      <w:szCs w:val="24"/>
      <w:lang w:eastAsia="en-US"/>
    </w:rPr>
  </w:style>
  <w:style w:type="paragraph" w:customStyle="1" w:styleId="EmphasisUnderline">
    <w:name w:val="Emphasis &amp; Underline"/>
    <w:basedOn w:val="Normal"/>
    <w:next w:val="AParaNumbering"/>
    <w:link w:val="EmphasisUnderlineChar"/>
    <w:qFormat/>
    <w:rsid w:val="00B017D2"/>
    <w:rPr>
      <w:i/>
      <w:u w:val="single"/>
    </w:rPr>
  </w:style>
  <w:style w:type="paragraph" w:customStyle="1" w:styleId="Inthematterof">
    <w:name w:val="In the matter of"/>
    <w:basedOn w:val="Normal"/>
    <w:semiHidden/>
    <w:qFormat/>
    <w:rsid w:val="00B56306"/>
    <w:pPr>
      <w:jc w:val="center"/>
    </w:pPr>
  </w:style>
  <w:style w:type="character" w:customStyle="1" w:styleId="EmphasisUnderlineChar">
    <w:name w:val="Emphasis &amp; Underline Char"/>
    <w:link w:val="EmphasisUnderline"/>
    <w:rsid w:val="00B017D2"/>
    <w:rPr>
      <w:rFonts w:ascii="Arial" w:hAnsi="Arial" w:cs="Arial"/>
      <w:i/>
      <w:sz w:val="26"/>
      <w:szCs w:val="24"/>
      <w:u w:val="single"/>
      <w:lang w:eastAsia="en-US"/>
    </w:rPr>
  </w:style>
  <w:style w:type="paragraph" w:styleId="ListNumber">
    <w:name w:val="List Number"/>
    <w:basedOn w:val="Normal"/>
    <w:next w:val="AParaNumbering"/>
    <w:rsid w:val="00B27065"/>
    <w:pPr>
      <w:numPr>
        <w:numId w:val="15"/>
      </w:numPr>
      <w:spacing w:line="480" w:lineRule="auto"/>
      <w:ind w:left="714" w:hanging="357"/>
      <w:contextualSpacing/>
      <w:jc w:val="both"/>
    </w:pPr>
  </w:style>
  <w:style w:type="paragraph" w:styleId="ListNumber2">
    <w:name w:val="List Number 2"/>
    <w:basedOn w:val="Normal"/>
    <w:next w:val="AParaNumbering"/>
    <w:rsid w:val="00B27065"/>
    <w:pPr>
      <w:numPr>
        <w:numId w:val="20"/>
      </w:numPr>
      <w:tabs>
        <w:tab w:val="left" w:pos="641"/>
      </w:tabs>
      <w:spacing w:before="240" w:after="240"/>
      <w:ind w:left="2160" w:right="1440" w:hanging="720"/>
      <w:contextualSpacing/>
    </w:pPr>
  </w:style>
  <w:style w:type="paragraph" w:styleId="Header">
    <w:name w:val="header"/>
    <w:basedOn w:val="Normal"/>
    <w:link w:val="HeaderChar"/>
    <w:rsid w:val="00E81E11"/>
    <w:pPr>
      <w:tabs>
        <w:tab w:val="center" w:pos="4680"/>
        <w:tab w:val="right" w:pos="9360"/>
      </w:tabs>
    </w:pPr>
  </w:style>
  <w:style w:type="character" w:customStyle="1" w:styleId="HeaderChar">
    <w:name w:val="Header Char"/>
    <w:basedOn w:val="DefaultParagraphFont"/>
    <w:link w:val="Header"/>
    <w:rsid w:val="00E81E11"/>
    <w:rPr>
      <w:rFonts w:ascii="Arial" w:hAnsi="Arial" w:cs="Arial"/>
      <w:sz w:val="26"/>
      <w:szCs w:val="24"/>
      <w:lang w:eastAsia="en-US"/>
    </w:rPr>
  </w:style>
  <w:style w:type="paragraph" w:styleId="Footer">
    <w:name w:val="footer"/>
    <w:basedOn w:val="Normal"/>
    <w:link w:val="FooterChar"/>
    <w:rsid w:val="00E81E11"/>
    <w:pPr>
      <w:tabs>
        <w:tab w:val="center" w:pos="4680"/>
        <w:tab w:val="right" w:pos="9360"/>
      </w:tabs>
    </w:pPr>
  </w:style>
  <w:style w:type="character" w:customStyle="1" w:styleId="FooterChar">
    <w:name w:val="Footer Char"/>
    <w:basedOn w:val="DefaultParagraphFont"/>
    <w:link w:val="Footer"/>
    <w:rsid w:val="00E81E11"/>
    <w:rPr>
      <w:rFonts w:ascii="Arial" w:hAnsi="Arial" w:cs="Arial"/>
      <w:sz w:val="26"/>
      <w:szCs w:val="24"/>
      <w:lang w:eastAsia="en-US"/>
    </w:rPr>
  </w:style>
  <w:style w:type="paragraph" w:customStyle="1" w:styleId="ParagraphLevel1">
    <w:name w:val="Paragraph Level 1"/>
    <w:qFormat/>
    <w:rsid w:val="003051F3"/>
    <w:pPr>
      <w:numPr>
        <w:numId w:val="27"/>
      </w:numPr>
      <w:spacing w:after="260" w:line="480" w:lineRule="auto"/>
      <w:ind w:left="0" w:firstLine="0"/>
      <w:jc w:val="both"/>
    </w:pPr>
    <w:rPr>
      <w:rFonts w:ascii="Arial" w:hAnsi="Arial"/>
      <w:sz w:val="26"/>
      <w:lang w:val="en-US" w:eastAsia="en-US"/>
    </w:rPr>
  </w:style>
  <w:style w:type="character" w:customStyle="1" w:styleId="AParaNumberingChar">
    <w:name w:val="A. Para Numbering Char"/>
    <w:basedOn w:val="DefaultParagraphFont"/>
    <w:link w:val="AParaNumbering"/>
    <w:rsid w:val="003051F3"/>
    <w:rPr>
      <w:rFonts w:ascii="Arial" w:hAnsi="Arial"/>
      <w:sz w:val="26"/>
      <w:lang w:eastAsia="en-US"/>
    </w:rPr>
  </w:style>
  <w:style w:type="character" w:styleId="CommentReference">
    <w:name w:val="annotation reference"/>
    <w:basedOn w:val="DefaultParagraphFont"/>
    <w:semiHidden/>
    <w:unhideWhenUsed/>
    <w:rsid w:val="00D50775"/>
    <w:rPr>
      <w:sz w:val="16"/>
      <w:szCs w:val="16"/>
    </w:rPr>
  </w:style>
  <w:style w:type="paragraph" w:styleId="CommentText">
    <w:name w:val="annotation text"/>
    <w:basedOn w:val="Normal"/>
    <w:link w:val="CommentTextChar"/>
    <w:semiHidden/>
    <w:unhideWhenUsed/>
    <w:rsid w:val="00D50775"/>
    <w:rPr>
      <w:sz w:val="20"/>
      <w:szCs w:val="20"/>
    </w:rPr>
  </w:style>
  <w:style w:type="character" w:customStyle="1" w:styleId="CommentTextChar">
    <w:name w:val="Comment Text Char"/>
    <w:basedOn w:val="DefaultParagraphFont"/>
    <w:link w:val="CommentText"/>
    <w:semiHidden/>
    <w:rsid w:val="00D50775"/>
    <w:rPr>
      <w:rFonts w:ascii="Arial" w:hAnsi="Arial" w:cs="Arial"/>
      <w:lang w:eastAsia="en-US"/>
    </w:rPr>
  </w:style>
  <w:style w:type="paragraph" w:styleId="CommentSubject">
    <w:name w:val="annotation subject"/>
    <w:basedOn w:val="CommentText"/>
    <w:next w:val="CommentText"/>
    <w:link w:val="CommentSubjectChar"/>
    <w:semiHidden/>
    <w:unhideWhenUsed/>
    <w:rsid w:val="00D50775"/>
    <w:rPr>
      <w:b/>
      <w:bCs/>
    </w:rPr>
  </w:style>
  <w:style w:type="character" w:customStyle="1" w:styleId="CommentSubjectChar">
    <w:name w:val="Comment Subject Char"/>
    <w:basedOn w:val="CommentTextChar"/>
    <w:link w:val="CommentSubject"/>
    <w:semiHidden/>
    <w:rsid w:val="00D5077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EFC9-F158-4F75-8A9B-6157B222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4952</Words>
  <Characters>24560</Characters>
  <Application>Microsoft Office Word</Application>
  <DocSecurity>4</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ce qui concerne une plainte sur la conduite de l’honorable juge John Keast</dc:title>
  <dc:subject>Plainte, decision</dc:subject>
  <dc:creator/>
  <cp:keywords>Plainte, decision</cp:keywords>
  <cp:lastModifiedBy/>
  <cp:revision>1</cp:revision>
  <dcterms:created xsi:type="dcterms:W3CDTF">2018-02-07T16:04:00Z</dcterms:created>
  <dcterms:modified xsi:type="dcterms:W3CDTF">2018-02-07T16:04:00Z</dcterms:modified>
</cp:coreProperties>
</file>