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5719" w14:textId="79DEE1A4" w:rsidR="00BD392C" w:rsidRPr="003F1ABC" w:rsidRDefault="00B16D72" w:rsidP="00BD392C">
      <w:pPr>
        <w:spacing w:after="0" w:line="240" w:lineRule="auto"/>
        <w:jc w:val="center"/>
        <w:rPr>
          <w:rFonts w:eastAsia="Times New Roman" w:cstheme="minorHAnsi"/>
          <w:b/>
          <w:sz w:val="44"/>
          <w:szCs w:val="44"/>
          <w:lang w:val="fr-CA" w:eastAsia="en-CA"/>
        </w:rPr>
      </w:pPr>
      <w:bookmarkStart w:id="0" w:name="_GoBack"/>
      <w:bookmarkEnd w:id="0"/>
      <w:r w:rsidRPr="003F1ABC">
        <w:rPr>
          <w:rFonts w:cstheme="minorHAnsi"/>
          <w:b/>
          <w:sz w:val="44"/>
          <w:szCs w:val="44"/>
          <w:lang w:val="fr-CA"/>
        </w:rPr>
        <w:t>Conseil d’évaluation des juges de paix</w:t>
      </w:r>
    </w:p>
    <w:p w14:paraId="1328204B" w14:textId="77777777" w:rsidR="00BD392C" w:rsidRPr="003F1ABC" w:rsidRDefault="006F43EA" w:rsidP="00BD392C">
      <w:pPr>
        <w:spacing w:after="0" w:line="240" w:lineRule="auto"/>
        <w:ind w:firstLine="3402"/>
        <w:rPr>
          <w:rFonts w:eastAsia="Times New Roman" w:cstheme="minorHAnsi"/>
          <w:b/>
          <w:sz w:val="32"/>
          <w:szCs w:val="32"/>
          <w:lang w:val="fr-CA" w:eastAsia="en-CA"/>
        </w:rPr>
      </w:pPr>
      <w:r w:rsidRPr="003F1ABC">
        <w:rPr>
          <w:rFonts w:eastAsia="Times New Roman" w:cstheme="minorHAnsi"/>
          <w:b/>
          <w:sz w:val="44"/>
          <w:szCs w:val="44"/>
          <w:lang w:val="fr-CA" w:eastAsia="en-CA"/>
        </w:rPr>
        <w:br w:type="textWrapping" w:clear="all"/>
      </w:r>
    </w:p>
    <w:p w14:paraId="056B984B" w14:textId="77777777" w:rsidR="00BD392C" w:rsidRPr="003F1ABC" w:rsidRDefault="00BD392C" w:rsidP="00BD392C">
      <w:pPr>
        <w:spacing w:after="0" w:line="240" w:lineRule="auto"/>
        <w:rPr>
          <w:rFonts w:eastAsia="Times New Roman" w:cstheme="minorHAnsi"/>
          <w:b/>
          <w:sz w:val="32"/>
          <w:szCs w:val="32"/>
          <w:lang w:val="fr-CA" w:eastAsia="en-CA"/>
        </w:rPr>
      </w:pPr>
    </w:p>
    <w:p w14:paraId="0BBE2DD2" w14:textId="4BD8384F" w:rsidR="006F43EA" w:rsidRPr="003F1ABC" w:rsidRDefault="00B16D72" w:rsidP="00BD392C">
      <w:pPr>
        <w:spacing w:after="0" w:line="240" w:lineRule="auto"/>
        <w:jc w:val="center"/>
        <w:rPr>
          <w:rFonts w:eastAsia="Times New Roman" w:cstheme="minorHAnsi"/>
          <w:b/>
          <w:sz w:val="28"/>
          <w:szCs w:val="28"/>
          <w:lang w:val="fr-CA" w:eastAsia="en-CA"/>
        </w:rPr>
      </w:pPr>
      <w:r w:rsidRPr="003F1ABC">
        <w:rPr>
          <w:rFonts w:eastAsia="Times New Roman" w:cstheme="minorHAnsi"/>
          <w:b/>
          <w:sz w:val="28"/>
          <w:szCs w:val="28"/>
          <w:lang w:val="fr-CA" w:eastAsia="en-CA"/>
        </w:rPr>
        <w:t xml:space="preserve">DANS L’AFFAIRE D’UNE AUDIENCE EN VERTU DE L'ARTICLE 11.1 DE LA </w:t>
      </w:r>
      <w:r w:rsidRPr="003F1ABC">
        <w:rPr>
          <w:rFonts w:eastAsia="Times New Roman" w:cstheme="minorHAnsi"/>
          <w:b/>
          <w:i/>
          <w:iCs/>
          <w:sz w:val="28"/>
          <w:szCs w:val="28"/>
          <w:lang w:val="fr-CA" w:eastAsia="en-CA"/>
        </w:rPr>
        <w:t>LOI SUR LES JUGES DE PAIX</w:t>
      </w:r>
      <w:r w:rsidRPr="003F1ABC">
        <w:rPr>
          <w:rFonts w:eastAsia="Times New Roman" w:cstheme="minorHAnsi"/>
          <w:b/>
          <w:sz w:val="28"/>
          <w:szCs w:val="28"/>
          <w:lang w:val="fr-CA" w:eastAsia="en-CA"/>
        </w:rPr>
        <w:t>, L.R.O. 1990, ch. J.4, DANS SA VERSION MODIFIÉE,</w:t>
      </w:r>
    </w:p>
    <w:p w14:paraId="19F08A16" w14:textId="77777777" w:rsidR="006123A9" w:rsidRPr="003F1ABC" w:rsidRDefault="006123A9" w:rsidP="006F43EA">
      <w:pPr>
        <w:spacing w:after="0" w:line="240" w:lineRule="auto"/>
        <w:jc w:val="center"/>
        <w:rPr>
          <w:rFonts w:eastAsia="Times New Roman" w:cstheme="minorHAnsi"/>
          <w:b/>
          <w:sz w:val="32"/>
          <w:szCs w:val="32"/>
          <w:lang w:val="fr-CA" w:eastAsia="en-CA"/>
        </w:rPr>
      </w:pPr>
    </w:p>
    <w:p w14:paraId="6F5B166F" w14:textId="77777777" w:rsidR="00B16D72" w:rsidRPr="003F1ABC" w:rsidRDefault="00B16D72" w:rsidP="00B16D72">
      <w:pPr>
        <w:spacing w:before="600" w:after="0" w:line="240" w:lineRule="auto"/>
        <w:jc w:val="center"/>
        <w:rPr>
          <w:rFonts w:eastAsia="Times New Roman" w:cstheme="minorHAnsi"/>
          <w:b/>
          <w:sz w:val="28"/>
          <w:szCs w:val="28"/>
          <w:lang w:val="fr-CA" w:eastAsia="en-CA"/>
        </w:rPr>
      </w:pPr>
      <w:r w:rsidRPr="003F1ABC">
        <w:rPr>
          <w:rFonts w:eastAsia="Times New Roman" w:cstheme="minorHAnsi"/>
          <w:b/>
          <w:sz w:val="28"/>
          <w:szCs w:val="28"/>
          <w:lang w:val="fr-CA" w:eastAsia="en-CA"/>
        </w:rPr>
        <w:t xml:space="preserve">En ce qui concerne une plainte au sujet de la conduite de la </w:t>
      </w:r>
    </w:p>
    <w:p w14:paraId="3D74DD01" w14:textId="14788A6D" w:rsidR="006F43EA" w:rsidRPr="003F1ABC" w:rsidRDefault="00B16D72" w:rsidP="00B16D72">
      <w:pPr>
        <w:spacing w:after="840" w:line="240" w:lineRule="auto"/>
        <w:jc w:val="center"/>
        <w:rPr>
          <w:rFonts w:eastAsia="Times New Roman" w:cstheme="minorHAnsi"/>
          <w:b/>
          <w:sz w:val="28"/>
          <w:szCs w:val="28"/>
          <w:lang w:val="fr-CA" w:eastAsia="en-CA"/>
        </w:rPr>
      </w:pPr>
      <w:proofErr w:type="gramStart"/>
      <w:r w:rsidRPr="003F1ABC">
        <w:rPr>
          <w:rFonts w:eastAsia="Times New Roman" w:cstheme="minorHAnsi"/>
          <w:b/>
          <w:sz w:val="28"/>
          <w:szCs w:val="28"/>
          <w:lang w:val="fr-CA" w:eastAsia="en-CA"/>
        </w:rPr>
        <w:t>juge</w:t>
      </w:r>
      <w:proofErr w:type="gramEnd"/>
      <w:r w:rsidRPr="003F1ABC">
        <w:rPr>
          <w:rFonts w:eastAsia="Times New Roman" w:cstheme="minorHAnsi"/>
          <w:b/>
          <w:sz w:val="28"/>
          <w:szCs w:val="28"/>
          <w:lang w:val="fr-CA" w:eastAsia="en-CA"/>
        </w:rPr>
        <w:t xml:space="preserve"> de paix Claire Winchester</w:t>
      </w:r>
      <w:r w:rsidR="006F43EA" w:rsidRPr="003F1ABC">
        <w:rPr>
          <w:rFonts w:eastAsia="Times New Roman" w:cstheme="minorHAnsi"/>
          <w:b/>
          <w:sz w:val="28"/>
          <w:szCs w:val="28"/>
          <w:lang w:val="fr-CA" w:eastAsia="en-CA"/>
        </w:rPr>
        <w:t xml:space="preserve"> </w:t>
      </w:r>
    </w:p>
    <w:p w14:paraId="32106BE7" w14:textId="2A56F7C7" w:rsidR="00B16D72" w:rsidRPr="003F1ABC" w:rsidRDefault="00F72DAD" w:rsidP="00B16D72">
      <w:pPr>
        <w:spacing w:before="240" w:after="240" w:line="240" w:lineRule="auto"/>
        <w:ind w:right="-448" w:hanging="357"/>
        <w:rPr>
          <w:rFonts w:eastAsia="Times New Roman" w:cstheme="minorHAnsi"/>
          <w:szCs w:val="24"/>
          <w:lang w:val="fr-CA" w:eastAsia="en-CA"/>
        </w:rPr>
      </w:pPr>
      <w:r w:rsidRPr="003F1ABC">
        <w:rPr>
          <w:rFonts w:eastAsia="Times New Roman" w:cstheme="minorHAnsi"/>
          <w:b/>
          <w:sz w:val="26"/>
          <w:szCs w:val="26"/>
          <w:lang w:val="fr-CA" w:eastAsia="en-CA"/>
        </w:rPr>
        <w:t>D</w:t>
      </w:r>
      <w:r w:rsidR="00B16D72" w:rsidRPr="003F1ABC">
        <w:rPr>
          <w:rFonts w:eastAsia="Times New Roman" w:cstheme="minorHAnsi"/>
          <w:b/>
          <w:sz w:val="26"/>
          <w:szCs w:val="26"/>
          <w:lang w:val="fr-CA" w:eastAsia="en-CA"/>
        </w:rPr>
        <w:t xml:space="preserve">evant </w:t>
      </w:r>
      <w:r w:rsidR="00B16D72" w:rsidRPr="003F1ABC">
        <w:rPr>
          <w:rFonts w:eastAsia="Times New Roman" w:cstheme="minorHAnsi"/>
          <w:sz w:val="26"/>
          <w:szCs w:val="26"/>
          <w:lang w:val="fr-CA" w:eastAsia="en-CA"/>
        </w:rPr>
        <w:t>:</w:t>
      </w:r>
      <w:r w:rsidR="00B16D72" w:rsidRPr="003F1ABC">
        <w:rPr>
          <w:rFonts w:eastAsia="Times New Roman" w:cstheme="minorHAnsi"/>
          <w:sz w:val="26"/>
          <w:szCs w:val="26"/>
          <w:lang w:val="fr-CA" w:eastAsia="en-CA"/>
        </w:rPr>
        <w:tab/>
      </w:r>
      <w:r w:rsidRPr="003F1ABC">
        <w:rPr>
          <w:rFonts w:eastAsia="Times New Roman" w:cstheme="minorHAnsi"/>
          <w:sz w:val="26"/>
          <w:szCs w:val="26"/>
          <w:lang w:val="fr-CA" w:eastAsia="en-CA"/>
        </w:rPr>
        <w:tab/>
      </w:r>
      <w:r w:rsidRPr="003F1ABC">
        <w:rPr>
          <w:rFonts w:eastAsia="Times New Roman" w:cstheme="minorHAnsi"/>
          <w:sz w:val="26"/>
          <w:szCs w:val="26"/>
          <w:lang w:val="fr-CA" w:eastAsia="en-CA"/>
        </w:rPr>
        <w:tab/>
      </w:r>
      <w:r w:rsidR="00B16D72" w:rsidRPr="003F1ABC">
        <w:rPr>
          <w:rFonts w:cstheme="minorHAnsi"/>
          <w:szCs w:val="24"/>
          <w:lang w:val="fr-CA"/>
        </w:rPr>
        <w:t xml:space="preserve">L’honorable juge </w:t>
      </w:r>
      <w:r w:rsidR="00B16D72" w:rsidRPr="003F1ABC">
        <w:rPr>
          <w:rFonts w:eastAsia="Times New Roman" w:cstheme="minorHAnsi"/>
          <w:szCs w:val="24"/>
          <w:lang w:val="fr-CA" w:eastAsia="en-CA"/>
        </w:rPr>
        <w:t>Martin Lambert, président</w:t>
      </w:r>
    </w:p>
    <w:p w14:paraId="443749EA" w14:textId="3B0858C8" w:rsidR="005F158E" w:rsidRPr="003F1ABC" w:rsidRDefault="00B16D72" w:rsidP="00B16D72">
      <w:pPr>
        <w:spacing w:before="240" w:after="240" w:line="240" w:lineRule="auto"/>
        <w:ind w:left="1440" w:right="-448" w:firstLine="720"/>
        <w:rPr>
          <w:rFonts w:eastAsia="Times New Roman" w:cstheme="minorHAnsi"/>
          <w:szCs w:val="24"/>
          <w:lang w:val="fr-CA" w:eastAsia="en-CA"/>
        </w:rPr>
      </w:pPr>
      <w:r w:rsidRPr="003F1ABC">
        <w:rPr>
          <w:rFonts w:cstheme="minorHAnsi"/>
          <w:szCs w:val="24"/>
          <w:lang w:val="fr-CA"/>
        </w:rPr>
        <w:t>La juge de paix Kristine Diaz, membre juge de paix</w:t>
      </w:r>
    </w:p>
    <w:p w14:paraId="181B5CD1" w14:textId="49B6530E" w:rsidR="005F158E" w:rsidRPr="003F1ABC" w:rsidRDefault="005F158E" w:rsidP="007C3A83">
      <w:pPr>
        <w:spacing w:before="240" w:after="240" w:line="240" w:lineRule="auto"/>
        <w:ind w:left="1440" w:right="-448" w:firstLine="720"/>
        <w:rPr>
          <w:rFonts w:eastAsia="Times New Roman" w:cstheme="minorHAnsi"/>
          <w:szCs w:val="24"/>
          <w:lang w:val="fr-CA" w:eastAsia="en-CA"/>
        </w:rPr>
      </w:pPr>
      <w:r w:rsidRPr="003F1ABC">
        <w:rPr>
          <w:rFonts w:eastAsia="Times New Roman" w:cstheme="minorHAnsi"/>
          <w:szCs w:val="24"/>
          <w:lang w:val="fr-CA" w:eastAsia="en-CA"/>
        </w:rPr>
        <w:t>M</w:t>
      </w:r>
      <w:r w:rsidR="00B16D72" w:rsidRPr="003F1ABC">
        <w:rPr>
          <w:rFonts w:eastAsia="Times New Roman" w:cstheme="minorHAnsi"/>
          <w:szCs w:val="24"/>
          <w:lang w:val="fr-CA" w:eastAsia="en-CA"/>
        </w:rPr>
        <w:t>me</w:t>
      </w:r>
      <w:r w:rsidR="00A84AD4" w:rsidRPr="003F1ABC">
        <w:rPr>
          <w:rFonts w:eastAsia="Times New Roman" w:cstheme="minorHAnsi"/>
          <w:szCs w:val="24"/>
          <w:lang w:val="fr-CA" w:eastAsia="en-CA"/>
        </w:rPr>
        <w:t xml:space="preserve"> Leonore Foster</w:t>
      </w:r>
      <w:r w:rsidRPr="003F1ABC">
        <w:rPr>
          <w:rFonts w:eastAsia="Times New Roman" w:cstheme="minorHAnsi"/>
          <w:szCs w:val="24"/>
          <w:lang w:val="fr-CA" w:eastAsia="en-CA"/>
        </w:rPr>
        <w:t xml:space="preserve">, </w:t>
      </w:r>
      <w:r w:rsidR="00B16D72" w:rsidRPr="003F1ABC">
        <w:rPr>
          <w:rFonts w:ascii="Arial" w:hAnsi="Arial" w:cs="Arial"/>
          <w:szCs w:val="24"/>
          <w:lang w:val="fr-CA"/>
        </w:rPr>
        <w:t>membre du public</w:t>
      </w:r>
    </w:p>
    <w:p w14:paraId="6CC48A5A" w14:textId="77777777" w:rsidR="006F43EA" w:rsidRPr="003F1ABC" w:rsidRDefault="006F43EA" w:rsidP="005F158E">
      <w:pPr>
        <w:spacing w:before="240" w:after="240" w:line="240" w:lineRule="auto"/>
        <w:ind w:left="1440" w:hanging="1440"/>
        <w:rPr>
          <w:rFonts w:eastAsia="Times New Roman" w:cstheme="minorHAnsi"/>
          <w:sz w:val="26"/>
          <w:szCs w:val="26"/>
          <w:lang w:val="fr-CA" w:eastAsia="en-CA"/>
        </w:rPr>
      </w:pPr>
    </w:p>
    <w:p w14:paraId="4AFC8306" w14:textId="5132AB47" w:rsidR="006123A9" w:rsidRPr="003F1ABC" w:rsidRDefault="00B16D72" w:rsidP="00372402">
      <w:pPr>
        <w:spacing w:after="0" w:line="240" w:lineRule="auto"/>
        <w:jc w:val="center"/>
        <w:rPr>
          <w:rFonts w:eastAsia="Times New Roman" w:cstheme="minorHAnsi"/>
          <w:sz w:val="28"/>
          <w:szCs w:val="28"/>
          <w:lang w:val="fr-CA" w:eastAsia="en-CA"/>
        </w:rPr>
      </w:pPr>
      <w:r w:rsidRPr="003F1ABC">
        <w:rPr>
          <w:rFonts w:eastAsia="Times New Roman" w:cstheme="minorHAnsi"/>
          <w:b/>
          <w:sz w:val="28"/>
          <w:szCs w:val="28"/>
          <w:lang w:val="fr-CA" w:eastAsia="en-CA"/>
        </w:rPr>
        <w:t xml:space="preserve">DÉCISION SUR LA DEMANDE DE RECOMMANDATION D’INDEMNISATION DES FRAIS POUR SERVICES JURIDIQUES </w:t>
      </w:r>
    </w:p>
    <w:p w14:paraId="543B5F69" w14:textId="77777777" w:rsidR="006123A9" w:rsidRPr="003F1ABC" w:rsidRDefault="006123A9" w:rsidP="006123A9">
      <w:pPr>
        <w:spacing w:after="0" w:line="240" w:lineRule="auto"/>
        <w:rPr>
          <w:rFonts w:eastAsia="Times New Roman" w:cstheme="minorHAnsi"/>
          <w:b/>
          <w:sz w:val="26"/>
          <w:szCs w:val="26"/>
          <w:lang w:val="fr-CA" w:eastAsia="en-CA"/>
        </w:rPr>
      </w:pPr>
    </w:p>
    <w:p w14:paraId="04C81E02" w14:textId="77777777" w:rsidR="00A84AD4" w:rsidRPr="003F1ABC" w:rsidRDefault="00A84AD4" w:rsidP="006123A9">
      <w:pPr>
        <w:spacing w:after="0" w:line="240" w:lineRule="auto"/>
        <w:rPr>
          <w:rFonts w:eastAsia="Times New Roman" w:cstheme="minorHAnsi"/>
          <w:b/>
          <w:sz w:val="26"/>
          <w:szCs w:val="26"/>
          <w:lang w:val="fr-CA" w:eastAsia="en-CA"/>
        </w:rPr>
      </w:pPr>
    </w:p>
    <w:p w14:paraId="0C33E48F" w14:textId="2FDD7ABD" w:rsidR="006F43EA" w:rsidRPr="003F1ABC" w:rsidRDefault="003D5480" w:rsidP="00BD392C">
      <w:pPr>
        <w:spacing w:before="720" w:after="0" w:line="240" w:lineRule="auto"/>
        <w:rPr>
          <w:rFonts w:eastAsia="Times New Roman" w:cstheme="minorHAnsi"/>
          <w:szCs w:val="24"/>
          <w:lang w:val="fr-CA" w:eastAsia="en-CA"/>
        </w:rPr>
      </w:pPr>
      <w:r w:rsidRPr="003F1ABC">
        <w:rPr>
          <w:rFonts w:eastAsia="Times New Roman" w:cstheme="minorHAnsi"/>
          <w:b/>
          <w:szCs w:val="24"/>
          <w:lang w:val="fr-CA" w:eastAsia="en-CA"/>
        </w:rPr>
        <w:t xml:space="preserve">Avocats </w:t>
      </w:r>
      <w:r w:rsidR="006F43EA" w:rsidRPr="003F1ABC">
        <w:rPr>
          <w:rFonts w:eastAsia="Times New Roman" w:cstheme="minorHAnsi"/>
          <w:b/>
          <w:szCs w:val="24"/>
          <w:lang w:val="fr-CA" w:eastAsia="en-CA"/>
        </w:rPr>
        <w:t>:</w:t>
      </w:r>
    </w:p>
    <w:p w14:paraId="3DD3ED68" w14:textId="77777777" w:rsidR="006123A9" w:rsidRPr="003F1ABC" w:rsidRDefault="006123A9" w:rsidP="006123A9">
      <w:pPr>
        <w:spacing w:after="0" w:line="240" w:lineRule="auto"/>
        <w:ind w:left="2160" w:hanging="2160"/>
        <w:rPr>
          <w:rFonts w:eastAsia="Times New Roman" w:cstheme="minorHAnsi"/>
          <w:szCs w:val="24"/>
          <w:lang w:val="fr-CA" w:eastAsia="en-CA"/>
        </w:rPr>
      </w:pPr>
    </w:p>
    <w:p w14:paraId="0647961C" w14:textId="335B8899" w:rsidR="00A84AD4" w:rsidRPr="003F1ABC" w:rsidRDefault="006F43EA" w:rsidP="006123A9">
      <w:pPr>
        <w:spacing w:after="0" w:line="240" w:lineRule="auto"/>
        <w:ind w:left="2160" w:hanging="2160"/>
        <w:rPr>
          <w:rFonts w:eastAsia="Times New Roman" w:cstheme="minorHAnsi"/>
          <w:szCs w:val="24"/>
          <w:lang w:val="fr-CA" w:eastAsia="en-CA"/>
        </w:rPr>
      </w:pPr>
      <w:r w:rsidRPr="003F1ABC">
        <w:rPr>
          <w:rFonts w:eastAsia="Times New Roman" w:cstheme="minorHAnsi"/>
          <w:szCs w:val="24"/>
          <w:lang w:val="fr-CA" w:eastAsia="en-CA"/>
        </w:rPr>
        <w:t>M</w:t>
      </w:r>
      <w:r w:rsidR="003D5480" w:rsidRPr="003F1ABC">
        <w:rPr>
          <w:rFonts w:eastAsia="Times New Roman" w:cstheme="minorHAnsi"/>
          <w:szCs w:val="24"/>
          <w:lang w:val="fr-CA" w:eastAsia="en-CA"/>
        </w:rPr>
        <w:t>e</w:t>
      </w:r>
      <w:r w:rsidRPr="003F1ABC">
        <w:rPr>
          <w:rFonts w:eastAsia="Times New Roman" w:cstheme="minorHAnsi"/>
          <w:szCs w:val="24"/>
          <w:lang w:val="fr-CA" w:eastAsia="en-CA"/>
        </w:rPr>
        <w:t xml:space="preserve"> </w:t>
      </w:r>
      <w:r w:rsidR="00803C6E" w:rsidRPr="003F1ABC">
        <w:rPr>
          <w:rFonts w:eastAsia="Times New Roman" w:cstheme="minorHAnsi"/>
          <w:szCs w:val="24"/>
          <w:lang w:val="fr-CA" w:eastAsia="en-CA"/>
        </w:rPr>
        <w:t>Matthew Gourlay</w:t>
      </w:r>
    </w:p>
    <w:p w14:paraId="03567629" w14:textId="36840141" w:rsidR="006123A9" w:rsidRPr="003F1ABC" w:rsidRDefault="003D5480" w:rsidP="006123A9">
      <w:pPr>
        <w:spacing w:after="0" w:line="240" w:lineRule="auto"/>
        <w:ind w:left="2160" w:hanging="2160"/>
        <w:rPr>
          <w:rFonts w:eastAsia="Times New Roman" w:cstheme="minorHAnsi"/>
          <w:szCs w:val="24"/>
          <w:lang w:val="fr-CA" w:eastAsia="en-CA"/>
        </w:rPr>
      </w:pPr>
      <w:r w:rsidRPr="003F1ABC">
        <w:rPr>
          <w:rFonts w:eastAsia="Times New Roman" w:cstheme="minorHAnsi"/>
          <w:szCs w:val="24"/>
          <w:lang w:val="fr-CA" w:eastAsia="en-CA"/>
        </w:rPr>
        <w:t>Avocat chargé de la présentation</w:t>
      </w:r>
    </w:p>
    <w:p w14:paraId="26FFA909" w14:textId="77777777" w:rsidR="006123A9" w:rsidRPr="003F1ABC" w:rsidRDefault="006123A9" w:rsidP="006F43EA">
      <w:pPr>
        <w:spacing w:after="0" w:line="240" w:lineRule="auto"/>
        <w:ind w:left="2160" w:hanging="2160"/>
        <w:rPr>
          <w:rFonts w:eastAsia="Times New Roman" w:cstheme="minorHAnsi"/>
          <w:szCs w:val="24"/>
          <w:lang w:val="fr-CA" w:eastAsia="en-CA"/>
        </w:rPr>
      </w:pPr>
    </w:p>
    <w:p w14:paraId="39048334" w14:textId="2746F2DC" w:rsidR="00A84AD4" w:rsidRPr="003F1ABC" w:rsidRDefault="006123A9" w:rsidP="006123A9">
      <w:pPr>
        <w:spacing w:after="0" w:line="240" w:lineRule="auto"/>
        <w:ind w:left="2160" w:hanging="2160"/>
        <w:rPr>
          <w:rFonts w:eastAsia="Times New Roman" w:cstheme="minorHAnsi"/>
          <w:szCs w:val="24"/>
          <w:lang w:val="fr-CA" w:eastAsia="en-CA"/>
        </w:rPr>
      </w:pPr>
      <w:r w:rsidRPr="003F1ABC">
        <w:rPr>
          <w:rFonts w:eastAsia="Times New Roman" w:cstheme="minorHAnsi"/>
          <w:szCs w:val="24"/>
          <w:lang w:val="fr-CA" w:eastAsia="en-CA"/>
        </w:rPr>
        <w:t>M</w:t>
      </w:r>
      <w:r w:rsidR="0007393E" w:rsidRPr="003F1ABC">
        <w:rPr>
          <w:rFonts w:eastAsia="Times New Roman" w:cstheme="minorHAnsi"/>
          <w:szCs w:val="24"/>
          <w:lang w:val="fr-CA" w:eastAsia="en-CA"/>
        </w:rPr>
        <w:t>e</w:t>
      </w:r>
      <w:r w:rsidR="006F43EA" w:rsidRPr="003F1ABC">
        <w:rPr>
          <w:rFonts w:eastAsia="Times New Roman" w:cstheme="minorHAnsi"/>
          <w:szCs w:val="24"/>
          <w:lang w:val="fr-CA" w:eastAsia="en-CA"/>
        </w:rPr>
        <w:t xml:space="preserve"> </w:t>
      </w:r>
      <w:r w:rsidR="00A84AD4" w:rsidRPr="003F1ABC">
        <w:rPr>
          <w:rFonts w:eastAsia="Times New Roman" w:cstheme="minorHAnsi"/>
          <w:szCs w:val="24"/>
          <w:lang w:val="fr-CA" w:eastAsia="en-CA"/>
        </w:rPr>
        <w:t>Donald Bayne</w:t>
      </w:r>
    </w:p>
    <w:p w14:paraId="7D2A3FEC" w14:textId="7A3C82AE" w:rsidR="00A84AD4" w:rsidRPr="003F1ABC" w:rsidRDefault="00A84AD4" w:rsidP="006123A9">
      <w:pPr>
        <w:spacing w:after="0" w:line="240" w:lineRule="auto"/>
        <w:ind w:left="2160" w:hanging="2160"/>
        <w:rPr>
          <w:rFonts w:eastAsia="Times New Roman" w:cstheme="minorHAnsi"/>
          <w:szCs w:val="24"/>
          <w:lang w:val="fr-CA" w:eastAsia="en-CA"/>
        </w:rPr>
      </w:pPr>
      <w:r w:rsidRPr="003F1ABC">
        <w:rPr>
          <w:rFonts w:eastAsia="Times New Roman" w:cstheme="minorHAnsi"/>
          <w:szCs w:val="24"/>
          <w:lang w:val="fr-CA" w:eastAsia="en-CA"/>
        </w:rPr>
        <w:t>M</w:t>
      </w:r>
      <w:r w:rsidR="0007393E" w:rsidRPr="003F1ABC">
        <w:rPr>
          <w:rFonts w:eastAsia="Times New Roman" w:cstheme="minorHAnsi"/>
          <w:szCs w:val="24"/>
          <w:lang w:val="fr-CA" w:eastAsia="en-CA"/>
        </w:rPr>
        <w:t>e</w:t>
      </w:r>
      <w:r w:rsidRPr="003F1ABC">
        <w:rPr>
          <w:rFonts w:eastAsia="Times New Roman" w:cstheme="minorHAnsi"/>
          <w:szCs w:val="24"/>
          <w:lang w:val="fr-CA" w:eastAsia="en-CA"/>
        </w:rPr>
        <w:t xml:space="preserve"> Michelle </w:t>
      </w:r>
      <w:proofErr w:type="spellStart"/>
      <w:r w:rsidRPr="003F1ABC">
        <w:rPr>
          <w:rFonts w:eastAsia="Times New Roman" w:cstheme="minorHAnsi"/>
          <w:szCs w:val="24"/>
          <w:lang w:val="fr-CA" w:eastAsia="en-CA"/>
        </w:rPr>
        <w:t>O’Doherty</w:t>
      </w:r>
      <w:proofErr w:type="spellEnd"/>
    </w:p>
    <w:p w14:paraId="58E33F5D" w14:textId="26932E3A" w:rsidR="00BD392C" w:rsidRPr="003F1ABC" w:rsidRDefault="0007393E" w:rsidP="006123A9">
      <w:pPr>
        <w:spacing w:after="0" w:line="240" w:lineRule="auto"/>
        <w:ind w:left="2160" w:hanging="2160"/>
        <w:rPr>
          <w:rFonts w:eastAsia="Times New Roman" w:cstheme="minorHAnsi"/>
          <w:szCs w:val="24"/>
          <w:lang w:val="fr-CA" w:eastAsia="en-CA"/>
        </w:rPr>
      </w:pPr>
      <w:r w:rsidRPr="003F1ABC">
        <w:rPr>
          <w:rFonts w:eastAsia="Times New Roman" w:cstheme="minorHAnsi"/>
          <w:szCs w:val="24"/>
          <w:lang w:val="fr-CA" w:eastAsia="en-CA"/>
        </w:rPr>
        <w:t>Avocats de la juge de paix</w:t>
      </w:r>
      <w:r w:rsidR="006F43EA" w:rsidRPr="003F1ABC">
        <w:rPr>
          <w:rFonts w:eastAsia="Times New Roman" w:cstheme="minorHAnsi"/>
          <w:szCs w:val="24"/>
          <w:lang w:val="fr-CA" w:eastAsia="en-CA"/>
        </w:rPr>
        <w:t xml:space="preserve"> </w:t>
      </w:r>
    </w:p>
    <w:p w14:paraId="2102ABBA" w14:textId="77777777" w:rsidR="00BD392C" w:rsidRPr="003F1ABC" w:rsidRDefault="00BD392C">
      <w:pPr>
        <w:rPr>
          <w:rFonts w:eastAsia="Times New Roman" w:cstheme="minorHAnsi"/>
          <w:sz w:val="26"/>
          <w:szCs w:val="26"/>
          <w:lang w:val="fr-CA" w:eastAsia="en-CA"/>
        </w:rPr>
      </w:pPr>
      <w:r w:rsidRPr="003F1ABC">
        <w:rPr>
          <w:rFonts w:eastAsia="Times New Roman" w:cstheme="minorHAnsi"/>
          <w:sz w:val="26"/>
          <w:szCs w:val="26"/>
          <w:lang w:val="fr-CA" w:eastAsia="en-CA"/>
        </w:rPr>
        <w:br w:type="page"/>
      </w:r>
    </w:p>
    <w:p w14:paraId="1A94BEA2" w14:textId="085070F6" w:rsidR="009F430C" w:rsidRPr="003F1ABC" w:rsidRDefault="0007393E" w:rsidP="00E27DD6">
      <w:pPr>
        <w:pStyle w:val="ListParagraph"/>
        <w:numPr>
          <w:ilvl w:val="0"/>
          <w:numId w:val="8"/>
        </w:numPr>
        <w:spacing w:line="240" w:lineRule="auto"/>
        <w:ind w:left="709" w:hanging="709"/>
        <w:jc w:val="both"/>
        <w:rPr>
          <w:rFonts w:cstheme="minorHAnsi"/>
          <w:i/>
          <w:iCs/>
          <w:color w:val="000000"/>
          <w:szCs w:val="24"/>
          <w:lang w:val="fr-CA"/>
        </w:rPr>
      </w:pPr>
      <w:r w:rsidRPr="003F1ABC">
        <w:rPr>
          <w:rFonts w:cstheme="minorHAnsi"/>
          <w:color w:val="000000"/>
          <w:szCs w:val="24"/>
          <w:lang w:val="fr-CA"/>
        </w:rPr>
        <w:lastRenderedPageBreak/>
        <w:t xml:space="preserve">Le </w:t>
      </w:r>
      <w:r w:rsidR="00F72DAD" w:rsidRPr="003F1ABC">
        <w:rPr>
          <w:rFonts w:cstheme="minorHAnsi"/>
          <w:color w:val="000000"/>
          <w:szCs w:val="24"/>
          <w:lang w:val="fr-CA"/>
        </w:rPr>
        <w:t>1</w:t>
      </w:r>
      <w:r w:rsidRPr="003F1ABC">
        <w:rPr>
          <w:rFonts w:cstheme="minorHAnsi"/>
          <w:color w:val="000000"/>
          <w:szCs w:val="24"/>
          <w:lang w:val="fr-CA"/>
        </w:rPr>
        <w:t xml:space="preserve">9 février </w:t>
      </w:r>
      <w:r w:rsidR="009F430C" w:rsidRPr="003F1ABC">
        <w:rPr>
          <w:rFonts w:cstheme="minorHAnsi"/>
          <w:color w:val="000000"/>
          <w:szCs w:val="24"/>
          <w:lang w:val="fr-CA"/>
        </w:rPr>
        <w:t xml:space="preserve">2020, </w:t>
      </w:r>
      <w:r w:rsidRPr="003F1ABC">
        <w:rPr>
          <w:rFonts w:cstheme="minorHAnsi"/>
          <w:color w:val="000000"/>
          <w:szCs w:val="24"/>
          <w:lang w:val="fr-CA"/>
        </w:rPr>
        <w:t xml:space="preserve">notre comité d’audition a conclu que la juge de paix </w:t>
      </w:r>
      <w:r w:rsidR="009F430C" w:rsidRPr="003F1ABC">
        <w:rPr>
          <w:rFonts w:cstheme="minorHAnsi"/>
          <w:color w:val="000000"/>
          <w:szCs w:val="24"/>
          <w:lang w:val="fr-CA"/>
        </w:rPr>
        <w:t>Winchester</w:t>
      </w:r>
      <w:r w:rsidRPr="003F1ABC">
        <w:rPr>
          <w:rFonts w:cstheme="minorHAnsi"/>
          <w:color w:val="000000"/>
          <w:szCs w:val="24"/>
          <w:lang w:val="fr-CA"/>
        </w:rPr>
        <w:t xml:space="preserve"> avait commis une inconduite judiciaire</w:t>
      </w:r>
      <w:r w:rsidR="009F430C" w:rsidRPr="003F1ABC">
        <w:rPr>
          <w:rFonts w:cstheme="minorHAnsi"/>
          <w:color w:val="000000"/>
          <w:szCs w:val="24"/>
          <w:lang w:val="fr-CA"/>
        </w:rPr>
        <w:t>.</w:t>
      </w:r>
    </w:p>
    <w:p w14:paraId="6870C8A1" w14:textId="77777777" w:rsidR="009F430C" w:rsidRPr="003F1ABC" w:rsidRDefault="009F430C" w:rsidP="009F430C">
      <w:pPr>
        <w:pStyle w:val="ListParagraph"/>
        <w:spacing w:line="240" w:lineRule="auto"/>
        <w:ind w:left="709"/>
        <w:jc w:val="both"/>
        <w:rPr>
          <w:rFonts w:cstheme="minorHAnsi"/>
          <w:iCs/>
          <w:color w:val="000000"/>
          <w:szCs w:val="24"/>
          <w:lang w:val="fr-CA"/>
        </w:rPr>
      </w:pPr>
    </w:p>
    <w:p w14:paraId="75514EB6" w14:textId="33ED4DFD" w:rsidR="009F430C" w:rsidRPr="003F1ABC" w:rsidRDefault="0007393E" w:rsidP="00E27DD6">
      <w:pPr>
        <w:pStyle w:val="ListParagraph"/>
        <w:numPr>
          <w:ilvl w:val="0"/>
          <w:numId w:val="8"/>
        </w:numPr>
        <w:spacing w:line="240" w:lineRule="auto"/>
        <w:ind w:left="709" w:hanging="709"/>
        <w:jc w:val="both"/>
        <w:rPr>
          <w:rFonts w:cstheme="minorHAnsi"/>
          <w:i/>
          <w:iCs/>
          <w:color w:val="000000"/>
          <w:szCs w:val="24"/>
          <w:lang w:val="fr-CA"/>
        </w:rPr>
      </w:pPr>
      <w:r w:rsidRPr="003F1ABC">
        <w:rPr>
          <w:rFonts w:cstheme="minorHAnsi"/>
          <w:iCs/>
          <w:color w:val="000000"/>
          <w:szCs w:val="24"/>
          <w:lang w:val="fr-CA"/>
        </w:rPr>
        <w:t xml:space="preserve">Nous avons conclu ce qui suit </w:t>
      </w:r>
      <w:r w:rsidR="009F430C" w:rsidRPr="003F1ABC">
        <w:rPr>
          <w:rFonts w:cstheme="minorHAnsi"/>
          <w:iCs/>
          <w:color w:val="000000"/>
          <w:szCs w:val="24"/>
          <w:lang w:val="fr-CA"/>
        </w:rPr>
        <w:t>:</w:t>
      </w:r>
    </w:p>
    <w:p w14:paraId="49E3B804" w14:textId="77777777" w:rsidR="009F430C" w:rsidRPr="003F1ABC" w:rsidRDefault="009F430C" w:rsidP="009F430C">
      <w:pPr>
        <w:pStyle w:val="ListParagraph"/>
        <w:spacing w:line="240" w:lineRule="auto"/>
        <w:ind w:left="709"/>
        <w:jc w:val="both"/>
        <w:rPr>
          <w:rFonts w:cstheme="minorHAnsi"/>
          <w:i/>
          <w:iCs/>
          <w:color w:val="000000"/>
          <w:szCs w:val="24"/>
          <w:lang w:val="fr-CA"/>
        </w:rPr>
      </w:pPr>
    </w:p>
    <w:p w14:paraId="682364C2" w14:textId="144CE982" w:rsidR="0064778A" w:rsidRPr="003F1ABC" w:rsidRDefault="00776482" w:rsidP="009F430C">
      <w:pPr>
        <w:pStyle w:val="ListParagraph"/>
        <w:spacing w:line="240" w:lineRule="auto"/>
        <w:ind w:left="1418" w:right="571"/>
        <w:jc w:val="both"/>
        <w:rPr>
          <w:rFonts w:cstheme="minorHAnsi"/>
          <w:szCs w:val="24"/>
          <w:lang w:val="fr-CA"/>
        </w:rPr>
      </w:pPr>
      <w:r w:rsidRPr="003F1ABC">
        <w:rPr>
          <w:rFonts w:cstheme="minorHAnsi"/>
          <w:szCs w:val="24"/>
          <w:lang w:val="fr-CA"/>
        </w:rPr>
        <w:t>[59]</w:t>
      </w:r>
      <w:r w:rsidRPr="003F1ABC">
        <w:rPr>
          <w:rFonts w:cstheme="minorHAnsi"/>
          <w:szCs w:val="24"/>
          <w:lang w:val="fr-CA"/>
        </w:rPr>
        <w:tab/>
      </w:r>
      <w:r w:rsidR="0007393E" w:rsidRPr="003F1ABC">
        <w:rPr>
          <w:rFonts w:cstheme="minorHAnsi"/>
          <w:szCs w:val="24"/>
          <w:lang w:val="fr-CA"/>
        </w:rPr>
        <w:t>Nous concluons sans équivoque que la juge de paix a agi précipitamment et sans tenir compte du droit de l’accusé à la tenue d’une enquête sur le cautionnement ce jour-là. Sa décision de mettre fin à l’audience ne constituait pas une prise de décision judiciaire qui ne peut pas faire l’objet d’un examen du Conseil d’évaluation. Si elle avait attendu que les dénonciations lui soient amenées, tenu l’enquête sur le cautionnement et refusé à JJ la mise en liberté sous caution, il est évident que le recours aurait été une révision de l'ordonnance de détention et pas une plainte au CEJP</w:t>
      </w:r>
      <w:r w:rsidR="0064778A" w:rsidRPr="003F1ABC">
        <w:rPr>
          <w:rFonts w:cstheme="minorHAnsi"/>
          <w:szCs w:val="24"/>
          <w:lang w:val="fr-CA"/>
        </w:rPr>
        <w:t>.</w:t>
      </w:r>
    </w:p>
    <w:p w14:paraId="30DD48EF" w14:textId="77777777" w:rsidR="0064778A" w:rsidRPr="003F1ABC" w:rsidRDefault="0064778A" w:rsidP="009F430C">
      <w:pPr>
        <w:pStyle w:val="ListParagraph"/>
        <w:ind w:left="1418" w:right="571"/>
        <w:rPr>
          <w:rFonts w:cstheme="minorHAnsi"/>
          <w:szCs w:val="24"/>
          <w:lang w:val="fr-CA"/>
        </w:rPr>
      </w:pPr>
    </w:p>
    <w:p w14:paraId="3443C63A" w14:textId="55E45476" w:rsidR="0064778A" w:rsidRPr="003F1ABC" w:rsidRDefault="00776482" w:rsidP="00776482">
      <w:pPr>
        <w:pStyle w:val="ListParagraph"/>
        <w:spacing w:line="240" w:lineRule="auto"/>
        <w:ind w:left="1418" w:right="571"/>
        <w:jc w:val="both"/>
        <w:rPr>
          <w:rFonts w:cstheme="minorHAnsi"/>
          <w:szCs w:val="24"/>
          <w:lang w:val="fr-CA"/>
        </w:rPr>
      </w:pPr>
      <w:r w:rsidRPr="003F1ABC">
        <w:rPr>
          <w:rFonts w:cstheme="minorHAnsi"/>
          <w:szCs w:val="24"/>
          <w:lang w:val="fr-CA"/>
        </w:rPr>
        <w:t>[60]</w:t>
      </w:r>
      <w:r w:rsidRPr="003F1ABC">
        <w:rPr>
          <w:rFonts w:cstheme="minorHAnsi"/>
          <w:szCs w:val="24"/>
          <w:lang w:val="fr-CA"/>
        </w:rPr>
        <w:tab/>
      </w:r>
      <w:r w:rsidR="0007393E" w:rsidRPr="003F1ABC">
        <w:rPr>
          <w:rFonts w:cstheme="minorHAnsi"/>
          <w:szCs w:val="24"/>
          <w:lang w:val="fr-CA"/>
        </w:rPr>
        <w:t xml:space="preserve">Comme la Cour suprême du Canada l’a indiqué dans l’arrêt </w:t>
      </w:r>
      <w:r w:rsidR="0007393E" w:rsidRPr="003F1ABC">
        <w:rPr>
          <w:rFonts w:cstheme="minorHAnsi"/>
          <w:i/>
          <w:szCs w:val="24"/>
          <w:lang w:val="fr-CA"/>
        </w:rPr>
        <w:t>Moreau-Bérubé c. Nouveau-Brunswick (Conseil de la magistrature)</w:t>
      </w:r>
      <w:r w:rsidR="0007393E" w:rsidRPr="003F1ABC">
        <w:rPr>
          <w:rFonts w:ascii="Arial" w:eastAsia="Times New Roman" w:hAnsi="Arial" w:cs="Arial"/>
          <w:i/>
          <w:szCs w:val="24"/>
          <w:lang w:val="fr-CA" w:eastAsia="en-CA"/>
        </w:rPr>
        <w:t>,</w:t>
      </w:r>
      <w:r w:rsidR="0007393E" w:rsidRPr="003F1ABC">
        <w:rPr>
          <w:rFonts w:ascii="Arial" w:eastAsia="Times New Roman" w:hAnsi="Arial" w:cs="Arial"/>
          <w:szCs w:val="24"/>
          <w:lang w:val="fr-CA" w:eastAsia="en-CA"/>
        </w:rPr>
        <w:t xml:space="preserve"> supra, au para. 58, il y a des cas où l’abus de l’indépendance judiciaire par un officier de justice a menacé l’intégrité de la magistrature dans son ensemble et que le processus d’appel ne peut pas remédier au préjudice allégué</w:t>
      </w:r>
      <w:r w:rsidR="0064778A" w:rsidRPr="003F1ABC">
        <w:rPr>
          <w:rFonts w:ascii="Arial" w:eastAsia="Times New Roman" w:hAnsi="Arial" w:cs="Arial"/>
          <w:szCs w:val="24"/>
          <w:lang w:val="fr-CA" w:eastAsia="en-CA"/>
        </w:rPr>
        <w:t xml:space="preserve">. </w:t>
      </w:r>
    </w:p>
    <w:p w14:paraId="27186AE6" w14:textId="77777777" w:rsidR="0064778A" w:rsidRPr="003F1ABC" w:rsidRDefault="0064778A" w:rsidP="009F430C">
      <w:pPr>
        <w:pStyle w:val="ListParagraph"/>
        <w:ind w:left="1418" w:right="571"/>
        <w:rPr>
          <w:rFonts w:cstheme="minorHAnsi"/>
          <w:szCs w:val="24"/>
          <w:lang w:val="fr-CA"/>
        </w:rPr>
      </w:pPr>
    </w:p>
    <w:p w14:paraId="6EC9CC7F" w14:textId="5DAAA3C5" w:rsidR="00D61490" w:rsidRPr="003F1ABC" w:rsidRDefault="00776482" w:rsidP="00776482">
      <w:pPr>
        <w:pStyle w:val="ListParagraph"/>
        <w:spacing w:line="240" w:lineRule="auto"/>
        <w:ind w:left="1418" w:right="571"/>
        <w:jc w:val="both"/>
        <w:rPr>
          <w:rFonts w:cstheme="minorHAnsi"/>
          <w:szCs w:val="24"/>
          <w:lang w:val="fr-CA"/>
        </w:rPr>
      </w:pPr>
      <w:r w:rsidRPr="003F1ABC">
        <w:rPr>
          <w:rFonts w:cstheme="minorHAnsi"/>
          <w:szCs w:val="24"/>
          <w:lang w:val="fr-CA"/>
        </w:rPr>
        <w:t>[61]</w:t>
      </w:r>
      <w:r w:rsidRPr="003F1ABC">
        <w:rPr>
          <w:rFonts w:cstheme="minorHAnsi"/>
          <w:szCs w:val="24"/>
          <w:lang w:val="fr-CA"/>
        </w:rPr>
        <w:tab/>
      </w:r>
      <w:r w:rsidR="0007393E" w:rsidRPr="003F1ABC">
        <w:rPr>
          <w:rFonts w:cstheme="minorHAnsi"/>
          <w:szCs w:val="24"/>
          <w:lang w:val="fr-CA"/>
        </w:rPr>
        <w:t>Après les faits du 23 mai 2018, la JPPR Leblanc a fait clairement savoir à la juge de paix Winchester qu’un juge de paix a l’obligation de s’acquitter de ses fonctions judiciaires jusqu’à la fin de la journée d’audience</w:t>
      </w:r>
      <w:r w:rsidR="00D61490" w:rsidRPr="003F1ABC">
        <w:rPr>
          <w:rFonts w:cstheme="minorHAnsi"/>
          <w:szCs w:val="24"/>
          <w:lang w:val="fr-CA"/>
        </w:rPr>
        <w:t xml:space="preserve">. </w:t>
      </w:r>
    </w:p>
    <w:p w14:paraId="4EB72743" w14:textId="77777777" w:rsidR="00D61490" w:rsidRPr="003F1ABC" w:rsidRDefault="00D61490" w:rsidP="009F430C">
      <w:pPr>
        <w:pStyle w:val="ListParagraph"/>
        <w:ind w:left="1418" w:right="571"/>
        <w:rPr>
          <w:rFonts w:cstheme="minorHAnsi"/>
          <w:szCs w:val="24"/>
          <w:lang w:val="fr-CA"/>
        </w:rPr>
      </w:pPr>
    </w:p>
    <w:p w14:paraId="636A0A62" w14:textId="19EAB31C" w:rsidR="0072656D" w:rsidRPr="003F1ABC" w:rsidRDefault="00776482" w:rsidP="00776482">
      <w:pPr>
        <w:pStyle w:val="ListParagraph"/>
        <w:spacing w:line="240" w:lineRule="auto"/>
        <w:ind w:left="1418" w:right="571"/>
        <w:jc w:val="both"/>
        <w:rPr>
          <w:rFonts w:cstheme="minorHAnsi"/>
          <w:szCs w:val="24"/>
          <w:lang w:val="fr-CA"/>
        </w:rPr>
      </w:pPr>
      <w:r w:rsidRPr="003F1ABC">
        <w:rPr>
          <w:rFonts w:cstheme="minorHAnsi"/>
          <w:szCs w:val="24"/>
          <w:lang w:val="fr-CA"/>
        </w:rPr>
        <w:t>[62]</w:t>
      </w:r>
      <w:r w:rsidRPr="003F1ABC">
        <w:rPr>
          <w:rFonts w:cstheme="minorHAnsi"/>
          <w:szCs w:val="24"/>
          <w:lang w:val="fr-CA"/>
        </w:rPr>
        <w:tab/>
      </w:r>
      <w:r w:rsidR="0007393E" w:rsidRPr="003F1ABC">
        <w:rPr>
          <w:rFonts w:cstheme="minorHAnsi"/>
          <w:szCs w:val="24"/>
          <w:lang w:val="fr-CA"/>
        </w:rPr>
        <w:t>Nous estimons qu’en ne tenant pas compte des droits constitutionnels, procéduraux et fondamentaux de l’accusé, le 27 juin 2018, la juge de paix a commis une entorse à l’intégrité judiciaire et a miné la confiance du public envers l’intégrité de sa charge judiciaire et de l’administration de la justice</w:t>
      </w:r>
      <w:r w:rsidR="0064778A" w:rsidRPr="003F1ABC">
        <w:rPr>
          <w:rFonts w:cstheme="minorHAnsi"/>
          <w:szCs w:val="24"/>
          <w:lang w:val="fr-CA"/>
        </w:rPr>
        <w:t>.</w:t>
      </w:r>
      <w:r w:rsidR="00F27A26" w:rsidRPr="003F1ABC">
        <w:rPr>
          <w:rFonts w:cstheme="minorHAnsi"/>
          <w:szCs w:val="24"/>
          <w:lang w:val="fr-CA"/>
        </w:rPr>
        <w:t xml:space="preserve"> </w:t>
      </w:r>
    </w:p>
    <w:p w14:paraId="761D31A8" w14:textId="77777777" w:rsidR="0072656D" w:rsidRPr="003F1ABC" w:rsidRDefault="0072656D" w:rsidP="009F430C">
      <w:pPr>
        <w:pStyle w:val="ListParagraph"/>
        <w:ind w:left="1418" w:right="571"/>
        <w:rPr>
          <w:rFonts w:cstheme="minorHAnsi"/>
          <w:szCs w:val="24"/>
          <w:lang w:val="fr-CA"/>
        </w:rPr>
      </w:pPr>
    </w:p>
    <w:p w14:paraId="5906F4FD" w14:textId="79622587" w:rsidR="00FE01D7" w:rsidRPr="003F1ABC" w:rsidRDefault="00776482" w:rsidP="00776482">
      <w:pPr>
        <w:pStyle w:val="ListParagraph"/>
        <w:spacing w:line="240" w:lineRule="auto"/>
        <w:ind w:left="1418" w:right="571"/>
        <w:jc w:val="both"/>
        <w:rPr>
          <w:rFonts w:cstheme="minorHAnsi"/>
          <w:szCs w:val="24"/>
          <w:lang w:val="fr-CA"/>
        </w:rPr>
      </w:pPr>
      <w:r w:rsidRPr="003F1ABC">
        <w:rPr>
          <w:rFonts w:cstheme="minorHAnsi"/>
          <w:szCs w:val="24"/>
          <w:lang w:val="fr-CA"/>
        </w:rPr>
        <w:t>[63]</w:t>
      </w:r>
      <w:r w:rsidRPr="003F1ABC">
        <w:rPr>
          <w:rFonts w:cstheme="minorHAnsi"/>
          <w:szCs w:val="24"/>
          <w:lang w:val="fr-CA"/>
        </w:rPr>
        <w:tab/>
      </w:r>
      <w:r w:rsidR="0007393E" w:rsidRPr="003F1ABC">
        <w:rPr>
          <w:rFonts w:cstheme="minorHAnsi"/>
          <w:szCs w:val="24"/>
          <w:lang w:val="fr-CA"/>
        </w:rPr>
        <w:t xml:space="preserve">Nous concluons que les allégations formulées au sujet de la conduite et des commentaires de la juge de paix, le 27 juin 2018, aux paragraphes 2B, 2C, 2D et 2Db) de l’Avis d’audience, ont été établies par les preuves et qu’elles constituent une inconduite judiciaire, qui mine la confiance du public dans la magistrature et justifie une mesure en vertu du paragraphe 11.1 (10) de la </w:t>
      </w:r>
      <w:r w:rsidR="0007393E" w:rsidRPr="003F1ABC">
        <w:rPr>
          <w:rFonts w:cstheme="minorHAnsi"/>
          <w:i/>
          <w:szCs w:val="24"/>
          <w:lang w:val="fr-CA"/>
        </w:rPr>
        <w:t>Loi sur les juges de paix</w:t>
      </w:r>
      <w:r w:rsidR="0007393E" w:rsidRPr="003F1ABC">
        <w:rPr>
          <w:rFonts w:cstheme="minorHAnsi"/>
          <w:szCs w:val="24"/>
          <w:lang w:val="fr-CA"/>
        </w:rPr>
        <w:t>.</w:t>
      </w:r>
      <w:r w:rsidR="009A3F9F" w:rsidRPr="003F1ABC">
        <w:rPr>
          <w:rFonts w:cstheme="minorHAnsi"/>
          <w:szCs w:val="24"/>
          <w:lang w:val="fr-CA"/>
        </w:rPr>
        <w:t xml:space="preserve"> </w:t>
      </w:r>
    </w:p>
    <w:p w14:paraId="7AF16A98" w14:textId="77777777" w:rsidR="00FE01D7" w:rsidRPr="003F1ABC" w:rsidRDefault="00FE01D7" w:rsidP="00FE01D7">
      <w:pPr>
        <w:pStyle w:val="ListParagraph"/>
        <w:rPr>
          <w:rFonts w:cstheme="minorHAnsi"/>
          <w:szCs w:val="24"/>
          <w:lang w:val="fr-CA"/>
        </w:rPr>
      </w:pPr>
    </w:p>
    <w:p w14:paraId="1DAB7A79" w14:textId="482E109A" w:rsidR="0064778A" w:rsidRPr="003F1ABC" w:rsidRDefault="0007393E" w:rsidP="005C1882">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t xml:space="preserve">Dans notre décision datée du 24 juillet </w:t>
      </w:r>
      <w:r w:rsidR="009F430C" w:rsidRPr="003F1ABC">
        <w:rPr>
          <w:rFonts w:cstheme="minorHAnsi"/>
          <w:szCs w:val="24"/>
          <w:lang w:val="fr-CA"/>
        </w:rPr>
        <w:t xml:space="preserve">2020, </w:t>
      </w:r>
      <w:r w:rsidRPr="003F1ABC">
        <w:rPr>
          <w:rFonts w:cstheme="minorHAnsi"/>
          <w:szCs w:val="24"/>
          <w:lang w:val="fr-CA"/>
        </w:rPr>
        <w:t>nous avons décidé qu’une combinaison de mesures, dont une réprimande, des excuses de la part de la juge de paix au défendeur et une suspension de cinq jours sans rémunération, était nécessaire pour rétablir la confiance du public dans la juge de paix</w:t>
      </w:r>
      <w:r w:rsidR="003F3702" w:rsidRPr="003F1ABC">
        <w:rPr>
          <w:rFonts w:cstheme="minorHAnsi"/>
          <w:szCs w:val="24"/>
          <w:lang w:val="fr-CA"/>
        </w:rPr>
        <w:t>.</w:t>
      </w:r>
    </w:p>
    <w:p w14:paraId="7C80754C" w14:textId="77777777" w:rsidR="009F430C" w:rsidRPr="003F1ABC" w:rsidRDefault="009F430C" w:rsidP="009F430C">
      <w:pPr>
        <w:pStyle w:val="ListParagraph"/>
        <w:rPr>
          <w:rFonts w:cstheme="minorHAnsi"/>
          <w:szCs w:val="24"/>
          <w:lang w:val="fr-CA"/>
        </w:rPr>
      </w:pPr>
    </w:p>
    <w:p w14:paraId="5F23D3C7" w14:textId="3EF69861" w:rsidR="009F430C" w:rsidRPr="003F1ABC" w:rsidRDefault="0007393E" w:rsidP="005C1882">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lastRenderedPageBreak/>
        <w:t xml:space="preserve">Le 30 juillet </w:t>
      </w:r>
      <w:r w:rsidR="00AF6841" w:rsidRPr="003F1ABC">
        <w:rPr>
          <w:rFonts w:cstheme="minorHAnsi"/>
          <w:szCs w:val="24"/>
          <w:lang w:val="fr-CA"/>
        </w:rPr>
        <w:t xml:space="preserve">2020, </w:t>
      </w:r>
      <w:r w:rsidRPr="003F1ABC">
        <w:rPr>
          <w:rFonts w:cstheme="minorHAnsi"/>
          <w:szCs w:val="24"/>
          <w:lang w:val="fr-CA"/>
        </w:rPr>
        <w:t xml:space="preserve">en vertu du paragraphe </w:t>
      </w:r>
      <w:r w:rsidR="00294F2D" w:rsidRPr="003F1ABC">
        <w:rPr>
          <w:rFonts w:cstheme="minorHAnsi"/>
          <w:szCs w:val="24"/>
          <w:lang w:val="fr-CA"/>
        </w:rPr>
        <w:t>11.1</w:t>
      </w:r>
      <w:r w:rsidRPr="003F1ABC">
        <w:rPr>
          <w:rFonts w:cstheme="minorHAnsi"/>
          <w:szCs w:val="24"/>
          <w:lang w:val="fr-CA"/>
        </w:rPr>
        <w:t> </w:t>
      </w:r>
      <w:r w:rsidR="00294F2D" w:rsidRPr="003F1ABC">
        <w:rPr>
          <w:rFonts w:cstheme="minorHAnsi"/>
          <w:szCs w:val="24"/>
          <w:lang w:val="fr-CA"/>
        </w:rPr>
        <w:t xml:space="preserve">(17) </w:t>
      </w:r>
      <w:r w:rsidRPr="003F1ABC">
        <w:rPr>
          <w:rFonts w:cstheme="minorHAnsi"/>
          <w:szCs w:val="24"/>
          <w:lang w:val="fr-CA"/>
        </w:rPr>
        <w:t xml:space="preserve">de la </w:t>
      </w:r>
      <w:r w:rsidRPr="003F1ABC">
        <w:rPr>
          <w:rFonts w:cstheme="minorHAnsi"/>
          <w:i/>
          <w:iCs/>
          <w:szCs w:val="24"/>
          <w:lang w:val="fr-CA"/>
        </w:rPr>
        <w:t>Loi sur les juges de paix</w:t>
      </w:r>
      <w:r w:rsidRPr="003F1ABC">
        <w:rPr>
          <w:rFonts w:cstheme="minorHAnsi"/>
          <w:szCs w:val="24"/>
          <w:lang w:val="fr-CA"/>
        </w:rPr>
        <w:t>, l’avocat de la juge de paix a déposé une de</w:t>
      </w:r>
      <w:r w:rsidR="00817271" w:rsidRPr="003F1ABC">
        <w:rPr>
          <w:rFonts w:cstheme="minorHAnsi"/>
          <w:szCs w:val="24"/>
          <w:lang w:val="fr-CA"/>
        </w:rPr>
        <w:t>mande devant notre comité d’audition en vue d’obtenir la recommandation que la juge de paix soit indemnisée des frais pour services juridiques qu’elle a engagés relativement au processus de plainte</w:t>
      </w:r>
      <w:r w:rsidR="009F430C" w:rsidRPr="003F1ABC">
        <w:rPr>
          <w:rFonts w:cstheme="minorHAnsi"/>
          <w:szCs w:val="24"/>
          <w:lang w:val="fr-CA"/>
        </w:rPr>
        <w:t xml:space="preserve">. </w:t>
      </w:r>
    </w:p>
    <w:p w14:paraId="14815827" w14:textId="77777777" w:rsidR="003621E6" w:rsidRPr="003F1ABC" w:rsidRDefault="003621E6" w:rsidP="003621E6">
      <w:pPr>
        <w:pStyle w:val="ListParagraph"/>
        <w:rPr>
          <w:rFonts w:cstheme="minorHAnsi"/>
          <w:szCs w:val="24"/>
          <w:lang w:val="fr-CA"/>
        </w:rPr>
      </w:pPr>
    </w:p>
    <w:p w14:paraId="44789A82" w14:textId="463B0819" w:rsidR="003621E6" w:rsidRPr="003F1ABC" w:rsidRDefault="00AE097E" w:rsidP="003621E6">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t xml:space="preserve">La juge de paix </w:t>
      </w:r>
      <w:r w:rsidR="003621E6" w:rsidRPr="003F1ABC">
        <w:rPr>
          <w:rFonts w:cstheme="minorHAnsi"/>
          <w:szCs w:val="24"/>
          <w:lang w:val="fr-CA"/>
        </w:rPr>
        <w:t xml:space="preserve">Winchester </w:t>
      </w:r>
      <w:r w:rsidRPr="003F1ABC">
        <w:rPr>
          <w:rFonts w:cstheme="minorHAnsi"/>
          <w:szCs w:val="24"/>
          <w:lang w:val="fr-CA"/>
        </w:rPr>
        <w:t>demande que le comité d’audition recommand</w:t>
      </w:r>
      <w:r w:rsidR="00F72DAD" w:rsidRPr="003F1ABC">
        <w:rPr>
          <w:rFonts w:cstheme="minorHAnsi"/>
          <w:szCs w:val="24"/>
          <w:lang w:val="fr-CA"/>
        </w:rPr>
        <w:t>e</w:t>
      </w:r>
      <w:r w:rsidRPr="003F1ABC">
        <w:rPr>
          <w:rFonts w:cstheme="minorHAnsi"/>
          <w:szCs w:val="24"/>
          <w:lang w:val="fr-CA"/>
        </w:rPr>
        <w:t xml:space="preserve"> au procureur général qu</w:t>
      </w:r>
      <w:r w:rsidR="00F72DAD" w:rsidRPr="003F1ABC">
        <w:rPr>
          <w:rFonts w:cstheme="minorHAnsi"/>
          <w:szCs w:val="24"/>
          <w:lang w:val="fr-CA"/>
        </w:rPr>
        <w:t>’elle</w:t>
      </w:r>
      <w:r w:rsidRPr="003F1ABC">
        <w:rPr>
          <w:rFonts w:cstheme="minorHAnsi"/>
          <w:szCs w:val="24"/>
          <w:lang w:val="fr-CA"/>
        </w:rPr>
        <w:t xml:space="preserve"> soit indemnisée des frais pour services juridiques qu’elle a engagés relativement à l’audience. Ses avocats ont affirmé qu’ils avaient volontairement réduit leurs honoraires, de </w:t>
      </w:r>
      <w:r w:rsidR="003621E6" w:rsidRPr="003F1ABC">
        <w:rPr>
          <w:rFonts w:cstheme="minorHAnsi"/>
          <w:szCs w:val="24"/>
          <w:lang w:val="fr-CA"/>
        </w:rPr>
        <w:t>251</w:t>
      </w:r>
      <w:r w:rsidRPr="003F1ABC">
        <w:rPr>
          <w:rFonts w:cstheme="minorHAnsi"/>
          <w:szCs w:val="24"/>
          <w:lang w:val="fr-CA"/>
        </w:rPr>
        <w:t> </w:t>
      </w:r>
      <w:r w:rsidR="003621E6" w:rsidRPr="003F1ABC">
        <w:rPr>
          <w:rFonts w:cstheme="minorHAnsi"/>
          <w:szCs w:val="24"/>
          <w:lang w:val="fr-CA"/>
        </w:rPr>
        <w:t>436</w:t>
      </w:r>
      <w:r w:rsidRPr="003F1ABC">
        <w:rPr>
          <w:rFonts w:cstheme="minorHAnsi"/>
          <w:szCs w:val="24"/>
          <w:lang w:val="fr-CA"/>
        </w:rPr>
        <w:t>,</w:t>
      </w:r>
      <w:r w:rsidR="003621E6" w:rsidRPr="003F1ABC">
        <w:rPr>
          <w:rFonts w:cstheme="minorHAnsi"/>
          <w:szCs w:val="24"/>
          <w:lang w:val="fr-CA"/>
        </w:rPr>
        <w:t>50</w:t>
      </w:r>
      <w:r w:rsidRPr="003F1ABC">
        <w:rPr>
          <w:rFonts w:cstheme="minorHAnsi"/>
          <w:szCs w:val="24"/>
          <w:lang w:val="fr-CA"/>
        </w:rPr>
        <w:t> $ à</w:t>
      </w:r>
      <w:r w:rsidR="003621E6" w:rsidRPr="003F1ABC">
        <w:rPr>
          <w:rFonts w:cstheme="minorHAnsi"/>
          <w:szCs w:val="24"/>
          <w:lang w:val="fr-CA"/>
        </w:rPr>
        <w:t xml:space="preserve"> 171</w:t>
      </w:r>
      <w:r w:rsidRPr="003F1ABC">
        <w:rPr>
          <w:rFonts w:cstheme="minorHAnsi"/>
          <w:szCs w:val="24"/>
          <w:lang w:val="fr-CA"/>
        </w:rPr>
        <w:t> </w:t>
      </w:r>
      <w:r w:rsidR="003621E6" w:rsidRPr="003F1ABC">
        <w:rPr>
          <w:rFonts w:cstheme="minorHAnsi"/>
          <w:szCs w:val="24"/>
          <w:lang w:val="fr-CA"/>
        </w:rPr>
        <w:t>596</w:t>
      </w:r>
      <w:r w:rsidRPr="003F1ABC">
        <w:rPr>
          <w:rFonts w:cstheme="minorHAnsi"/>
          <w:szCs w:val="24"/>
          <w:lang w:val="fr-CA"/>
        </w:rPr>
        <w:t>,</w:t>
      </w:r>
      <w:r w:rsidR="003621E6" w:rsidRPr="003F1ABC">
        <w:rPr>
          <w:rFonts w:cstheme="minorHAnsi"/>
          <w:szCs w:val="24"/>
          <w:lang w:val="fr-CA"/>
        </w:rPr>
        <w:t>25</w:t>
      </w:r>
      <w:r w:rsidRPr="003F1ABC">
        <w:rPr>
          <w:rFonts w:cstheme="minorHAnsi"/>
          <w:szCs w:val="24"/>
          <w:lang w:val="fr-CA"/>
        </w:rPr>
        <w:t> $</w:t>
      </w:r>
      <w:r w:rsidR="00FD3F16" w:rsidRPr="003F1ABC">
        <w:rPr>
          <w:rFonts w:cstheme="minorHAnsi"/>
          <w:szCs w:val="24"/>
          <w:lang w:val="fr-CA"/>
        </w:rPr>
        <w:t>.</w:t>
      </w:r>
      <w:r w:rsidR="003621E6" w:rsidRPr="003F1ABC">
        <w:rPr>
          <w:rFonts w:cstheme="minorHAnsi"/>
          <w:szCs w:val="24"/>
          <w:lang w:val="fr-CA"/>
        </w:rPr>
        <w:t xml:space="preserve"> </w:t>
      </w:r>
      <w:r w:rsidRPr="003F1ABC">
        <w:rPr>
          <w:rFonts w:cstheme="minorHAnsi"/>
          <w:szCs w:val="24"/>
          <w:lang w:val="fr-CA"/>
        </w:rPr>
        <w:t xml:space="preserve">Pour résumer, « la demande d’indemnisation </w:t>
      </w:r>
      <w:r w:rsidR="00F72DAD" w:rsidRPr="003F1ABC">
        <w:rPr>
          <w:rFonts w:cstheme="minorHAnsi"/>
          <w:szCs w:val="24"/>
          <w:lang w:val="fr-CA"/>
        </w:rPr>
        <w:t>vise à obtenir que le</w:t>
      </w:r>
      <w:r w:rsidRPr="003F1ABC">
        <w:rPr>
          <w:rFonts w:cstheme="minorHAnsi"/>
          <w:szCs w:val="24"/>
          <w:lang w:val="fr-CA"/>
        </w:rPr>
        <w:t xml:space="preserve"> comité d’audition recommand</w:t>
      </w:r>
      <w:r w:rsidR="00F72DAD" w:rsidRPr="003F1ABC">
        <w:rPr>
          <w:rFonts w:cstheme="minorHAnsi"/>
          <w:szCs w:val="24"/>
          <w:lang w:val="fr-CA"/>
        </w:rPr>
        <w:t xml:space="preserve">e une </w:t>
      </w:r>
      <w:r w:rsidRPr="003F1ABC">
        <w:rPr>
          <w:rFonts w:cstheme="minorHAnsi"/>
          <w:szCs w:val="24"/>
          <w:lang w:val="fr-CA"/>
        </w:rPr>
        <w:t xml:space="preserve">indemnisation de </w:t>
      </w:r>
      <w:r w:rsidR="003621E6" w:rsidRPr="003F1ABC">
        <w:rPr>
          <w:rFonts w:cstheme="minorHAnsi"/>
          <w:szCs w:val="24"/>
          <w:lang w:val="fr-CA"/>
        </w:rPr>
        <w:t>171</w:t>
      </w:r>
      <w:r w:rsidRPr="003F1ABC">
        <w:rPr>
          <w:rFonts w:cstheme="minorHAnsi"/>
          <w:szCs w:val="24"/>
          <w:lang w:val="fr-CA"/>
        </w:rPr>
        <w:t> </w:t>
      </w:r>
      <w:r w:rsidR="003621E6" w:rsidRPr="003F1ABC">
        <w:rPr>
          <w:rFonts w:cstheme="minorHAnsi"/>
          <w:szCs w:val="24"/>
          <w:lang w:val="fr-CA"/>
        </w:rPr>
        <w:t>596</w:t>
      </w:r>
      <w:r w:rsidRPr="003F1ABC">
        <w:rPr>
          <w:rFonts w:cstheme="minorHAnsi"/>
          <w:szCs w:val="24"/>
          <w:lang w:val="fr-CA"/>
        </w:rPr>
        <w:t>,</w:t>
      </w:r>
      <w:r w:rsidR="003621E6" w:rsidRPr="003F1ABC">
        <w:rPr>
          <w:rFonts w:cstheme="minorHAnsi"/>
          <w:szCs w:val="24"/>
          <w:lang w:val="fr-CA"/>
        </w:rPr>
        <w:t>25</w:t>
      </w:r>
      <w:r w:rsidRPr="003F1ABC">
        <w:rPr>
          <w:rFonts w:cstheme="minorHAnsi"/>
          <w:szCs w:val="24"/>
          <w:lang w:val="fr-CA"/>
        </w:rPr>
        <w:t xml:space="preserve"> $ au titre des frais pour services juridiques, de </w:t>
      </w:r>
      <w:r w:rsidR="003621E6" w:rsidRPr="003F1ABC">
        <w:rPr>
          <w:rFonts w:cstheme="minorHAnsi"/>
          <w:szCs w:val="24"/>
          <w:lang w:val="fr-CA"/>
        </w:rPr>
        <w:t>22</w:t>
      </w:r>
      <w:r w:rsidRPr="003F1ABC">
        <w:rPr>
          <w:rFonts w:cstheme="minorHAnsi"/>
          <w:szCs w:val="24"/>
          <w:lang w:val="fr-CA"/>
        </w:rPr>
        <w:t xml:space="preserve"> </w:t>
      </w:r>
      <w:r w:rsidR="003621E6" w:rsidRPr="003F1ABC">
        <w:rPr>
          <w:rFonts w:cstheme="minorHAnsi"/>
          <w:szCs w:val="24"/>
          <w:lang w:val="fr-CA"/>
        </w:rPr>
        <w:t>307</w:t>
      </w:r>
      <w:r w:rsidRPr="003F1ABC">
        <w:rPr>
          <w:rFonts w:cstheme="minorHAnsi"/>
          <w:szCs w:val="24"/>
          <w:lang w:val="fr-CA"/>
        </w:rPr>
        <w:t>,</w:t>
      </w:r>
      <w:r w:rsidR="003621E6" w:rsidRPr="003F1ABC">
        <w:rPr>
          <w:rFonts w:cstheme="minorHAnsi"/>
          <w:szCs w:val="24"/>
          <w:lang w:val="fr-CA"/>
        </w:rPr>
        <w:t>51</w:t>
      </w:r>
      <w:r w:rsidRPr="003F1ABC">
        <w:rPr>
          <w:rFonts w:cstheme="minorHAnsi"/>
          <w:szCs w:val="24"/>
          <w:lang w:val="fr-CA"/>
        </w:rPr>
        <w:t xml:space="preserve"> $ au titre de la TVH et de </w:t>
      </w:r>
      <w:r w:rsidR="003621E6" w:rsidRPr="003F1ABC">
        <w:rPr>
          <w:rFonts w:cstheme="minorHAnsi"/>
          <w:szCs w:val="24"/>
          <w:lang w:val="fr-CA"/>
        </w:rPr>
        <w:t>11</w:t>
      </w:r>
      <w:r w:rsidRPr="003F1ABC">
        <w:rPr>
          <w:rFonts w:cstheme="minorHAnsi"/>
          <w:szCs w:val="24"/>
          <w:lang w:val="fr-CA"/>
        </w:rPr>
        <w:t> </w:t>
      </w:r>
      <w:r w:rsidR="003621E6" w:rsidRPr="003F1ABC">
        <w:rPr>
          <w:rFonts w:cstheme="minorHAnsi"/>
          <w:szCs w:val="24"/>
          <w:lang w:val="fr-CA"/>
        </w:rPr>
        <w:t>329</w:t>
      </w:r>
      <w:r w:rsidRPr="003F1ABC">
        <w:rPr>
          <w:rFonts w:cstheme="minorHAnsi"/>
          <w:szCs w:val="24"/>
          <w:lang w:val="fr-CA"/>
        </w:rPr>
        <w:t>,</w:t>
      </w:r>
      <w:r w:rsidR="003621E6" w:rsidRPr="003F1ABC">
        <w:rPr>
          <w:rFonts w:cstheme="minorHAnsi"/>
          <w:szCs w:val="24"/>
          <w:lang w:val="fr-CA"/>
        </w:rPr>
        <w:t>51</w:t>
      </w:r>
      <w:r w:rsidRPr="003F1ABC">
        <w:rPr>
          <w:rFonts w:cstheme="minorHAnsi"/>
          <w:szCs w:val="24"/>
          <w:lang w:val="fr-CA"/>
        </w:rPr>
        <w:t xml:space="preserve"> $ au titre des débours nécessaires, pour un total de </w:t>
      </w:r>
      <w:r w:rsidR="003621E6" w:rsidRPr="003F1ABC">
        <w:rPr>
          <w:rFonts w:cstheme="minorHAnsi"/>
          <w:szCs w:val="24"/>
          <w:lang w:val="fr-CA"/>
        </w:rPr>
        <w:t>205</w:t>
      </w:r>
      <w:r w:rsidRPr="003F1ABC">
        <w:rPr>
          <w:rFonts w:cstheme="minorHAnsi"/>
          <w:szCs w:val="24"/>
          <w:lang w:val="fr-CA"/>
        </w:rPr>
        <w:t> </w:t>
      </w:r>
      <w:r w:rsidR="003621E6" w:rsidRPr="003F1ABC">
        <w:rPr>
          <w:rFonts w:cstheme="minorHAnsi"/>
          <w:szCs w:val="24"/>
          <w:lang w:val="fr-CA"/>
        </w:rPr>
        <w:t>233</w:t>
      </w:r>
      <w:r w:rsidRPr="003F1ABC">
        <w:rPr>
          <w:rFonts w:cstheme="minorHAnsi"/>
          <w:szCs w:val="24"/>
          <w:lang w:val="fr-CA"/>
        </w:rPr>
        <w:t>,</w:t>
      </w:r>
      <w:r w:rsidR="003621E6" w:rsidRPr="003F1ABC">
        <w:rPr>
          <w:rFonts w:cstheme="minorHAnsi"/>
          <w:szCs w:val="24"/>
          <w:lang w:val="fr-CA"/>
        </w:rPr>
        <w:t>27</w:t>
      </w:r>
      <w:r w:rsidRPr="003F1ABC">
        <w:rPr>
          <w:rFonts w:cstheme="minorHAnsi"/>
          <w:szCs w:val="24"/>
          <w:lang w:val="fr-CA"/>
        </w:rPr>
        <w:t> $ »</w:t>
      </w:r>
      <w:r w:rsidR="003621E6" w:rsidRPr="003F1ABC">
        <w:rPr>
          <w:rFonts w:cstheme="minorHAnsi"/>
          <w:szCs w:val="24"/>
          <w:lang w:val="fr-CA"/>
        </w:rPr>
        <w:t>.</w:t>
      </w:r>
    </w:p>
    <w:p w14:paraId="61CC4C9C" w14:textId="77777777" w:rsidR="003621E6" w:rsidRPr="003F1ABC" w:rsidRDefault="003621E6" w:rsidP="003621E6">
      <w:pPr>
        <w:pStyle w:val="ListParagraph"/>
        <w:rPr>
          <w:rFonts w:cstheme="minorHAnsi"/>
          <w:szCs w:val="24"/>
          <w:lang w:val="fr-CA"/>
        </w:rPr>
      </w:pPr>
    </w:p>
    <w:p w14:paraId="75A3DF46" w14:textId="6A803844" w:rsidR="003621E6" w:rsidRPr="003F1ABC" w:rsidRDefault="00AE097E" w:rsidP="003621E6">
      <w:pPr>
        <w:pStyle w:val="ListParagraph"/>
        <w:numPr>
          <w:ilvl w:val="0"/>
          <w:numId w:val="8"/>
        </w:numPr>
        <w:spacing w:after="0" w:line="240" w:lineRule="auto"/>
        <w:ind w:left="709" w:hanging="709"/>
        <w:jc w:val="both"/>
        <w:rPr>
          <w:rFonts w:cstheme="minorHAnsi"/>
          <w:szCs w:val="24"/>
          <w:lang w:val="fr-CA"/>
        </w:rPr>
      </w:pPr>
      <w:r w:rsidRPr="003F1ABC">
        <w:rPr>
          <w:rFonts w:cstheme="minorHAnsi"/>
          <w:szCs w:val="24"/>
          <w:lang w:val="fr-CA"/>
        </w:rPr>
        <w:t xml:space="preserve">L’avocat chargé de la présentation, tout en reconnaissant le droit de la juge de paix à une défense complète, recommande au comité d’audition de </w:t>
      </w:r>
      <w:r w:rsidR="003F1ABC" w:rsidRPr="003F1ABC">
        <w:rPr>
          <w:rFonts w:cstheme="minorHAnsi"/>
          <w:szCs w:val="24"/>
          <w:lang w:val="fr-CA"/>
        </w:rPr>
        <w:t>tenir compte d’</w:t>
      </w:r>
      <w:r w:rsidRPr="003F1ABC">
        <w:rPr>
          <w:rFonts w:cstheme="minorHAnsi"/>
          <w:szCs w:val="24"/>
          <w:lang w:val="fr-CA"/>
        </w:rPr>
        <w:t>une des deux motions préparatoires à l’audience</w:t>
      </w:r>
      <w:r w:rsidR="009A265A">
        <w:rPr>
          <w:rFonts w:cstheme="minorHAnsi"/>
          <w:szCs w:val="24"/>
          <w:lang w:val="fr-CA"/>
        </w:rPr>
        <w:t>,</w:t>
      </w:r>
      <w:r w:rsidR="003F1ABC" w:rsidRPr="003F1ABC">
        <w:rPr>
          <w:rFonts w:cstheme="minorHAnsi"/>
          <w:szCs w:val="24"/>
          <w:lang w:val="fr-CA"/>
        </w:rPr>
        <w:t xml:space="preserve"> rejetées</w:t>
      </w:r>
      <w:r w:rsidR="009A265A">
        <w:rPr>
          <w:rFonts w:cstheme="minorHAnsi"/>
          <w:szCs w:val="24"/>
          <w:lang w:val="fr-CA"/>
        </w:rPr>
        <w:t>,</w:t>
      </w:r>
      <w:r w:rsidRPr="003F1ABC">
        <w:rPr>
          <w:rFonts w:cstheme="minorHAnsi"/>
          <w:szCs w:val="24"/>
          <w:lang w:val="fr-CA"/>
        </w:rPr>
        <w:t xml:space="preserve"> de la juge de paix : « Le 15 octobre </w:t>
      </w:r>
      <w:r w:rsidR="003621E6" w:rsidRPr="003F1ABC">
        <w:rPr>
          <w:rFonts w:cstheme="minorHAnsi"/>
          <w:szCs w:val="24"/>
          <w:lang w:val="fr-CA"/>
        </w:rPr>
        <w:t xml:space="preserve">2019, </w:t>
      </w:r>
      <w:r w:rsidRPr="003F1ABC">
        <w:rPr>
          <w:rFonts w:cstheme="minorHAnsi"/>
          <w:szCs w:val="24"/>
          <w:lang w:val="fr-CA"/>
        </w:rPr>
        <w:t xml:space="preserve">la juge de paix a déposé une motion en vue d’obtenir une ordonnance déclarant qu’une partie des allégations énoncées aux paragraphes </w:t>
      </w:r>
      <w:r w:rsidR="003621E6" w:rsidRPr="003F1ABC">
        <w:rPr>
          <w:rFonts w:cstheme="minorHAnsi"/>
          <w:szCs w:val="24"/>
          <w:lang w:val="fr-CA"/>
        </w:rPr>
        <w:t xml:space="preserve">2B </w:t>
      </w:r>
      <w:r w:rsidRPr="003F1ABC">
        <w:rPr>
          <w:rFonts w:cstheme="minorHAnsi"/>
          <w:szCs w:val="24"/>
          <w:lang w:val="fr-CA"/>
        </w:rPr>
        <w:t xml:space="preserve">et </w:t>
      </w:r>
      <w:r w:rsidR="003621E6" w:rsidRPr="003F1ABC">
        <w:rPr>
          <w:rFonts w:cstheme="minorHAnsi"/>
          <w:szCs w:val="24"/>
          <w:lang w:val="fr-CA"/>
        </w:rPr>
        <w:t xml:space="preserve">2D(B) </w:t>
      </w:r>
      <w:r w:rsidRPr="003F1ABC">
        <w:rPr>
          <w:rFonts w:cstheme="minorHAnsi"/>
          <w:szCs w:val="24"/>
          <w:lang w:val="fr-CA"/>
        </w:rPr>
        <w:t>de l’Avis d’audience, déposé comme pièce 1 à l’audience, sortent du champ de compétence de notre comité d’audition. »</w:t>
      </w:r>
    </w:p>
    <w:p w14:paraId="00A384AE" w14:textId="77777777" w:rsidR="003621E6" w:rsidRPr="003F1ABC" w:rsidRDefault="003621E6" w:rsidP="003621E6">
      <w:pPr>
        <w:rPr>
          <w:rFonts w:cstheme="minorHAnsi"/>
          <w:b/>
          <w:szCs w:val="24"/>
          <w:lang w:val="fr-CA"/>
        </w:rPr>
      </w:pPr>
    </w:p>
    <w:p w14:paraId="27113316" w14:textId="7FC73AD7" w:rsidR="003621E6" w:rsidRPr="003F1ABC" w:rsidRDefault="00AE097E" w:rsidP="003621E6">
      <w:pPr>
        <w:rPr>
          <w:rFonts w:cstheme="minorHAnsi"/>
          <w:b/>
          <w:szCs w:val="24"/>
          <w:lang w:val="fr-CA"/>
        </w:rPr>
      </w:pPr>
      <w:r w:rsidRPr="003F1ABC">
        <w:rPr>
          <w:rFonts w:cstheme="minorHAnsi"/>
          <w:b/>
          <w:szCs w:val="24"/>
          <w:lang w:val="fr-CA"/>
        </w:rPr>
        <w:t>La loi</w:t>
      </w:r>
    </w:p>
    <w:p w14:paraId="51C9808C" w14:textId="74855CC9" w:rsidR="00294F2D" w:rsidRPr="003F1ABC" w:rsidRDefault="00AE097E" w:rsidP="00294F2D">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t>E</w:t>
      </w:r>
      <w:r w:rsidR="00294F2D" w:rsidRPr="003F1ABC">
        <w:rPr>
          <w:rFonts w:cstheme="minorHAnsi"/>
          <w:szCs w:val="24"/>
          <w:lang w:val="fr-CA"/>
        </w:rPr>
        <w:t xml:space="preserve">n 2020, </w:t>
      </w:r>
      <w:r w:rsidRPr="003F1ABC">
        <w:rPr>
          <w:rFonts w:cstheme="minorHAnsi"/>
          <w:szCs w:val="24"/>
          <w:lang w:val="fr-CA"/>
        </w:rPr>
        <w:t xml:space="preserve">les articles </w:t>
      </w:r>
      <w:r w:rsidR="00294F2D" w:rsidRPr="003F1ABC">
        <w:rPr>
          <w:rFonts w:cstheme="minorHAnsi"/>
          <w:szCs w:val="24"/>
          <w:lang w:val="fr-CA"/>
        </w:rPr>
        <w:t xml:space="preserve">11 </w:t>
      </w:r>
      <w:r w:rsidRPr="003F1ABC">
        <w:rPr>
          <w:rFonts w:cstheme="minorHAnsi"/>
          <w:szCs w:val="24"/>
          <w:lang w:val="fr-CA"/>
        </w:rPr>
        <w:t>et</w:t>
      </w:r>
      <w:r w:rsidR="00294F2D" w:rsidRPr="003F1ABC">
        <w:rPr>
          <w:rFonts w:cstheme="minorHAnsi"/>
          <w:szCs w:val="24"/>
          <w:lang w:val="fr-CA"/>
        </w:rPr>
        <w:t xml:space="preserve"> 11.1 </w:t>
      </w:r>
      <w:r w:rsidRPr="003F1ABC">
        <w:rPr>
          <w:rFonts w:cstheme="minorHAnsi"/>
          <w:szCs w:val="24"/>
          <w:lang w:val="fr-CA"/>
        </w:rPr>
        <w:t xml:space="preserve">de la </w:t>
      </w:r>
      <w:r w:rsidRPr="003F1ABC">
        <w:rPr>
          <w:rFonts w:cstheme="minorHAnsi"/>
          <w:i/>
          <w:iCs/>
          <w:szCs w:val="24"/>
          <w:lang w:val="fr-CA"/>
        </w:rPr>
        <w:t>Loi sur les juges de paix</w:t>
      </w:r>
      <w:r w:rsidRPr="003F1ABC">
        <w:rPr>
          <w:rFonts w:cstheme="minorHAnsi"/>
          <w:szCs w:val="24"/>
          <w:lang w:val="fr-CA"/>
        </w:rPr>
        <w:t xml:space="preserve"> (la Loi) ont été modifiés afin de prévoir que lorsque la tenue d’une audience est ordonnée à l’égard d’une plainte contre un juge de paix, le comité d’audition a compétence pour faire une recommandation d’indemnisation des frais pour services juridiques que le juge de paix a engagés relativement à l’enquête sur la plainte et à l’audience qui a suivi</w:t>
      </w:r>
      <w:r w:rsidR="00294F2D" w:rsidRPr="003F1ABC">
        <w:rPr>
          <w:rFonts w:cstheme="minorHAnsi"/>
          <w:szCs w:val="24"/>
          <w:lang w:val="fr-CA"/>
        </w:rPr>
        <w:t xml:space="preserve">. </w:t>
      </w:r>
      <w:r w:rsidRPr="003F1ABC">
        <w:rPr>
          <w:rFonts w:cstheme="minorHAnsi"/>
          <w:szCs w:val="24"/>
          <w:lang w:val="fr-CA"/>
        </w:rPr>
        <w:t xml:space="preserve">Ces modifications sont entrées en vigueur le 8 juillet </w:t>
      </w:r>
      <w:r w:rsidR="00294F2D" w:rsidRPr="003F1ABC">
        <w:rPr>
          <w:rFonts w:cstheme="minorHAnsi"/>
          <w:szCs w:val="24"/>
          <w:lang w:val="fr-CA"/>
        </w:rPr>
        <w:t xml:space="preserve">2020. </w:t>
      </w:r>
      <w:r w:rsidRPr="003F1ABC">
        <w:rPr>
          <w:rFonts w:cstheme="minorHAnsi"/>
          <w:szCs w:val="24"/>
          <w:lang w:val="fr-CA"/>
        </w:rPr>
        <w:t xml:space="preserve">Le paragraphe </w:t>
      </w:r>
      <w:r w:rsidR="00294F2D" w:rsidRPr="003F1ABC">
        <w:rPr>
          <w:rFonts w:cstheme="minorHAnsi"/>
          <w:szCs w:val="24"/>
          <w:lang w:val="fr-CA"/>
        </w:rPr>
        <w:t>11.1</w:t>
      </w:r>
      <w:r w:rsidRPr="003F1ABC">
        <w:rPr>
          <w:rFonts w:cstheme="minorHAnsi"/>
          <w:szCs w:val="24"/>
          <w:lang w:val="fr-CA"/>
        </w:rPr>
        <w:t> </w:t>
      </w:r>
      <w:r w:rsidR="00294F2D" w:rsidRPr="003F1ABC">
        <w:rPr>
          <w:rFonts w:cstheme="minorHAnsi"/>
          <w:szCs w:val="24"/>
          <w:lang w:val="fr-CA"/>
        </w:rPr>
        <w:t xml:space="preserve">(17) </w:t>
      </w:r>
      <w:r w:rsidRPr="003F1ABC">
        <w:rPr>
          <w:rFonts w:cstheme="minorHAnsi"/>
          <w:szCs w:val="24"/>
          <w:lang w:val="fr-CA"/>
        </w:rPr>
        <w:t xml:space="preserve">prévoit maintenant ce qui suit </w:t>
      </w:r>
      <w:r w:rsidR="00294F2D" w:rsidRPr="003F1ABC">
        <w:rPr>
          <w:rFonts w:cstheme="minorHAnsi"/>
          <w:szCs w:val="24"/>
          <w:lang w:val="fr-CA"/>
        </w:rPr>
        <w:t>:</w:t>
      </w:r>
    </w:p>
    <w:p w14:paraId="323D3687" w14:textId="6A6EC074" w:rsidR="00294F2D" w:rsidRPr="003F1ABC" w:rsidRDefault="00AE097E" w:rsidP="00294F2D">
      <w:pPr>
        <w:pStyle w:val="Heading4"/>
        <w:ind w:left="1985" w:right="571" w:hanging="851"/>
        <w:rPr>
          <w:rFonts w:ascii="Arial" w:hAnsi="Arial" w:cs="Arial"/>
          <w:b w:val="0"/>
          <w:sz w:val="24"/>
          <w:szCs w:val="24"/>
          <w:lang w:val="fr-CA"/>
        </w:rPr>
      </w:pPr>
      <w:r w:rsidRPr="003F1ABC">
        <w:rPr>
          <w:rFonts w:ascii="Arial" w:hAnsi="Arial" w:cs="Arial"/>
          <w:b w:val="0"/>
          <w:sz w:val="24"/>
          <w:szCs w:val="24"/>
          <w:lang w:val="fr-CA"/>
        </w:rPr>
        <w:t>Indemnisation</w:t>
      </w:r>
    </w:p>
    <w:p w14:paraId="698FD4AF" w14:textId="56B9892E" w:rsidR="00294F2D" w:rsidRPr="003F1ABC" w:rsidRDefault="00294F2D" w:rsidP="003F1ABC">
      <w:pPr>
        <w:pStyle w:val="subsection"/>
        <w:ind w:left="2268" w:right="571" w:hanging="1134"/>
        <w:jc w:val="both"/>
        <w:rPr>
          <w:rFonts w:cstheme="minorHAnsi"/>
          <w:lang w:val="fr-CA"/>
        </w:rPr>
      </w:pPr>
      <w:r w:rsidRPr="003F1ABC">
        <w:rPr>
          <w:rFonts w:ascii="Arial" w:hAnsi="Arial" w:cs="Arial"/>
          <w:lang w:val="fr-CA"/>
        </w:rPr>
        <w:t>11</w:t>
      </w:r>
      <w:r w:rsidR="00AE097E" w:rsidRPr="003F1ABC">
        <w:rPr>
          <w:rFonts w:ascii="Arial" w:hAnsi="Arial" w:cs="Arial"/>
          <w:lang w:val="fr-CA"/>
        </w:rPr>
        <w:t xml:space="preserve">.1 </w:t>
      </w:r>
      <w:r w:rsidRPr="003F1ABC">
        <w:rPr>
          <w:rFonts w:ascii="Arial" w:hAnsi="Arial" w:cs="Arial"/>
          <w:lang w:val="fr-CA"/>
        </w:rPr>
        <w:t>(17)</w:t>
      </w:r>
      <w:r w:rsidRPr="003F1ABC">
        <w:rPr>
          <w:rFonts w:ascii="Arial" w:hAnsi="Arial" w:cs="Arial"/>
          <w:lang w:val="fr-CA"/>
        </w:rPr>
        <w:tab/>
      </w:r>
      <w:r w:rsidR="00AE097E" w:rsidRPr="003F1ABC">
        <w:rPr>
          <w:rFonts w:ascii="Arial" w:hAnsi="Arial" w:cs="Arial"/>
          <w:shd w:val="clear" w:color="auto" w:fill="FFFFFF"/>
          <w:lang w:val="fr-CA"/>
        </w:rPr>
        <w:t>Le comité d’audition étudie la question de savoir si le juge de paix devrait être indemnisé de la totalité ou d’une partie des frais pour services juridiques qu’il a engagés relativement à la démarche suivie aux termes de l’article 11 et du présent article en ce qui concerne la plainte.</w:t>
      </w:r>
      <w:r w:rsidRPr="003F1ABC">
        <w:rPr>
          <w:rFonts w:ascii="Arial" w:hAnsi="Arial" w:cs="Arial"/>
          <w:lang w:val="fr-CA"/>
        </w:rPr>
        <w:t xml:space="preserve"> </w:t>
      </w:r>
    </w:p>
    <w:p w14:paraId="3A555838" w14:textId="77777777" w:rsidR="00294F2D" w:rsidRPr="003F1ABC" w:rsidRDefault="00294F2D" w:rsidP="00294F2D">
      <w:pPr>
        <w:pStyle w:val="ListParagraph"/>
        <w:spacing w:line="240" w:lineRule="auto"/>
        <w:ind w:left="360"/>
        <w:jc w:val="both"/>
        <w:rPr>
          <w:rFonts w:cstheme="minorHAnsi"/>
          <w:szCs w:val="24"/>
          <w:lang w:val="fr-CA"/>
        </w:rPr>
      </w:pPr>
    </w:p>
    <w:p w14:paraId="32E13650" w14:textId="287067EA" w:rsidR="00551644" w:rsidRPr="003F1ABC" w:rsidRDefault="00AE097E" w:rsidP="00551644">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t>Avant cette modification, lorsqu</w:t>
      </w:r>
      <w:r w:rsidR="00494531" w:rsidRPr="003F1ABC">
        <w:rPr>
          <w:rFonts w:cstheme="minorHAnsi"/>
          <w:szCs w:val="24"/>
          <w:lang w:val="fr-CA"/>
        </w:rPr>
        <w:t>e la tenue d’une audience formelle était ordonnée, le juge de paix devait envoyer deux demandes d’indemnisation distinctes, une à l’attention du comité des plaintes à l’égard des frais engagés relativement à l’enquête, et une au comité d’audition à l’égard des frais engagés relativement à l’audience</w:t>
      </w:r>
      <w:r w:rsidR="00294F2D" w:rsidRPr="003F1ABC">
        <w:rPr>
          <w:rFonts w:cstheme="minorHAnsi"/>
          <w:szCs w:val="24"/>
          <w:lang w:val="fr-CA"/>
        </w:rPr>
        <w:t>.</w:t>
      </w:r>
    </w:p>
    <w:p w14:paraId="225A6E3C" w14:textId="77777777" w:rsidR="00551644" w:rsidRPr="003F1ABC" w:rsidRDefault="00551644" w:rsidP="004D408C">
      <w:pPr>
        <w:pStyle w:val="ListParagraph"/>
        <w:spacing w:line="240" w:lineRule="auto"/>
        <w:ind w:left="709"/>
        <w:jc w:val="both"/>
        <w:rPr>
          <w:rFonts w:cstheme="minorHAnsi"/>
          <w:szCs w:val="24"/>
          <w:lang w:val="fr-CA"/>
        </w:rPr>
      </w:pPr>
    </w:p>
    <w:p w14:paraId="6120D769" w14:textId="5F78FEC2" w:rsidR="00FB1F5D" w:rsidRPr="003F1ABC" w:rsidRDefault="00494531" w:rsidP="00F71793">
      <w:pPr>
        <w:pStyle w:val="ListParagraph"/>
        <w:numPr>
          <w:ilvl w:val="0"/>
          <w:numId w:val="8"/>
        </w:numPr>
        <w:spacing w:line="240" w:lineRule="auto"/>
        <w:ind w:left="709" w:hanging="709"/>
        <w:jc w:val="both"/>
        <w:rPr>
          <w:rFonts w:cstheme="minorHAnsi"/>
          <w:szCs w:val="24"/>
          <w:lang w:val="fr-CA"/>
        </w:rPr>
      </w:pPr>
      <w:r w:rsidRPr="003F1ABC">
        <w:rPr>
          <w:lang w:val="fr-CA"/>
        </w:rPr>
        <w:lastRenderedPageBreak/>
        <w:t>La Cour divisionnaire a examiné la justification de l’indemnisation des juges de paix concernant les frais pour services juridiques qu’ils ont engagés relativement au processus disciplinaire</w:t>
      </w:r>
      <w:r w:rsidR="003F1ABC">
        <w:rPr>
          <w:lang w:val="fr-CA"/>
        </w:rPr>
        <w:t xml:space="preserve"> qui est formulée</w:t>
      </w:r>
      <w:r w:rsidRPr="003F1ABC">
        <w:rPr>
          <w:lang w:val="fr-CA"/>
        </w:rPr>
        <w:t xml:space="preserve"> dans l’affaire </w:t>
      </w:r>
      <w:bookmarkStart w:id="1" w:name="_Hlk52371754"/>
      <w:proofErr w:type="spellStart"/>
      <w:r w:rsidR="00551644" w:rsidRPr="003F1ABC">
        <w:rPr>
          <w:i/>
          <w:lang w:val="fr-CA"/>
        </w:rPr>
        <w:t>Massiah</w:t>
      </w:r>
      <w:proofErr w:type="spellEnd"/>
      <w:r w:rsidR="00551644" w:rsidRPr="003F1ABC">
        <w:rPr>
          <w:i/>
          <w:lang w:val="fr-CA"/>
        </w:rPr>
        <w:t xml:space="preserve"> v Justices of the Peace </w:t>
      </w:r>
      <w:proofErr w:type="spellStart"/>
      <w:r w:rsidR="00551644" w:rsidRPr="003F1ABC">
        <w:rPr>
          <w:i/>
          <w:lang w:val="fr-CA"/>
        </w:rPr>
        <w:t>Review</w:t>
      </w:r>
      <w:proofErr w:type="spellEnd"/>
      <w:r w:rsidR="00551644" w:rsidRPr="003F1ABC">
        <w:rPr>
          <w:lang w:val="fr-CA"/>
        </w:rPr>
        <w:t xml:space="preserve"> </w:t>
      </w:r>
      <w:r w:rsidR="00551644" w:rsidRPr="003F1ABC">
        <w:rPr>
          <w:i/>
          <w:iCs/>
          <w:lang w:val="fr-CA"/>
        </w:rPr>
        <w:t>Council</w:t>
      </w:r>
      <w:r w:rsidR="00551644" w:rsidRPr="003F1ABC">
        <w:rPr>
          <w:lang w:val="fr-CA"/>
        </w:rPr>
        <w:t>,</w:t>
      </w:r>
      <w:r w:rsidR="00551644" w:rsidRPr="003F1ABC">
        <w:rPr>
          <w:rFonts w:cstheme="minorHAnsi"/>
          <w:szCs w:val="24"/>
          <w:lang w:val="fr-CA"/>
        </w:rPr>
        <w:t xml:space="preserve"> 2016 ONSC 6191,</w:t>
      </w:r>
      <w:r w:rsidR="00551644" w:rsidRPr="003F1ABC">
        <w:rPr>
          <w:lang w:val="fr-CA"/>
        </w:rPr>
        <w:t xml:space="preserve"> </w:t>
      </w:r>
      <w:r w:rsidRPr="003F1ABC">
        <w:rPr>
          <w:lang w:val="fr-CA"/>
        </w:rPr>
        <w:t>conf.</w:t>
      </w:r>
      <w:r w:rsidR="00551644" w:rsidRPr="003F1ABC">
        <w:rPr>
          <w:lang w:val="fr-CA"/>
        </w:rPr>
        <w:t xml:space="preserve"> </w:t>
      </w:r>
      <w:r w:rsidR="00551644" w:rsidRPr="003F1ABC">
        <w:rPr>
          <w:rFonts w:cstheme="minorHAnsi"/>
          <w:szCs w:val="24"/>
          <w:lang w:val="fr-CA"/>
        </w:rPr>
        <w:t>2020 ONSC 4746,</w:t>
      </w:r>
      <w:r w:rsidR="00FD19EF" w:rsidRPr="003F1ABC">
        <w:rPr>
          <w:rFonts w:cstheme="minorHAnsi"/>
          <w:szCs w:val="24"/>
          <w:lang w:val="fr-CA"/>
        </w:rPr>
        <w:t xml:space="preserve"> para. 56</w:t>
      </w:r>
      <w:r w:rsidRPr="003F1ABC">
        <w:rPr>
          <w:rFonts w:cstheme="minorHAnsi"/>
          <w:szCs w:val="24"/>
          <w:lang w:val="fr-CA"/>
        </w:rPr>
        <w:t xml:space="preserve"> </w:t>
      </w:r>
      <w:r w:rsidR="00FB1F5D" w:rsidRPr="003F1ABC">
        <w:rPr>
          <w:rFonts w:cstheme="minorHAnsi"/>
          <w:szCs w:val="24"/>
          <w:lang w:val="fr-CA"/>
        </w:rPr>
        <w:t>:</w:t>
      </w:r>
    </w:p>
    <w:p w14:paraId="1D2825DE" w14:textId="77777777" w:rsidR="00FB1F5D" w:rsidRPr="003F1ABC" w:rsidRDefault="00FB1F5D" w:rsidP="00FB1F5D">
      <w:pPr>
        <w:pStyle w:val="ListParagraph"/>
        <w:spacing w:line="240" w:lineRule="auto"/>
        <w:ind w:left="709"/>
        <w:jc w:val="both"/>
        <w:rPr>
          <w:rFonts w:cstheme="minorHAnsi"/>
          <w:szCs w:val="24"/>
          <w:lang w:val="fr-CA"/>
        </w:rPr>
      </w:pPr>
    </w:p>
    <w:p w14:paraId="0B30A5D8" w14:textId="3FD24BDE" w:rsidR="00FD19EF" w:rsidRPr="003F1ABC" w:rsidRDefault="00487C19" w:rsidP="005D0F4F">
      <w:pPr>
        <w:pStyle w:val="ListParagraph"/>
        <w:spacing w:line="240" w:lineRule="auto"/>
        <w:ind w:left="1843" w:right="855"/>
        <w:jc w:val="both"/>
        <w:rPr>
          <w:rFonts w:cstheme="minorHAnsi"/>
          <w:szCs w:val="24"/>
          <w:lang w:val="fr-CA"/>
        </w:rPr>
      </w:pPr>
      <w:r w:rsidRPr="003F1ABC">
        <w:rPr>
          <w:rFonts w:cstheme="minorHAnsi"/>
          <w:szCs w:val="24"/>
          <w:lang w:val="fr-CA"/>
        </w:rPr>
        <w:t>« </w:t>
      </w:r>
      <w:r w:rsidR="00FB1F5D" w:rsidRPr="003F1ABC">
        <w:rPr>
          <w:rFonts w:cstheme="minorHAnsi"/>
          <w:szCs w:val="24"/>
          <w:lang w:val="fr-CA"/>
        </w:rPr>
        <w:t>…</w:t>
      </w:r>
      <w:r w:rsidRPr="003F1ABC">
        <w:rPr>
          <w:rFonts w:ascii="Arial" w:hAnsi="Arial"/>
          <w:color w:val="000000" w:themeColor="text1"/>
          <w:szCs w:val="24"/>
          <w:lang w:val="fr-CA"/>
        </w:rPr>
        <w:t xml:space="preserve"> il est toujours dans l’intérêt de l’administration de la justice, de s’assurer que les </w:t>
      </w:r>
      <w:r w:rsidR="00FD19EF" w:rsidRPr="003F1ABC">
        <w:rPr>
          <w:rFonts w:cstheme="minorHAnsi"/>
          <w:szCs w:val="24"/>
          <w:lang w:val="fr-CA"/>
        </w:rPr>
        <w:t>[j</w:t>
      </w:r>
      <w:r w:rsidRPr="003F1ABC">
        <w:rPr>
          <w:rFonts w:cstheme="minorHAnsi"/>
          <w:szCs w:val="24"/>
          <w:lang w:val="fr-CA"/>
        </w:rPr>
        <w:t>uges de paix</w:t>
      </w:r>
      <w:r w:rsidR="00FD19EF" w:rsidRPr="003F1ABC">
        <w:rPr>
          <w:rFonts w:cstheme="minorHAnsi"/>
          <w:szCs w:val="24"/>
          <w:lang w:val="fr-CA"/>
        </w:rPr>
        <w:t xml:space="preserve">] </w:t>
      </w:r>
      <w:r w:rsidRPr="003F1ABC">
        <w:rPr>
          <w:rFonts w:ascii="Arial" w:hAnsi="Arial"/>
          <w:color w:val="000000" w:themeColor="text1"/>
          <w:szCs w:val="24"/>
          <w:lang w:val="fr-CA"/>
        </w:rPr>
        <w:t>bénéficient des services d’un avocat. Par conséquent, les coûts d’un processus équitable et complet devraient être assumés habituellement par les fonds publics, car ce sont d’abord et avant tout les intérêts du public qui sont mis de l’avant et maintenus dans le cadre du processus de plainte. »</w:t>
      </w:r>
    </w:p>
    <w:bookmarkEnd w:id="1"/>
    <w:p w14:paraId="7AF03A60" w14:textId="77777777" w:rsidR="00FD19EF" w:rsidRPr="003F1ABC" w:rsidRDefault="00FD19EF" w:rsidP="00FD19EF">
      <w:pPr>
        <w:pStyle w:val="ListParagraph"/>
        <w:spacing w:line="240" w:lineRule="auto"/>
        <w:ind w:left="709"/>
        <w:jc w:val="both"/>
        <w:rPr>
          <w:rFonts w:cstheme="minorHAnsi"/>
          <w:szCs w:val="24"/>
          <w:lang w:val="fr-CA"/>
        </w:rPr>
      </w:pPr>
    </w:p>
    <w:p w14:paraId="5413E1DB" w14:textId="4DCCEE7E" w:rsidR="00FB1F5D" w:rsidRPr="003F1ABC" w:rsidRDefault="00487C19" w:rsidP="00F71793">
      <w:pPr>
        <w:pStyle w:val="ListParagraph"/>
        <w:numPr>
          <w:ilvl w:val="0"/>
          <w:numId w:val="8"/>
        </w:numPr>
        <w:spacing w:line="240" w:lineRule="auto"/>
        <w:ind w:left="709" w:hanging="709"/>
        <w:jc w:val="both"/>
        <w:rPr>
          <w:rFonts w:cstheme="minorHAnsi"/>
          <w:szCs w:val="24"/>
          <w:lang w:val="fr-CA"/>
        </w:rPr>
      </w:pPr>
      <w:bookmarkStart w:id="2" w:name="_Hlk52371842"/>
      <w:r w:rsidRPr="003F1ABC">
        <w:rPr>
          <w:lang w:val="fr-CA"/>
        </w:rPr>
        <w:t xml:space="preserve">Le juge </w:t>
      </w:r>
      <w:proofErr w:type="spellStart"/>
      <w:r w:rsidR="00FB1F5D" w:rsidRPr="003F1ABC">
        <w:rPr>
          <w:lang w:val="fr-CA"/>
        </w:rPr>
        <w:t>Nordheimer</w:t>
      </w:r>
      <w:proofErr w:type="spellEnd"/>
      <w:r w:rsidR="00FB1F5D" w:rsidRPr="003F1ABC">
        <w:rPr>
          <w:lang w:val="fr-CA"/>
        </w:rPr>
        <w:t xml:space="preserve">, </w:t>
      </w:r>
      <w:r w:rsidR="003F1ABC">
        <w:rPr>
          <w:lang w:val="fr-CA"/>
        </w:rPr>
        <w:t>au nom du</w:t>
      </w:r>
      <w:r w:rsidRPr="003F1ABC">
        <w:rPr>
          <w:lang w:val="fr-CA"/>
        </w:rPr>
        <w:t xml:space="preserve"> comité d’audition, a aussi </w:t>
      </w:r>
      <w:r w:rsidR="003F1ABC">
        <w:rPr>
          <w:lang w:val="fr-CA"/>
        </w:rPr>
        <w:t>souligné</w:t>
      </w:r>
      <w:r w:rsidRPr="003F1ABC">
        <w:rPr>
          <w:lang w:val="fr-CA"/>
        </w:rPr>
        <w:t xml:space="preserve"> qu’il n</w:t>
      </w:r>
      <w:r w:rsidR="003F1ABC">
        <w:rPr>
          <w:lang w:val="fr-CA"/>
        </w:rPr>
        <w:t xml:space="preserve">’est pas toujours justifié de </w:t>
      </w:r>
      <w:r w:rsidRPr="003F1ABC">
        <w:rPr>
          <w:lang w:val="fr-CA"/>
        </w:rPr>
        <w:t xml:space="preserve">faire une recommandation d’indemnisation ou </w:t>
      </w:r>
      <w:r w:rsidR="003F1ABC">
        <w:rPr>
          <w:lang w:val="fr-CA"/>
        </w:rPr>
        <w:t xml:space="preserve">de </w:t>
      </w:r>
      <w:r w:rsidRPr="003F1ABC">
        <w:rPr>
          <w:lang w:val="fr-CA"/>
        </w:rPr>
        <w:t xml:space="preserve">recommander une indemnisation complète. La décision </w:t>
      </w:r>
      <w:r w:rsidR="00C13E71" w:rsidRPr="003F1ABC">
        <w:rPr>
          <w:lang w:val="fr-CA"/>
        </w:rPr>
        <w:t xml:space="preserve">concernant la recommandation devrait tenir compte des circonstances du cas particulier et de l’objectif du processus disciplinaire </w:t>
      </w:r>
      <w:r w:rsidR="003F1ABC">
        <w:rPr>
          <w:lang w:val="fr-CA"/>
        </w:rPr>
        <w:t>à l’encontre</w:t>
      </w:r>
      <w:r w:rsidR="00C13E71" w:rsidRPr="003F1ABC">
        <w:rPr>
          <w:lang w:val="fr-CA"/>
        </w:rPr>
        <w:t xml:space="preserve"> des juges</w:t>
      </w:r>
      <w:r w:rsidR="003F1ABC">
        <w:rPr>
          <w:lang w:val="fr-CA"/>
        </w:rPr>
        <w:t xml:space="preserve"> </w:t>
      </w:r>
      <w:r w:rsidR="00FB1F5D" w:rsidRPr="003F1ABC">
        <w:rPr>
          <w:lang w:val="fr-CA"/>
        </w:rPr>
        <w:t>:</w:t>
      </w:r>
    </w:p>
    <w:p w14:paraId="5465E4DA" w14:textId="77777777" w:rsidR="00FB1F5D" w:rsidRPr="003F1ABC" w:rsidRDefault="00FB1F5D" w:rsidP="00FB1F5D">
      <w:pPr>
        <w:pStyle w:val="ListParagraph"/>
        <w:spacing w:line="240" w:lineRule="auto"/>
        <w:ind w:left="709"/>
        <w:jc w:val="both"/>
        <w:rPr>
          <w:rFonts w:cstheme="minorHAnsi"/>
          <w:szCs w:val="24"/>
          <w:lang w:val="fr-CA"/>
        </w:rPr>
      </w:pPr>
    </w:p>
    <w:bookmarkEnd w:id="2"/>
    <w:p w14:paraId="794A35E0" w14:textId="6DFBB632" w:rsidR="005D0F4F" w:rsidRPr="003F1ABC" w:rsidRDefault="005D0F4F" w:rsidP="005D0F4F">
      <w:pPr>
        <w:pStyle w:val="ListParagraph"/>
        <w:spacing w:line="240" w:lineRule="auto"/>
        <w:ind w:left="1865" w:right="855" w:hanging="425"/>
        <w:jc w:val="both"/>
        <w:rPr>
          <w:szCs w:val="24"/>
          <w:lang w:val="fr-CA"/>
        </w:rPr>
      </w:pPr>
      <w:r w:rsidRPr="003F1ABC">
        <w:rPr>
          <w:rFonts w:cstheme="minorHAnsi"/>
          <w:szCs w:val="24"/>
          <w:lang w:val="fr-CA"/>
        </w:rPr>
        <w:t xml:space="preserve">[57]   </w:t>
      </w:r>
      <w:r w:rsidR="00487C19" w:rsidRPr="003F1ABC">
        <w:rPr>
          <w:rFonts w:ascii="Arial" w:hAnsi="Arial"/>
          <w:color w:val="000000" w:themeColor="text1"/>
          <w:szCs w:val="24"/>
          <w:lang w:val="fr-CA"/>
        </w:rPr>
        <w:t>Tout cela ne veut pas dire que, dans tous les cas où un titulaire d'une charge judiciaire fait l’objet d’une plainte dont l’issue lui est défavorable, celui-ci peut s’attendre à ce que ses frais judiciaires lui soient remboursés. Il s’agit d’une décision qui doit être prise séparément dans chaque cas et seulement après un examen des circonstances particulières de l’affaire dans le contexte de l’objectif du processus. Les principales circonstances seront la nature de l’inconduite et son lien avec la fonction judiciaire. Par exemple, une inconduite ayant un lien direct avec la fonction judiciaire peut, par rapport à une inconduite ayant un lien moins direct, mériter davantage qu’une ordonnance d’indemnisation soit rendue; Par opposition, une conduite que toute personne aurait dû savoir qu’elle était inappropriée méritera moins qu’une ordonnance d’indemnisation soit rendue, par rapport à une conduite qui est jugée inappropriée seulement du fait de la décision définitive rendue dans une affaire particulière; De plus, lorsque l’inconduite s’est produite à plusieurs reprises, une recommandation d'indemnisation peut être moins méritée qu’en cas d’incident unique</w:t>
      </w:r>
      <w:r w:rsidRPr="003F1ABC">
        <w:rPr>
          <w:szCs w:val="24"/>
          <w:lang w:val="fr-CA"/>
        </w:rPr>
        <w:t>.</w:t>
      </w:r>
    </w:p>
    <w:p w14:paraId="596D0BFC" w14:textId="77777777" w:rsidR="005D0F4F" w:rsidRPr="003F1ABC" w:rsidRDefault="005D0F4F" w:rsidP="005D0F4F">
      <w:pPr>
        <w:pStyle w:val="ListParagraph"/>
        <w:spacing w:line="240" w:lineRule="auto"/>
        <w:ind w:left="709"/>
        <w:jc w:val="both"/>
        <w:rPr>
          <w:rFonts w:ascii="Arial" w:eastAsia="Times New Roman" w:hAnsi="Arial" w:cs="Arial"/>
          <w:szCs w:val="24"/>
          <w:lang w:val="fr-CA" w:eastAsia="en-CA"/>
        </w:rPr>
      </w:pPr>
    </w:p>
    <w:p w14:paraId="79931A07" w14:textId="625E7D17" w:rsidR="005D0F4F" w:rsidRPr="003F1ABC" w:rsidRDefault="00C13E71" w:rsidP="005D0F4F">
      <w:pPr>
        <w:pStyle w:val="ListParagraph"/>
        <w:numPr>
          <w:ilvl w:val="0"/>
          <w:numId w:val="8"/>
        </w:numPr>
        <w:spacing w:line="240" w:lineRule="auto"/>
        <w:ind w:left="709" w:hanging="709"/>
        <w:jc w:val="both"/>
        <w:rPr>
          <w:rFonts w:ascii="Arial" w:eastAsia="Times New Roman" w:hAnsi="Arial" w:cs="Arial"/>
          <w:szCs w:val="24"/>
          <w:lang w:val="fr-CA" w:eastAsia="en-CA"/>
        </w:rPr>
      </w:pPr>
      <w:r w:rsidRPr="003F1ABC">
        <w:rPr>
          <w:rFonts w:ascii="Arial" w:eastAsia="Times New Roman" w:hAnsi="Arial" w:cs="Arial"/>
          <w:szCs w:val="24"/>
          <w:lang w:val="fr-CA" w:eastAsia="en-CA"/>
        </w:rPr>
        <w:t xml:space="preserve">Les principes et facteurs énoncés ci-dessus ont été confirmés par la Cour divisionnaire dans l’affaire </w:t>
      </w:r>
      <w:r w:rsidR="00105EEC" w:rsidRPr="003F1ABC">
        <w:rPr>
          <w:rFonts w:ascii="Arial" w:eastAsia="Times New Roman" w:hAnsi="Arial" w:cs="Arial"/>
          <w:i/>
          <w:szCs w:val="24"/>
          <w:lang w:val="fr-CA" w:eastAsia="en-CA"/>
        </w:rPr>
        <w:t xml:space="preserve">Errol </w:t>
      </w:r>
      <w:proofErr w:type="spellStart"/>
      <w:r w:rsidR="00105EEC" w:rsidRPr="003F1ABC">
        <w:rPr>
          <w:rFonts w:ascii="Arial" w:eastAsia="Times New Roman" w:hAnsi="Arial" w:cs="Arial"/>
          <w:i/>
          <w:szCs w:val="24"/>
          <w:lang w:val="fr-CA" w:eastAsia="en-CA"/>
        </w:rPr>
        <w:t>Massiah</w:t>
      </w:r>
      <w:proofErr w:type="spellEnd"/>
      <w:r w:rsidR="00105EEC" w:rsidRPr="003F1ABC">
        <w:rPr>
          <w:rFonts w:ascii="Arial" w:eastAsia="Times New Roman" w:hAnsi="Arial" w:cs="Arial"/>
          <w:i/>
          <w:szCs w:val="24"/>
          <w:lang w:val="fr-CA" w:eastAsia="en-CA"/>
        </w:rPr>
        <w:t xml:space="preserve"> v. Justices of the Peace </w:t>
      </w:r>
      <w:proofErr w:type="spellStart"/>
      <w:r w:rsidR="00105EEC" w:rsidRPr="003F1ABC">
        <w:rPr>
          <w:rFonts w:ascii="Arial" w:eastAsia="Times New Roman" w:hAnsi="Arial" w:cs="Arial"/>
          <w:i/>
          <w:szCs w:val="24"/>
          <w:lang w:val="fr-CA" w:eastAsia="en-CA"/>
        </w:rPr>
        <w:t>Review</w:t>
      </w:r>
      <w:proofErr w:type="spellEnd"/>
      <w:r w:rsidR="00105EEC" w:rsidRPr="003F1ABC">
        <w:rPr>
          <w:rFonts w:ascii="Arial" w:eastAsia="Times New Roman" w:hAnsi="Arial" w:cs="Arial"/>
          <w:i/>
          <w:szCs w:val="24"/>
          <w:lang w:val="fr-CA" w:eastAsia="en-CA"/>
        </w:rPr>
        <w:t xml:space="preserve"> Council</w:t>
      </w:r>
      <w:r w:rsidR="00105EEC" w:rsidRPr="003F1ABC">
        <w:rPr>
          <w:rFonts w:ascii="Arial" w:eastAsia="Times New Roman" w:hAnsi="Arial" w:cs="Arial"/>
          <w:szCs w:val="24"/>
          <w:lang w:val="fr-CA" w:eastAsia="en-CA"/>
        </w:rPr>
        <w:t xml:space="preserve">, 2020 ONSC 4746, </w:t>
      </w:r>
      <w:r w:rsidRPr="003F1ABC">
        <w:rPr>
          <w:rFonts w:ascii="Arial" w:eastAsia="Times New Roman" w:hAnsi="Arial" w:cs="Arial"/>
          <w:szCs w:val="24"/>
          <w:lang w:val="fr-CA" w:eastAsia="en-CA"/>
        </w:rPr>
        <w:t xml:space="preserve">une autre demande de révision judiciaire </w:t>
      </w:r>
      <w:r w:rsidR="00A24F98">
        <w:rPr>
          <w:rFonts w:ascii="Arial" w:eastAsia="Times New Roman" w:hAnsi="Arial" w:cs="Arial"/>
          <w:szCs w:val="24"/>
          <w:lang w:val="fr-CA" w:eastAsia="en-CA"/>
        </w:rPr>
        <w:t>rejetée</w:t>
      </w:r>
      <w:r w:rsidRPr="003F1ABC">
        <w:rPr>
          <w:rFonts w:ascii="Arial" w:eastAsia="Times New Roman" w:hAnsi="Arial" w:cs="Arial"/>
          <w:szCs w:val="24"/>
          <w:lang w:val="fr-CA" w:eastAsia="en-CA"/>
        </w:rPr>
        <w:t xml:space="preserve"> de </w:t>
      </w:r>
      <w:r w:rsidR="00105EEC" w:rsidRPr="003F1ABC">
        <w:rPr>
          <w:rFonts w:ascii="Arial" w:eastAsia="Times New Roman" w:hAnsi="Arial" w:cs="Arial"/>
          <w:szCs w:val="24"/>
          <w:lang w:val="fr-CA" w:eastAsia="en-CA"/>
        </w:rPr>
        <w:t>M.</w:t>
      </w:r>
      <w:r w:rsidRPr="003F1ABC">
        <w:rPr>
          <w:rFonts w:ascii="Arial" w:eastAsia="Times New Roman" w:hAnsi="Arial" w:cs="Arial"/>
          <w:szCs w:val="24"/>
          <w:lang w:val="fr-CA" w:eastAsia="en-CA"/>
        </w:rPr>
        <w:t> </w:t>
      </w:r>
      <w:proofErr w:type="spellStart"/>
      <w:r w:rsidR="00105EEC" w:rsidRPr="003F1ABC">
        <w:rPr>
          <w:rFonts w:ascii="Arial" w:eastAsia="Times New Roman" w:hAnsi="Arial" w:cs="Arial"/>
          <w:szCs w:val="24"/>
          <w:lang w:val="fr-CA" w:eastAsia="en-CA"/>
        </w:rPr>
        <w:t>Massiah</w:t>
      </w:r>
      <w:proofErr w:type="spellEnd"/>
      <w:r w:rsidR="00A24F98">
        <w:rPr>
          <w:rFonts w:ascii="Arial" w:eastAsia="Times New Roman" w:hAnsi="Arial" w:cs="Arial"/>
          <w:szCs w:val="24"/>
          <w:lang w:val="fr-CA" w:eastAsia="en-CA"/>
        </w:rPr>
        <w:t> </w:t>
      </w:r>
      <w:r w:rsidR="005D0F4F" w:rsidRPr="003F1ABC">
        <w:rPr>
          <w:rFonts w:ascii="Arial" w:hAnsi="Arial" w:cs="Arial"/>
          <w:szCs w:val="24"/>
          <w:lang w:val="fr-CA"/>
        </w:rPr>
        <w:t>:</w:t>
      </w:r>
    </w:p>
    <w:p w14:paraId="5F0A7B33" w14:textId="2654CECC" w:rsidR="005D0F4F" w:rsidRPr="003F1ABC" w:rsidRDefault="002461EA" w:rsidP="002461EA">
      <w:pPr>
        <w:spacing w:before="100" w:beforeAutospacing="1" w:after="100" w:afterAutospacing="1" w:line="240" w:lineRule="auto"/>
        <w:ind w:left="1985" w:right="855" w:hanging="851"/>
        <w:jc w:val="both"/>
        <w:rPr>
          <w:rFonts w:eastAsia="Times New Roman" w:cstheme="minorHAnsi"/>
          <w:szCs w:val="24"/>
          <w:lang w:val="fr-CA" w:eastAsia="en-CA"/>
        </w:rPr>
      </w:pPr>
      <w:r w:rsidRPr="003F1ABC">
        <w:rPr>
          <w:rFonts w:ascii="Arial" w:eastAsia="Times New Roman" w:hAnsi="Arial" w:cs="Arial"/>
          <w:szCs w:val="24"/>
          <w:lang w:val="fr-CA" w:eastAsia="en-CA"/>
        </w:rPr>
        <w:lastRenderedPageBreak/>
        <w:t>[19</w:t>
      </w:r>
      <w:r w:rsidRPr="003F1ABC">
        <w:rPr>
          <w:rFonts w:eastAsia="Times New Roman" w:cstheme="minorHAnsi"/>
          <w:szCs w:val="24"/>
          <w:lang w:val="fr-CA" w:eastAsia="en-CA"/>
        </w:rPr>
        <w:t>]</w:t>
      </w:r>
      <w:r w:rsidR="005D0F4F" w:rsidRPr="003F1ABC">
        <w:rPr>
          <w:rFonts w:eastAsia="Times New Roman" w:cstheme="minorHAnsi"/>
          <w:szCs w:val="24"/>
          <w:lang w:val="fr-CA" w:eastAsia="en-CA"/>
        </w:rPr>
        <w:t xml:space="preserve">   </w:t>
      </w:r>
      <w:r w:rsidR="00C13E71" w:rsidRPr="003F1ABC">
        <w:rPr>
          <w:rFonts w:eastAsia="Times New Roman" w:cstheme="minorHAnsi"/>
          <w:szCs w:val="24"/>
          <w:lang w:val="fr-CA" w:eastAsia="en-CA"/>
        </w:rPr>
        <w:t xml:space="preserve">Les circonstances que le juge </w:t>
      </w:r>
      <w:proofErr w:type="spellStart"/>
      <w:r w:rsidR="005D0F4F" w:rsidRPr="003F1ABC">
        <w:rPr>
          <w:rFonts w:eastAsia="Times New Roman" w:cstheme="minorHAnsi"/>
          <w:szCs w:val="24"/>
          <w:lang w:val="fr-CA" w:eastAsia="en-CA"/>
        </w:rPr>
        <w:t>Nordheimer</w:t>
      </w:r>
      <w:proofErr w:type="spellEnd"/>
      <w:r w:rsidR="005D0F4F" w:rsidRPr="003F1ABC">
        <w:rPr>
          <w:rFonts w:eastAsia="Times New Roman" w:cstheme="minorHAnsi"/>
          <w:szCs w:val="24"/>
          <w:lang w:val="fr-CA" w:eastAsia="en-CA"/>
        </w:rPr>
        <w:t xml:space="preserve"> </w:t>
      </w:r>
      <w:r w:rsidR="00C13E71" w:rsidRPr="003F1ABC">
        <w:rPr>
          <w:rFonts w:eastAsia="Times New Roman" w:cstheme="minorHAnsi"/>
          <w:szCs w:val="24"/>
          <w:lang w:val="fr-CA" w:eastAsia="en-CA"/>
        </w:rPr>
        <w:t>a relevées comme étant pertinentes pour la décision sont les suivantes</w:t>
      </w:r>
      <w:r w:rsidRPr="003F1ABC">
        <w:rPr>
          <w:rStyle w:val="FootnoteReference"/>
          <w:rFonts w:eastAsia="Times New Roman" w:cstheme="minorHAnsi"/>
          <w:szCs w:val="24"/>
          <w:lang w:val="fr-CA" w:eastAsia="en-CA"/>
        </w:rPr>
        <w:footnoteReference w:id="1"/>
      </w:r>
      <w:r w:rsidR="00C13E71" w:rsidRPr="003F1ABC">
        <w:rPr>
          <w:rFonts w:eastAsia="Times New Roman" w:cstheme="minorHAnsi"/>
          <w:szCs w:val="24"/>
          <w:lang w:val="fr-CA" w:eastAsia="en-CA"/>
        </w:rPr>
        <w:t> </w:t>
      </w:r>
      <w:r w:rsidR="005D0F4F" w:rsidRPr="003F1ABC">
        <w:rPr>
          <w:rFonts w:eastAsia="Times New Roman" w:cstheme="minorHAnsi"/>
          <w:szCs w:val="24"/>
          <w:lang w:val="fr-CA" w:eastAsia="en-CA"/>
        </w:rPr>
        <w:t>:</w:t>
      </w:r>
    </w:p>
    <w:p w14:paraId="31B013A7" w14:textId="13959F66" w:rsidR="002461EA" w:rsidRPr="003F1ABC" w:rsidRDefault="00C13E71"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fr-CA" w:eastAsia="en-CA"/>
        </w:rPr>
      </w:pPr>
      <w:r w:rsidRPr="003F1ABC">
        <w:rPr>
          <w:rFonts w:ascii="Arial" w:hAnsi="Arial"/>
          <w:color w:val="000000" w:themeColor="text1"/>
          <w:szCs w:val="24"/>
          <w:lang w:val="fr-CA"/>
        </w:rPr>
        <w:t>La nature de l’inconduite et son lien avec la fonction judiciaire</w:t>
      </w:r>
      <w:r w:rsidR="005D0F4F" w:rsidRPr="003F1ABC">
        <w:rPr>
          <w:rFonts w:eastAsia="Times New Roman" w:cstheme="minorHAnsi"/>
          <w:szCs w:val="24"/>
          <w:lang w:val="fr-CA" w:eastAsia="en-CA"/>
        </w:rPr>
        <w:t>;</w:t>
      </w:r>
    </w:p>
    <w:p w14:paraId="4534DA3A" w14:textId="77777777" w:rsidR="002461EA" w:rsidRPr="003F1ABC" w:rsidRDefault="002461EA" w:rsidP="002461EA">
      <w:pPr>
        <w:pStyle w:val="ListParagraph"/>
        <w:spacing w:before="100" w:beforeAutospacing="1" w:after="100" w:afterAutospacing="1" w:line="240" w:lineRule="auto"/>
        <w:ind w:left="2345" w:right="855"/>
        <w:jc w:val="both"/>
        <w:rPr>
          <w:rFonts w:eastAsia="Times New Roman" w:cstheme="minorHAnsi"/>
          <w:szCs w:val="24"/>
          <w:lang w:val="fr-CA" w:eastAsia="en-CA"/>
        </w:rPr>
      </w:pPr>
    </w:p>
    <w:p w14:paraId="257D0D7E" w14:textId="12DE5E19" w:rsidR="002461EA" w:rsidRPr="003F1ABC" w:rsidRDefault="00C13E71"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fr-CA" w:eastAsia="en-CA"/>
        </w:rPr>
      </w:pPr>
      <w:r w:rsidRPr="003F1ABC">
        <w:rPr>
          <w:rFonts w:ascii="Arial" w:hAnsi="Arial"/>
          <w:color w:val="000000" w:themeColor="text1"/>
          <w:szCs w:val="24"/>
          <w:lang w:val="fr-CA"/>
        </w:rPr>
        <w:t>Une inconduite ayant un lien direct avec la fonction judiciaire peut, par rapport à une inconduite ayant un lien moins direct, mériter davantage qu’une ordonnance d’indemnisation soit rendue</w:t>
      </w:r>
      <w:r w:rsidR="005D0F4F" w:rsidRPr="003F1ABC">
        <w:rPr>
          <w:rFonts w:eastAsia="Times New Roman" w:cstheme="minorHAnsi"/>
          <w:szCs w:val="24"/>
          <w:lang w:val="fr-CA" w:eastAsia="en-CA"/>
        </w:rPr>
        <w:t xml:space="preserve">; </w:t>
      </w:r>
    </w:p>
    <w:p w14:paraId="497B5930" w14:textId="77777777" w:rsidR="002461EA" w:rsidRPr="003F1ABC" w:rsidRDefault="002461EA" w:rsidP="002461EA">
      <w:pPr>
        <w:pStyle w:val="ListParagraph"/>
        <w:ind w:right="855"/>
        <w:jc w:val="both"/>
        <w:rPr>
          <w:rFonts w:eastAsia="Times New Roman" w:cstheme="minorHAnsi"/>
          <w:szCs w:val="24"/>
          <w:lang w:val="fr-CA" w:eastAsia="en-CA"/>
        </w:rPr>
      </w:pPr>
    </w:p>
    <w:p w14:paraId="0B6A6153" w14:textId="63405D92" w:rsidR="002461EA" w:rsidRPr="003F1ABC" w:rsidRDefault="00C13E71"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fr-CA" w:eastAsia="en-CA"/>
        </w:rPr>
      </w:pPr>
      <w:r w:rsidRPr="003F1ABC">
        <w:rPr>
          <w:rFonts w:ascii="Arial" w:hAnsi="Arial"/>
          <w:color w:val="000000" w:themeColor="text1"/>
          <w:szCs w:val="24"/>
          <w:lang w:val="fr-CA"/>
        </w:rPr>
        <w:t>Par opposition, une conduite que toute personne aurait dû savoir qu’elle était inappropriée méritera moins qu’une ordonnance d’indemnisation soit rendue, par rapport à une conduite qui est jugée inappropriée seulement du fait de la décision définitive rendue dans une affaire particulière</w:t>
      </w:r>
      <w:r w:rsidR="005D0F4F" w:rsidRPr="003F1ABC">
        <w:rPr>
          <w:rFonts w:eastAsia="Times New Roman" w:cstheme="minorHAnsi"/>
          <w:szCs w:val="24"/>
          <w:lang w:val="fr-CA" w:eastAsia="en-CA"/>
        </w:rPr>
        <w:t>;</w:t>
      </w:r>
      <w:r w:rsidR="002461EA" w:rsidRPr="003F1ABC">
        <w:rPr>
          <w:rFonts w:eastAsia="Times New Roman" w:cstheme="minorHAnsi"/>
          <w:szCs w:val="24"/>
          <w:lang w:val="fr-CA" w:eastAsia="en-CA"/>
        </w:rPr>
        <w:t xml:space="preserve"> </w:t>
      </w:r>
    </w:p>
    <w:p w14:paraId="0B24595D" w14:textId="77777777" w:rsidR="002461EA" w:rsidRPr="003F1ABC" w:rsidRDefault="002461EA" w:rsidP="002461EA">
      <w:pPr>
        <w:pStyle w:val="ListParagraph"/>
        <w:ind w:right="855"/>
        <w:jc w:val="both"/>
        <w:rPr>
          <w:rFonts w:eastAsia="Times New Roman" w:cstheme="minorHAnsi"/>
          <w:szCs w:val="24"/>
          <w:lang w:val="fr-CA" w:eastAsia="en-CA"/>
        </w:rPr>
      </w:pPr>
    </w:p>
    <w:p w14:paraId="264D4413" w14:textId="02BFCCB0" w:rsidR="002461EA" w:rsidRPr="003F1ABC" w:rsidRDefault="00C13E71"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fr-CA" w:eastAsia="en-CA"/>
        </w:rPr>
      </w:pPr>
      <w:r w:rsidRPr="003F1ABC">
        <w:rPr>
          <w:rFonts w:ascii="Arial" w:hAnsi="Arial"/>
          <w:color w:val="000000" w:themeColor="text1"/>
          <w:szCs w:val="24"/>
          <w:lang w:val="fr-CA"/>
        </w:rPr>
        <w:t>Lorsque l’inconduite s’est produite à plusieurs reprises, une recommandation d'indemnisation peut être moins méritée qu’en cas d’incident unique</w:t>
      </w:r>
      <w:r w:rsidR="005D0F4F" w:rsidRPr="003F1ABC">
        <w:rPr>
          <w:rFonts w:eastAsia="Times New Roman" w:cstheme="minorHAnsi"/>
          <w:szCs w:val="24"/>
          <w:lang w:val="fr-CA" w:eastAsia="en-CA"/>
        </w:rPr>
        <w:t>;</w:t>
      </w:r>
    </w:p>
    <w:p w14:paraId="7D394F49" w14:textId="77777777" w:rsidR="002461EA" w:rsidRPr="003F1ABC" w:rsidRDefault="002461EA" w:rsidP="002461EA">
      <w:pPr>
        <w:pStyle w:val="ListParagraph"/>
        <w:ind w:right="855"/>
        <w:jc w:val="both"/>
        <w:rPr>
          <w:rFonts w:eastAsia="Times New Roman" w:cstheme="minorHAnsi"/>
          <w:szCs w:val="24"/>
          <w:lang w:val="fr-CA" w:eastAsia="en-CA"/>
        </w:rPr>
      </w:pPr>
    </w:p>
    <w:p w14:paraId="259612F8" w14:textId="521ADFDB" w:rsidR="002461EA" w:rsidRPr="003F1ABC" w:rsidRDefault="00C13E71"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fr-CA" w:eastAsia="en-CA"/>
        </w:rPr>
      </w:pPr>
      <w:r w:rsidRPr="003F1ABC">
        <w:rPr>
          <w:rFonts w:ascii="Arial" w:hAnsi="Arial"/>
          <w:color w:val="000000" w:themeColor="text1"/>
          <w:szCs w:val="24"/>
          <w:lang w:val="fr-CA"/>
        </w:rPr>
        <w:t>De même, les cas répétés d’inconduite peuvent moins mériter une recommandation d'indemnisation qu’un incident isolé</w:t>
      </w:r>
      <w:r w:rsidR="005D0F4F" w:rsidRPr="003F1ABC">
        <w:rPr>
          <w:rFonts w:eastAsia="Times New Roman" w:cstheme="minorHAnsi"/>
          <w:szCs w:val="24"/>
          <w:lang w:val="fr-CA" w:eastAsia="en-CA"/>
        </w:rPr>
        <w:t>;</w:t>
      </w:r>
    </w:p>
    <w:p w14:paraId="09627B5B" w14:textId="77777777" w:rsidR="002461EA" w:rsidRPr="003F1ABC" w:rsidRDefault="002461EA" w:rsidP="002461EA">
      <w:pPr>
        <w:pStyle w:val="ListParagraph"/>
        <w:ind w:right="855"/>
        <w:jc w:val="both"/>
        <w:rPr>
          <w:rFonts w:eastAsia="Times New Roman" w:cstheme="minorHAnsi"/>
          <w:sz w:val="14"/>
          <w:szCs w:val="14"/>
          <w:lang w:val="fr-CA" w:eastAsia="en-CA"/>
        </w:rPr>
      </w:pPr>
    </w:p>
    <w:p w14:paraId="7603CABE" w14:textId="4A1E5AD0" w:rsidR="005D0F4F" w:rsidRPr="003F1ABC" w:rsidRDefault="00C13E71" w:rsidP="002461EA">
      <w:pPr>
        <w:pStyle w:val="ListParagraph"/>
        <w:numPr>
          <w:ilvl w:val="0"/>
          <w:numId w:val="26"/>
        </w:numPr>
        <w:spacing w:before="100" w:beforeAutospacing="1" w:after="100" w:afterAutospacing="1" w:line="240" w:lineRule="auto"/>
        <w:ind w:right="855"/>
        <w:jc w:val="both"/>
        <w:rPr>
          <w:rFonts w:eastAsia="Times New Roman" w:cstheme="minorHAnsi"/>
          <w:szCs w:val="24"/>
          <w:lang w:val="fr-CA" w:eastAsia="en-CA"/>
        </w:rPr>
      </w:pPr>
      <w:r w:rsidRPr="003F1ABC">
        <w:rPr>
          <w:rFonts w:eastAsia="Times New Roman" w:cstheme="minorHAnsi"/>
          <w:szCs w:val="24"/>
          <w:lang w:val="fr-CA" w:eastAsia="en-CA"/>
        </w:rPr>
        <w:t>Le comité d’audition décide si l’indemnisation ne devrait pas englober les coûts liés à des mesures inutiles ou infondées</w:t>
      </w:r>
      <w:r w:rsidR="005D0F4F" w:rsidRPr="003F1ABC">
        <w:rPr>
          <w:rFonts w:eastAsia="Times New Roman" w:cstheme="minorHAnsi"/>
          <w:szCs w:val="24"/>
          <w:lang w:val="fr-CA" w:eastAsia="en-CA"/>
        </w:rPr>
        <w:t>.</w:t>
      </w:r>
    </w:p>
    <w:p w14:paraId="617293CE" w14:textId="77777777" w:rsidR="00105EEC" w:rsidRPr="003F1ABC" w:rsidRDefault="00105EEC" w:rsidP="00AA31FD">
      <w:pPr>
        <w:pStyle w:val="ListParagraph"/>
        <w:rPr>
          <w:rFonts w:cstheme="minorHAnsi"/>
          <w:szCs w:val="24"/>
          <w:lang w:val="fr-CA"/>
        </w:rPr>
      </w:pPr>
    </w:p>
    <w:p w14:paraId="728B43B6" w14:textId="672ECD18" w:rsidR="007713E8" w:rsidRPr="003F1ABC" w:rsidRDefault="00C13E71" w:rsidP="007713E8">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t xml:space="preserve">Notre comité d’audition accepte également la jurisprudence qui a suivi la décision </w:t>
      </w:r>
      <w:proofErr w:type="spellStart"/>
      <w:r w:rsidR="00FD19EF" w:rsidRPr="003F1ABC">
        <w:rPr>
          <w:rFonts w:cstheme="minorHAnsi"/>
          <w:i/>
          <w:szCs w:val="24"/>
          <w:lang w:val="fr-CA"/>
        </w:rPr>
        <w:t>Massiah</w:t>
      </w:r>
      <w:proofErr w:type="spellEnd"/>
      <w:r w:rsidRPr="003F1ABC">
        <w:rPr>
          <w:rFonts w:cstheme="minorHAnsi"/>
          <w:szCs w:val="24"/>
          <w:lang w:val="fr-CA"/>
        </w:rPr>
        <w:t xml:space="preserve">, telle que mentionnée dans les observations de la juge de paix, qui </w:t>
      </w:r>
      <w:r w:rsidR="0007061D">
        <w:rPr>
          <w:rFonts w:cstheme="minorHAnsi"/>
          <w:szCs w:val="24"/>
          <w:lang w:val="fr-CA"/>
        </w:rPr>
        <w:t>accepte</w:t>
      </w:r>
      <w:r w:rsidRPr="003F1ABC">
        <w:rPr>
          <w:rFonts w:cstheme="minorHAnsi"/>
          <w:szCs w:val="24"/>
          <w:lang w:val="fr-CA"/>
        </w:rPr>
        <w:t xml:space="preserve"> ces facteurs</w:t>
      </w:r>
      <w:r w:rsidR="007713E8" w:rsidRPr="003F1ABC">
        <w:rPr>
          <w:rFonts w:cstheme="minorHAnsi"/>
          <w:szCs w:val="24"/>
          <w:lang w:val="fr-CA"/>
        </w:rPr>
        <w:t>.</w:t>
      </w:r>
    </w:p>
    <w:p w14:paraId="63B19CDE" w14:textId="77777777" w:rsidR="007713E8" w:rsidRPr="003F1ABC" w:rsidRDefault="007713E8" w:rsidP="007713E8">
      <w:pPr>
        <w:pStyle w:val="ListParagraph"/>
        <w:rPr>
          <w:rFonts w:cstheme="minorHAnsi"/>
          <w:szCs w:val="24"/>
          <w:lang w:val="fr-CA"/>
        </w:rPr>
      </w:pPr>
    </w:p>
    <w:p w14:paraId="2BE5B570" w14:textId="6B65AE24" w:rsidR="00AA31FD" w:rsidRPr="003F1ABC" w:rsidRDefault="00AA31FD" w:rsidP="00AA31FD">
      <w:pPr>
        <w:spacing w:line="240" w:lineRule="auto"/>
        <w:jc w:val="both"/>
        <w:rPr>
          <w:rFonts w:cstheme="minorHAnsi"/>
          <w:b/>
          <w:szCs w:val="24"/>
          <w:lang w:val="fr-CA"/>
        </w:rPr>
      </w:pPr>
      <w:r w:rsidRPr="003F1ABC">
        <w:rPr>
          <w:rFonts w:cstheme="minorHAnsi"/>
          <w:b/>
          <w:szCs w:val="24"/>
          <w:lang w:val="fr-CA"/>
        </w:rPr>
        <w:t>Analys</w:t>
      </w:r>
      <w:r w:rsidR="00C13E71" w:rsidRPr="003F1ABC">
        <w:rPr>
          <w:rFonts w:cstheme="minorHAnsi"/>
          <w:b/>
          <w:szCs w:val="24"/>
          <w:lang w:val="fr-CA"/>
        </w:rPr>
        <w:t>e</w:t>
      </w:r>
    </w:p>
    <w:p w14:paraId="2E5082A5" w14:textId="77777777" w:rsidR="00DE53BB" w:rsidRPr="003F1ABC" w:rsidRDefault="00DE53BB" w:rsidP="00DE53BB">
      <w:pPr>
        <w:pStyle w:val="ListParagraph"/>
        <w:spacing w:line="240" w:lineRule="auto"/>
        <w:ind w:left="709"/>
        <w:jc w:val="both"/>
        <w:rPr>
          <w:rFonts w:cstheme="minorHAnsi"/>
          <w:szCs w:val="24"/>
          <w:lang w:val="fr-CA"/>
        </w:rPr>
      </w:pPr>
    </w:p>
    <w:p w14:paraId="3C617A42" w14:textId="77B9F3B3" w:rsidR="00A01483" w:rsidRPr="003F1ABC" w:rsidRDefault="00C13E71" w:rsidP="00CA6745">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t xml:space="preserve">En examinant les circonstances de l’affaire en question, notre comité d’audition relève que l’inconduite judiciaire commise par la juge de paix </w:t>
      </w:r>
      <w:r w:rsidR="0007061D">
        <w:rPr>
          <w:rFonts w:cstheme="minorHAnsi"/>
          <w:szCs w:val="24"/>
          <w:lang w:val="fr-CA"/>
        </w:rPr>
        <w:t xml:space="preserve">avait un lien avec sa fonction </w:t>
      </w:r>
      <w:r w:rsidRPr="003F1ABC">
        <w:rPr>
          <w:rFonts w:cstheme="minorHAnsi"/>
          <w:szCs w:val="24"/>
          <w:lang w:val="fr-CA"/>
        </w:rPr>
        <w:t>judiciaire. La juge de paix présidait le tribunal des cautionnements au moment de l’inconduite</w:t>
      </w:r>
      <w:r w:rsidR="000F098E" w:rsidRPr="003F1ABC">
        <w:rPr>
          <w:rFonts w:cstheme="minorHAnsi"/>
          <w:szCs w:val="24"/>
          <w:lang w:val="fr-CA"/>
        </w:rPr>
        <w:t xml:space="preserve">. </w:t>
      </w:r>
    </w:p>
    <w:p w14:paraId="35A212EC" w14:textId="77777777" w:rsidR="00A01483" w:rsidRPr="003F1ABC" w:rsidRDefault="00A01483" w:rsidP="00A01483">
      <w:pPr>
        <w:pStyle w:val="ListParagraph"/>
        <w:spacing w:line="240" w:lineRule="auto"/>
        <w:ind w:left="709"/>
        <w:jc w:val="both"/>
        <w:rPr>
          <w:rFonts w:cstheme="minorHAnsi"/>
          <w:szCs w:val="24"/>
          <w:lang w:val="fr-CA"/>
        </w:rPr>
      </w:pPr>
    </w:p>
    <w:p w14:paraId="15D10760" w14:textId="4CBE7425" w:rsidR="002461EA" w:rsidRPr="003F1ABC" w:rsidRDefault="00C13E71" w:rsidP="00C13E71">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lastRenderedPageBreak/>
        <w:t>Il s’agit aussi de la première constatation d’inconduite judiciaire à l’égard de la juge de paix</w:t>
      </w:r>
      <w:r w:rsidR="00C26E31" w:rsidRPr="003F1ABC">
        <w:rPr>
          <w:rFonts w:cstheme="minorHAnsi"/>
          <w:szCs w:val="24"/>
          <w:lang w:val="fr-CA"/>
        </w:rPr>
        <w:t xml:space="preserve"> et il n’y avait qu’un cas d’inconduite devant nous</w:t>
      </w:r>
      <w:r w:rsidR="00F71793" w:rsidRPr="003F1ABC">
        <w:rPr>
          <w:rFonts w:cstheme="minorHAnsi"/>
          <w:szCs w:val="24"/>
          <w:lang w:val="fr-CA"/>
        </w:rPr>
        <w:t>.</w:t>
      </w:r>
      <w:r w:rsidR="00FD19EF" w:rsidRPr="003F1ABC">
        <w:rPr>
          <w:rFonts w:cstheme="minorHAnsi"/>
          <w:szCs w:val="24"/>
          <w:lang w:val="fr-CA"/>
        </w:rPr>
        <w:t xml:space="preserve"> </w:t>
      </w:r>
    </w:p>
    <w:p w14:paraId="0F14A327" w14:textId="77777777" w:rsidR="002461EA" w:rsidRPr="003F1ABC" w:rsidRDefault="002461EA" w:rsidP="002461EA">
      <w:pPr>
        <w:pStyle w:val="ListParagraph"/>
        <w:rPr>
          <w:rFonts w:cstheme="minorHAnsi"/>
          <w:szCs w:val="24"/>
          <w:lang w:val="fr-CA"/>
        </w:rPr>
      </w:pPr>
    </w:p>
    <w:p w14:paraId="4CE8174C" w14:textId="0429222A" w:rsidR="00CA6745" w:rsidRPr="003F1ABC" w:rsidRDefault="00C26E31" w:rsidP="00CA6745">
      <w:pPr>
        <w:pStyle w:val="ListParagraph"/>
        <w:numPr>
          <w:ilvl w:val="0"/>
          <w:numId w:val="8"/>
        </w:numPr>
        <w:spacing w:line="240" w:lineRule="auto"/>
        <w:ind w:left="709" w:hanging="709"/>
        <w:jc w:val="both"/>
        <w:rPr>
          <w:rFonts w:cstheme="minorHAnsi"/>
          <w:szCs w:val="24"/>
          <w:lang w:val="fr-CA"/>
        </w:rPr>
      </w:pPr>
      <w:r w:rsidRPr="003F1ABC">
        <w:rPr>
          <w:rFonts w:cstheme="minorHAnsi"/>
          <w:szCs w:val="24"/>
          <w:lang w:val="fr-CA"/>
        </w:rPr>
        <w:t>Ces trois facteurs sont favorables à une recommandation d’indemnisation</w:t>
      </w:r>
      <w:r w:rsidR="003F3702" w:rsidRPr="003F1ABC">
        <w:rPr>
          <w:rFonts w:cstheme="minorHAnsi"/>
          <w:szCs w:val="24"/>
          <w:lang w:val="fr-CA"/>
        </w:rPr>
        <w:t xml:space="preserve">.  </w:t>
      </w:r>
    </w:p>
    <w:p w14:paraId="7331A2C9" w14:textId="77777777" w:rsidR="00CA6745" w:rsidRPr="003F1ABC" w:rsidRDefault="00CA6745" w:rsidP="00CA6745">
      <w:pPr>
        <w:pStyle w:val="ListParagraph"/>
        <w:ind w:left="360"/>
        <w:jc w:val="both"/>
        <w:rPr>
          <w:rFonts w:ascii="Arial" w:hAnsi="Arial" w:cs="Arial"/>
          <w:szCs w:val="24"/>
          <w:lang w:val="fr-CA"/>
        </w:rPr>
      </w:pPr>
    </w:p>
    <w:p w14:paraId="32E40A0B" w14:textId="59B2325C" w:rsidR="003F3702" w:rsidRPr="003F1ABC" w:rsidRDefault="00A136BB" w:rsidP="003F3702">
      <w:pPr>
        <w:pStyle w:val="ListParagraph"/>
        <w:numPr>
          <w:ilvl w:val="0"/>
          <w:numId w:val="8"/>
        </w:numPr>
        <w:ind w:left="720" w:hanging="720"/>
        <w:jc w:val="both"/>
        <w:rPr>
          <w:rFonts w:ascii="Arial" w:hAnsi="Arial" w:cs="Arial"/>
          <w:szCs w:val="24"/>
          <w:lang w:val="fr-CA"/>
        </w:rPr>
      </w:pPr>
      <w:r w:rsidRPr="003F1ABC">
        <w:rPr>
          <w:rFonts w:ascii="Arial" w:hAnsi="Arial" w:cs="Arial"/>
          <w:color w:val="000000"/>
          <w:szCs w:val="24"/>
          <w:lang w:val="fr-CA"/>
        </w:rPr>
        <w:t>Cependant, l’inconduite judiciaire qu’a commise la juge de paix était grave</w:t>
      </w:r>
      <w:r w:rsidR="00A01483" w:rsidRPr="003F1ABC">
        <w:rPr>
          <w:rFonts w:ascii="Arial" w:hAnsi="Arial" w:cs="Arial"/>
          <w:color w:val="000000"/>
          <w:szCs w:val="24"/>
          <w:lang w:val="fr-CA"/>
        </w:rPr>
        <w:t xml:space="preserve">. </w:t>
      </w:r>
      <w:r w:rsidRPr="003F1ABC">
        <w:rPr>
          <w:rFonts w:ascii="Arial" w:hAnsi="Arial" w:cs="Arial"/>
          <w:color w:val="000000"/>
          <w:szCs w:val="24"/>
          <w:lang w:val="fr-CA"/>
        </w:rPr>
        <w:t>Elle a agi hâtivement, sans égard au droit de l’accusé à une audience sur la mise en liberté sous caution. Une inconduite de cette nature, par un juge de paix, a des répercussions sur le droit fondamental à la liberté d’un particulier. Il s’agit d’une inconduite que n’importe qui aurait qualifiée d’inacceptable. En raison de ces circonstances, une recommandation d’indemnisation est moins méritée</w:t>
      </w:r>
      <w:r w:rsidR="002461EA" w:rsidRPr="003F1ABC">
        <w:rPr>
          <w:rFonts w:ascii="Arial" w:hAnsi="Arial" w:cs="Arial"/>
          <w:color w:val="000000"/>
          <w:szCs w:val="24"/>
          <w:lang w:val="fr-CA"/>
        </w:rPr>
        <w:t xml:space="preserve">. </w:t>
      </w:r>
    </w:p>
    <w:p w14:paraId="7162213C" w14:textId="77777777" w:rsidR="003F3702" w:rsidRPr="003F1ABC" w:rsidRDefault="003F3702" w:rsidP="003F3702">
      <w:pPr>
        <w:pStyle w:val="ListParagraph"/>
        <w:rPr>
          <w:rFonts w:cstheme="minorHAnsi"/>
          <w:szCs w:val="24"/>
          <w:lang w:val="fr-CA"/>
        </w:rPr>
      </w:pPr>
    </w:p>
    <w:p w14:paraId="3AF1A779" w14:textId="1CAFB9E8" w:rsidR="00EC2037" w:rsidRPr="003F1ABC" w:rsidRDefault="00A136BB" w:rsidP="00EC2037">
      <w:pPr>
        <w:pStyle w:val="ListParagraph"/>
        <w:numPr>
          <w:ilvl w:val="0"/>
          <w:numId w:val="8"/>
        </w:numPr>
        <w:ind w:left="720" w:hanging="720"/>
        <w:jc w:val="both"/>
        <w:rPr>
          <w:rFonts w:ascii="Arial" w:hAnsi="Arial" w:cs="Arial"/>
          <w:szCs w:val="24"/>
          <w:lang w:val="fr-CA"/>
        </w:rPr>
      </w:pPr>
      <w:r w:rsidRPr="003F1ABC">
        <w:rPr>
          <w:rFonts w:cstheme="minorHAnsi"/>
          <w:szCs w:val="24"/>
          <w:lang w:val="fr-CA"/>
        </w:rPr>
        <w:t>Après avoir pesé les facteurs ci-dessus, notre comité d’audition conclut que dans les circonstances il est justifié de faire une recommandation d’indemnisation partielle</w:t>
      </w:r>
      <w:r w:rsidR="003F3702" w:rsidRPr="003F1ABC">
        <w:rPr>
          <w:rFonts w:cstheme="minorHAnsi"/>
          <w:szCs w:val="24"/>
          <w:lang w:val="fr-CA"/>
        </w:rPr>
        <w:t>.</w:t>
      </w:r>
    </w:p>
    <w:p w14:paraId="63B2A9B7" w14:textId="77777777" w:rsidR="00EC2037" w:rsidRPr="003F1ABC" w:rsidRDefault="00EC2037" w:rsidP="00EC2037">
      <w:pPr>
        <w:pStyle w:val="ListParagraph"/>
        <w:rPr>
          <w:rFonts w:ascii="Arial" w:hAnsi="Arial" w:cs="Arial"/>
          <w:szCs w:val="24"/>
          <w:lang w:val="fr-CA"/>
        </w:rPr>
      </w:pPr>
    </w:p>
    <w:p w14:paraId="70F372AD" w14:textId="11339AC4" w:rsidR="008F21D1" w:rsidRPr="003F1ABC" w:rsidRDefault="00C4739F" w:rsidP="001412EC">
      <w:pPr>
        <w:pStyle w:val="ListParagraph"/>
        <w:numPr>
          <w:ilvl w:val="0"/>
          <w:numId w:val="8"/>
        </w:numPr>
        <w:spacing w:after="0" w:line="240" w:lineRule="auto"/>
        <w:ind w:left="709" w:hanging="709"/>
        <w:jc w:val="both"/>
        <w:rPr>
          <w:rFonts w:cstheme="minorHAnsi"/>
          <w:szCs w:val="24"/>
          <w:lang w:val="fr-CA"/>
        </w:rPr>
      </w:pPr>
      <w:r w:rsidRPr="003F1ABC">
        <w:rPr>
          <w:rFonts w:cstheme="minorHAnsi"/>
          <w:szCs w:val="24"/>
          <w:lang w:val="fr-CA"/>
        </w:rPr>
        <w:t xml:space="preserve">La juge de paix a suivi une formation judiciaire auprès de l’honorable </w:t>
      </w:r>
      <w:r w:rsidR="008F21D1" w:rsidRPr="003F1ABC">
        <w:rPr>
          <w:rFonts w:cstheme="minorHAnsi"/>
          <w:szCs w:val="24"/>
          <w:lang w:val="fr-CA"/>
        </w:rPr>
        <w:t xml:space="preserve">Jack Nadelle </w:t>
      </w:r>
      <w:r w:rsidRPr="003F1ABC">
        <w:rPr>
          <w:rFonts w:cstheme="minorHAnsi"/>
          <w:szCs w:val="24"/>
          <w:lang w:val="fr-CA"/>
        </w:rPr>
        <w:t>de sa propre initiative et cette formation portait sur le droit régissant la mise en liberté sous caution et l’éthique qu’un juge de paix devrait connaître</w:t>
      </w:r>
      <w:r w:rsidR="008F21D1" w:rsidRPr="003F1ABC">
        <w:rPr>
          <w:rFonts w:cstheme="minorHAnsi"/>
          <w:szCs w:val="24"/>
          <w:lang w:val="fr-CA"/>
        </w:rPr>
        <w:t xml:space="preserve">. </w:t>
      </w:r>
      <w:r w:rsidRPr="003F1ABC">
        <w:rPr>
          <w:rFonts w:cstheme="minorHAnsi"/>
          <w:szCs w:val="24"/>
          <w:lang w:val="fr-CA"/>
        </w:rPr>
        <w:t>Les coûts liés à cette formation devraient être aux frais de la juge de la paix</w:t>
      </w:r>
      <w:r w:rsidR="008F21D1" w:rsidRPr="003F1ABC">
        <w:rPr>
          <w:rFonts w:cstheme="minorHAnsi"/>
          <w:szCs w:val="24"/>
          <w:lang w:val="fr-CA"/>
        </w:rPr>
        <w:t>.</w:t>
      </w:r>
    </w:p>
    <w:p w14:paraId="3719E632" w14:textId="77777777" w:rsidR="008F21D1" w:rsidRPr="003F1ABC" w:rsidRDefault="008F21D1" w:rsidP="008F21D1">
      <w:pPr>
        <w:spacing w:after="0" w:line="240" w:lineRule="auto"/>
        <w:jc w:val="both"/>
        <w:rPr>
          <w:rFonts w:cstheme="minorHAnsi"/>
          <w:szCs w:val="24"/>
          <w:lang w:val="fr-CA"/>
        </w:rPr>
      </w:pPr>
    </w:p>
    <w:p w14:paraId="1E4ED11D" w14:textId="0653D1AB" w:rsidR="003621E6" w:rsidRPr="0007061D" w:rsidRDefault="00C4739F" w:rsidP="003621E6">
      <w:pPr>
        <w:pStyle w:val="ListParagraph"/>
        <w:numPr>
          <w:ilvl w:val="0"/>
          <w:numId w:val="8"/>
        </w:numPr>
        <w:ind w:left="709" w:hanging="709"/>
        <w:jc w:val="both"/>
        <w:rPr>
          <w:rFonts w:cstheme="minorHAnsi"/>
          <w:szCs w:val="24"/>
          <w:lang w:val="fr-CA"/>
        </w:rPr>
      </w:pPr>
      <w:r w:rsidRPr="003F1ABC">
        <w:rPr>
          <w:rFonts w:cstheme="minorHAnsi"/>
          <w:szCs w:val="24"/>
          <w:lang w:val="fr-CA"/>
        </w:rPr>
        <w:t xml:space="preserve">Par ailleurs, notre comité d’audition accepte les observations de l’avocat chargé de la présentation selon lesquelles la motion préparatoire à l’audience de la juge de paix visant à annuler certaines allégations contenues dans l’Avis d’audience au motif qu’elles sortent du champ de compétence du Conseil d’évaluation, bien que pas frivole, a causé </w:t>
      </w:r>
      <w:r w:rsidRPr="0007061D">
        <w:rPr>
          <w:rFonts w:cstheme="minorHAnsi"/>
          <w:szCs w:val="24"/>
          <w:lang w:val="fr-CA"/>
        </w:rPr>
        <w:t>« un dédoublement d’arguments et d’efforts »</w:t>
      </w:r>
      <w:r w:rsidR="00CA6745" w:rsidRPr="0007061D">
        <w:rPr>
          <w:rFonts w:cstheme="minorHAnsi"/>
          <w:szCs w:val="24"/>
          <w:lang w:val="fr-CA"/>
        </w:rPr>
        <w:t xml:space="preserve">. </w:t>
      </w:r>
    </w:p>
    <w:p w14:paraId="50B9000E" w14:textId="77777777" w:rsidR="003621E6" w:rsidRPr="003F1ABC" w:rsidRDefault="003621E6" w:rsidP="003621E6">
      <w:pPr>
        <w:pStyle w:val="ListParagraph"/>
        <w:rPr>
          <w:rFonts w:cstheme="minorHAnsi"/>
          <w:szCs w:val="24"/>
          <w:lang w:val="fr-CA"/>
        </w:rPr>
      </w:pPr>
    </w:p>
    <w:p w14:paraId="4784482E" w14:textId="2CED4160" w:rsidR="00CA6745" w:rsidRPr="003F1ABC" w:rsidRDefault="00905FA1" w:rsidP="00D27AFC">
      <w:pPr>
        <w:pStyle w:val="ListParagraph"/>
        <w:numPr>
          <w:ilvl w:val="0"/>
          <w:numId w:val="8"/>
        </w:numPr>
        <w:ind w:left="720" w:hanging="720"/>
        <w:jc w:val="both"/>
        <w:rPr>
          <w:rFonts w:ascii="Arial" w:hAnsi="Arial" w:cs="Arial"/>
          <w:szCs w:val="24"/>
          <w:lang w:val="fr-CA"/>
        </w:rPr>
      </w:pPr>
      <w:r w:rsidRPr="003F1ABC">
        <w:rPr>
          <w:rFonts w:cstheme="minorHAnsi"/>
          <w:szCs w:val="24"/>
          <w:lang w:val="fr-CA"/>
        </w:rPr>
        <w:t>Dans sa décision, le comité d’audition a fait observer que « </w:t>
      </w:r>
      <w:r w:rsidRPr="003F1ABC">
        <w:rPr>
          <w:rFonts w:eastAsia="Times New Roman" w:cstheme="minorHAnsi"/>
          <w:szCs w:val="24"/>
          <w:lang w:val="fr-CA" w:eastAsia="en-CA"/>
        </w:rPr>
        <w:t>La date à laquelle cette motion préalable à l’audience a été présentée était malencontreuse. Une date antérieure, avant la date prévue pour le début de l’audition des preuves, aurait dû être demandée pour les plaidoiries, pour nous permettre de fournir des motifs plus détaillés, avant le début de l’audience</w:t>
      </w:r>
      <w:r w:rsidR="00DF2015" w:rsidRPr="003F1ABC">
        <w:rPr>
          <w:rFonts w:eastAsia="Times New Roman" w:cstheme="minorHAnsi"/>
          <w:szCs w:val="24"/>
          <w:lang w:val="fr-CA" w:eastAsia="en-CA"/>
        </w:rPr>
        <w:t> »</w:t>
      </w:r>
      <w:r w:rsidR="003621E6" w:rsidRPr="003F1ABC">
        <w:rPr>
          <w:rFonts w:cstheme="minorHAnsi"/>
          <w:szCs w:val="24"/>
          <w:lang w:val="fr-CA"/>
        </w:rPr>
        <w:t xml:space="preserve">. </w:t>
      </w:r>
      <w:r w:rsidR="00DF2015" w:rsidRPr="003F1ABC">
        <w:rPr>
          <w:rFonts w:cstheme="minorHAnsi"/>
          <w:szCs w:val="24"/>
          <w:lang w:val="fr-CA"/>
        </w:rPr>
        <w:t>Le fondement de cette motion était « exactement la même question qui formait le gros des arguments à la fin de l’audience ». En conséquence, la juge de paix ne devrait pas être indemnisée des coûts relatifs à cette motion.</w:t>
      </w:r>
      <w:r w:rsidR="009C16E5" w:rsidRPr="003F1ABC">
        <w:rPr>
          <w:rFonts w:cstheme="minorHAnsi"/>
          <w:szCs w:val="24"/>
          <w:lang w:val="fr-CA"/>
        </w:rPr>
        <w:t xml:space="preserve"> </w:t>
      </w:r>
    </w:p>
    <w:p w14:paraId="38D1EB32" w14:textId="77777777" w:rsidR="00CA6745" w:rsidRPr="003F1ABC" w:rsidRDefault="00CA6745" w:rsidP="00CA6745">
      <w:pPr>
        <w:pStyle w:val="ListParagraph"/>
        <w:rPr>
          <w:rFonts w:cstheme="minorHAnsi"/>
          <w:szCs w:val="24"/>
          <w:lang w:val="fr-CA"/>
        </w:rPr>
      </w:pPr>
    </w:p>
    <w:p w14:paraId="0C8A668E" w14:textId="43794C1D" w:rsidR="009777D5" w:rsidRPr="003F1ABC" w:rsidRDefault="00DF2015" w:rsidP="009D2002">
      <w:pPr>
        <w:pStyle w:val="ListParagraph"/>
        <w:numPr>
          <w:ilvl w:val="0"/>
          <w:numId w:val="8"/>
        </w:numPr>
        <w:ind w:left="709" w:hanging="709"/>
        <w:jc w:val="both"/>
        <w:rPr>
          <w:rFonts w:cstheme="minorHAnsi"/>
          <w:szCs w:val="24"/>
          <w:lang w:val="fr-CA"/>
        </w:rPr>
      </w:pPr>
      <w:r w:rsidRPr="003F1ABC">
        <w:rPr>
          <w:rFonts w:cstheme="minorHAnsi"/>
          <w:szCs w:val="24"/>
          <w:lang w:val="fr-CA"/>
        </w:rPr>
        <w:t>En plus de tenir compte des circonstances du cas particulier, nous devons prendre en considération l’objectif du processus disciplinaire à l’encontre de</w:t>
      </w:r>
      <w:r w:rsidR="0007061D">
        <w:rPr>
          <w:rFonts w:cstheme="minorHAnsi"/>
          <w:szCs w:val="24"/>
          <w:lang w:val="fr-CA"/>
        </w:rPr>
        <w:t>s juges</w:t>
      </w:r>
      <w:r w:rsidRPr="003F1ABC">
        <w:rPr>
          <w:rFonts w:cstheme="minorHAnsi"/>
          <w:szCs w:val="24"/>
          <w:lang w:val="fr-CA"/>
        </w:rPr>
        <w:t>, qui est de préserver la confiance du public dans l’intégrité de la magistrature en général</w:t>
      </w:r>
      <w:r w:rsidR="009777D5" w:rsidRPr="003F1ABC">
        <w:rPr>
          <w:rFonts w:cstheme="minorHAnsi"/>
          <w:szCs w:val="24"/>
          <w:lang w:val="fr-CA"/>
        </w:rPr>
        <w:t>.</w:t>
      </w:r>
    </w:p>
    <w:p w14:paraId="5F53FA4B" w14:textId="77777777" w:rsidR="009777D5" w:rsidRPr="003F1ABC" w:rsidRDefault="009777D5" w:rsidP="009D2002">
      <w:pPr>
        <w:pStyle w:val="ListParagraph"/>
        <w:jc w:val="both"/>
        <w:rPr>
          <w:rFonts w:cstheme="minorHAnsi"/>
          <w:szCs w:val="24"/>
          <w:lang w:val="fr-CA"/>
        </w:rPr>
      </w:pPr>
    </w:p>
    <w:p w14:paraId="1F47D514" w14:textId="68828A1D" w:rsidR="0093267D" w:rsidRPr="003F1ABC" w:rsidRDefault="00DF2015" w:rsidP="0093267D">
      <w:pPr>
        <w:pStyle w:val="ListParagraph"/>
        <w:numPr>
          <w:ilvl w:val="0"/>
          <w:numId w:val="8"/>
        </w:numPr>
        <w:ind w:left="709" w:hanging="709"/>
        <w:jc w:val="both"/>
        <w:rPr>
          <w:rFonts w:eastAsia="Times New Roman" w:cstheme="minorHAnsi"/>
          <w:szCs w:val="24"/>
          <w:lang w:val="fr-CA" w:eastAsia="en-CA"/>
        </w:rPr>
      </w:pPr>
      <w:r w:rsidRPr="003F1ABC">
        <w:rPr>
          <w:rFonts w:cstheme="minorHAnsi"/>
          <w:szCs w:val="24"/>
          <w:lang w:val="fr-CA"/>
        </w:rPr>
        <w:t xml:space="preserve">Notre comité d’audition recommande au procureur général que la juge de paix soit indemnisée d’un montant </w:t>
      </w:r>
      <w:r w:rsidR="0007061D">
        <w:rPr>
          <w:rFonts w:cstheme="minorHAnsi"/>
          <w:szCs w:val="24"/>
          <w:lang w:val="fr-CA"/>
        </w:rPr>
        <w:t xml:space="preserve">de </w:t>
      </w:r>
      <w:r w:rsidR="00CA6745" w:rsidRPr="003F1ABC">
        <w:rPr>
          <w:rFonts w:cstheme="minorHAnsi"/>
          <w:szCs w:val="24"/>
          <w:lang w:val="fr-CA"/>
        </w:rPr>
        <w:t>127</w:t>
      </w:r>
      <w:r w:rsidRPr="003F1ABC">
        <w:rPr>
          <w:rFonts w:cstheme="minorHAnsi"/>
          <w:szCs w:val="24"/>
          <w:lang w:val="fr-CA"/>
        </w:rPr>
        <w:t> </w:t>
      </w:r>
      <w:r w:rsidR="00CA6745" w:rsidRPr="003F1ABC">
        <w:rPr>
          <w:rFonts w:cstheme="minorHAnsi"/>
          <w:szCs w:val="24"/>
          <w:lang w:val="fr-CA"/>
        </w:rPr>
        <w:t>000</w:t>
      </w:r>
      <w:r w:rsidRPr="003F1ABC">
        <w:rPr>
          <w:rFonts w:cstheme="minorHAnsi"/>
          <w:szCs w:val="24"/>
          <w:lang w:val="fr-CA"/>
        </w:rPr>
        <w:t xml:space="preserve"> $ au titre de ses frais pour services </w:t>
      </w:r>
      <w:r w:rsidRPr="003F1ABC">
        <w:rPr>
          <w:rFonts w:cstheme="minorHAnsi"/>
          <w:szCs w:val="24"/>
          <w:lang w:val="fr-CA"/>
        </w:rPr>
        <w:lastRenderedPageBreak/>
        <w:t xml:space="preserve">juridiques, plus la TVH d’un montant </w:t>
      </w:r>
      <w:r w:rsidR="0093267D" w:rsidRPr="003F1ABC">
        <w:rPr>
          <w:rFonts w:cstheme="minorHAnsi"/>
          <w:szCs w:val="24"/>
          <w:lang w:val="fr-CA"/>
        </w:rPr>
        <w:t>16</w:t>
      </w:r>
      <w:r w:rsidRPr="003F1ABC">
        <w:rPr>
          <w:rFonts w:cstheme="minorHAnsi"/>
          <w:szCs w:val="24"/>
          <w:lang w:val="fr-CA"/>
        </w:rPr>
        <w:t> </w:t>
      </w:r>
      <w:r w:rsidR="0093267D" w:rsidRPr="003F1ABC">
        <w:rPr>
          <w:rFonts w:cstheme="minorHAnsi"/>
          <w:szCs w:val="24"/>
          <w:lang w:val="fr-CA"/>
        </w:rPr>
        <w:t>510</w:t>
      </w:r>
      <w:r w:rsidRPr="003F1ABC">
        <w:rPr>
          <w:rFonts w:cstheme="minorHAnsi"/>
          <w:szCs w:val="24"/>
          <w:lang w:val="fr-CA"/>
        </w:rPr>
        <w:t xml:space="preserve"> $ calculée sur </w:t>
      </w:r>
      <w:r w:rsidR="0007061D">
        <w:rPr>
          <w:rFonts w:cstheme="minorHAnsi"/>
          <w:szCs w:val="24"/>
          <w:lang w:val="fr-CA"/>
        </w:rPr>
        <w:t>le montant des frais pour services juridiques</w:t>
      </w:r>
      <w:r w:rsidR="0093267D" w:rsidRPr="003F1ABC">
        <w:rPr>
          <w:rFonts w:cstheme="minorHAnsi"/>
          <w:szCs w:val="24"/>
          <w:lang w:val="fr-CA"/>
        </w:rPr>
        <w:t>.</w:t>
      </w:r>
    </w:p>
    <w:p w14:paraId="21C62ABF" w14:textId="77777777" w:rsidR="0093267D" w:rsidRPr="003F1ABC" w:rsidRDefault="0093267D" w:rsidP="0093267D">
      <w:pPr>
        <w:pStyle w:val="ListParagraph"/>
        <w:rPr>
          <w:rFonts w:cstheme="minorHAnsi"/>
          <w:szCs w:val="24"/>
          <w:lang w:val="fr-CA"/>
        </w:rPr>
      </w:pPr>
    </w:p>
    <w:p w14:paraId="20468C5A" w14:textId="6A59BB61" w:rsidR="0093267D" w:rsidRPr="003F1ABC" w:rsidRDefault="00DF2015" w:rsidP="0093267D">
      <w:pPr>
        <w:pStyle w:val="ListParagraph"/>
        <w:numPr>
          <w:ilvl w:val="0"/>
          <w:numId w:val="8"/>
        </w:numPr>
        <w:ind w:left="709" w:hanging="709"/>
        <w:jc w:val="both"/>
        <w:rPr>
          <w:rFonts w:eastAsia="Times New Roman" w:cstheme="minorHAnsi"/>
          <w:szCs w:val="24"/>
          <w:lang w:val="fr-CA" w:eastAsia="en-CA"/>
        </w:rPr>
      </w:pPr>
      <w:r w:rsidRPr="003F1ABC">
        <w:rPr>
          <w:rFonts w:cstheme="minorHAnsi"/>
          <w:szCs w:val="24"/>
          <w:lang w:val="fr-CA"/>
        </w:rPr>
        <w:t xml:space="preserve">Notre comité d’audition recommande que la juge de paix soit indemnisée de ses frais au titre des débours d’un montant </w:t>
      </w:r>
      <w:r w:rsidR="0007061D">
        <w:rPr>
          <w:rFonts w:cstheme="minorHAnsi"/>
          <w:szCs w:val="24"/>
          <w:lang w:val="fr-CA"/>
        </w:rPr>
        <w:t xml:space="preserve">de </w:t>
      </w:r>
      <w:r w:rsidR="00CA6745" w:rsidRPr="003F1ABC">
        <w:rPr>
          <w:rFonts w:cstheme="minorHAnsi"/>
          <w:szCs w:val="24"/>
          <w:lang w:val="fr-CA"/>
        </w:rPr>
        <w:t>8</w:t>
      </w:r>
      <w:r w:rsidRPr="003F1ABC">
        <w:rPr>
          <w:rFonts w:cstheme="minorHAnsi"/>
          <w:szCs w:val="24"/>
          <w:lang w:val="fr-CA"/>
        </w:rPr>
        <w:t> </w:t>
      </w:r>
      <w:r w:rsidR="00CA6745" w:rsidRPr="003F1ABC">
        <w:rPr>
          <w:rFonts w:cstheme="minorHAnsi"/>
          <w:szCs w:val="24"/>
          <w:lang w:val="fr-CA"/>
        </w:rPr>
        <w:t>329</w:t>
      </w:r>
      <w:r w:rsidRPr="003F1ABC">
        <w:rPr>
          <w:rFonts w:cstheme="minorHAnsi"/>
          <w:szCs w:val="24"/>
          <w:lang w:val="fr-CA"/>
        </w:rPr>
        <w:t>,</w:t>
      </w:r>
      <w:r w:rsidR="00CA6745" w:rsidRPr="003F1ABC">
        <w:rPr>
          <w:rFonts w:cstheme="minorHAnsi"/>
          <w:szCs w:val="24"/>
          <w:lang w:val="fr-CA"/>
        </w:rPr>
        <w:t>51</w:t>
      </w:r>
      <w:r w:rsidRPr="003F1ABC">
        <w:rPr>
          <w:rFonts w:cstheme="minorHAnsi"/>
          <w:szCs w:val="24"/>
          <w:lang w:val="fr-CA"/>
        </w:rPr>
        <w:t xml:space="preserve"> $, TVH comprise</w:t>
      </w:r>
      <w:r w:rsidR="0093267D" w:rsidRPr="003F1ABC">
        <w:rPr>
          <w:rFonts w:cstheme="minorHAnsi"/>
          <w:szCs w:val="24"/>
          <w:lang w:val="fr-CA"/>
        </w:rPr>
        <w:t xml:space="preserve">. </w:t>
      </w:r>
    </w:p>
    <w:p w14:paraId="05846829" w14:textId="77777777" w:rsidR="0093267D" w:rsidRPr="003F1ABC" w:rsidRDefault="0093267D" w:rsidP="0093267D">
      <w:pPr>
        <w:pStyle w:val="ListParagraph"/>
        <w:rPr>
          <w:rFonts w:eastAsia="Times New Roman" w:cstheme="minorHAnsi"/>
          <w:szCs w:val="24"/>
          <w:lang w:val="fr-CA" w:eastAsia="en-CA"/>
        </w:rPr>
      </w:pPr>
    </w:p>
    <w:p w14:paraId="27B5D3A0" w14:textId="11DF4019" w:rsidR="0093267D" w:rsidRPr="003F1ABC" w:rsidRDefault="00DF2015" w:rsidP="0093267D">
      <w:pPr>
        <w:pStyle w:val="ListParagraph"/>
        <w:numPr>
          <w:ilvl w:val="0"/>
          <w:numId w:val="8"/>
        </w:numPr>
        <w:jc w:val="both"/>
        <w:rPr>
          <w:rFonts w:eastAsia="Times New Roman" w:cstheme="minorHAnsi"/>
          <w:szCs w:val="24"/>
          <w:lang w:val="fr-CA" w:eastAsia="en-CA"/>
        </w:rPr>
      </w:pPr>
      <w:r w:rsidRPr="003F1ABC">
        <w:rPr>
          <w:rFonts w:eastAsia="Times New Roman" w:cstheme="minorHAnsi"/>
          <w:szCs w:val="24"/>
          <w:lang w:val="fr-CA" w:eastAsia="en-CA"/>
        </w:rPr>
        <w:t xml:space="preserve">Le montant total d’indemnisation recommandé est de </w:t>
      </w:r>
      <w:r w:rsidR="0093267D" w:rsidRPr="003F1ABC">
        <w:rPr>
          <w:rFonts w:eastAsia="Times New Roman" w:cstheme="minorHAnsi"/>
          <w:szCs w:val="24"/>
          <w:lang w:val="fr-CA" w:eastAsia="en-CA"/>
        </w:rPr>
        <w:t>151</w:t>
      </w:r>
      <w:r w:rsidRPr="003F1ABC">
        <w:rPr>
          <w:rFonts w:eastAsia="Times New Roman" w:cstheme="minorHAnsi"/>
          <w:szCs w:val="24"/>
          <w:lang w:val="fr-CA" w:eastAsia="en-CA"/>
        </w:rPr>
        <w:t xml:space="preserve"> </w:t>
      </w:r>
      <w:r w:rsidR="0093267D" w:rsidRPr="003F1ABC">
        <w:rPr>
          <w:rFonts w:eastAsia="Times New Roman" w:cstheme="minorHAnsi"/>
          <w:szCs w:val="24"/>
          <w:lang w:val="fr-CA" w:eastAsia="en-CA"/>
        </w:rPr>
        <w:t>839</w:t>
      </w:r>
      <w:r w:rsidRPr="003F1ABC">
        <w:rPr>
          <w:rFonts w:eastAsia="Times New Roman" w:cstheme="minorHAnsi"/>
          <w:szCs w:val="24"/>
          <w:lang w:val="fr-CA" w:eastAsia="en-CA"/>
        </w:rPr>
        <w:t>,</w:t>
      </w:r>
      <w:r w:rsidR="0093267D" w:rsidRPr="003F1ABC">
        <w:rPr>
          <w:rFonts w:eastAsia="Times New Roman" w:cstheme="minorHAnsi"/>
          <w:szCs w:val="24"/>
          <w:lang w:val="fr-CA" w:eastAsia="en-CA"/>
        </w:rPr>
        <w:t>51</w:t>
      </w:r>
      <w:r w:rsidRPr="003F1ABC">
        <w:rPr>
          <w:rFonts w:eastAsia="Times New Roman" w:cstheme="minorHAnsi"/>
          <w:szCs w:val="24"/>
          <w:lang w:val="fr-CA" w:eastAsia="en-CA"/>
        </w:rPr>
        <w:t xml:space="preserve"> $</w:t>
      </w:r>
      <w:r w:rsidR="0093267D" w:rsidRPr="003F1ABC">
        <w:rPr>
          <w:rFonts w:eastAsia="Times New Roman" w:cstheme="minorHAnsi"/>
          <w:szCs w:val="24"/>
          <w:lang w:val="fr-CA" w:eastAsia="en-CA"/>
        </w:rPr>
        <w:t>.</w:t>
      </w:r>
    </w:p>
    <w:p w14:paraId="4D831FF4" w14:textId="77777777" w:rsidR="0093267D" w:rsidRPr="003F1ABC" w:rsidRDefault="0093267D" w:rsidP="0093267D">
      <w:pPr>
        <w:pStyle w:val="ListParagraph"/>
        <w:rPr>
          <w:rFonts w:eastAsia="Times New Roman" w:cstheme="minorHAnsi"/>
          <w:szCs w:val="24"/>
          <w:lang w:val="fr-CA" w:eastAsia="en-CA"/>
        </w:rPr>
      </w:pPr>
    </w:p>
    <w:p w14:paraId="56862A0E" w14:textId="42D6F546" w:rsidR="006F43EA" w:rsidRPr="003F1ABC" w:rsidRDefault="00DF2015" w:rsidP="0093267D">
      <w:pPr>
        <w:jc w:val="both"/>
        <w:rPr>
          <w:rFonts w:eastAsia="Times New Roman" w:cstheme="minorHAnsi"/>
          <w:szCs w:val="24"/>
          <w:lang w:val="fr-CA" w:eastAsia="en-CA"/>
        </w:rPr>
      </w:pPr>
      <w:r w:rsidRPr="003F1ABC">
        <w:rPr>
          <w:rFonts w:eastAsia="Times New Roman" w:cstheme="minorHAnsi"/>
          <w:szCs w:val="24"/>
          <w:lang w:val="fr-CA" w:eastAsia="en-CA"/>
        </w:rPr>
        <w:t>Fait dans la ville de Toronto, dans la province de l’Ontario, le 5 octobre</w:t>
      </w:r>
      <w:r w:rsidR="008B54AC" w:rsidRPr="003F1ABC">
        <w:rPr>
          <w:rFonts w:eastAsia="Times New Roman" w:cstheme="minorHAnsi"/>
          <w:szCs w:val="24"/>
          <w:lang w:val="fr-CA" w:eastAsia="en-CA"/>
        </w:rPr>
        <w:t xml:space="preserve"> </w:t>
      </w:r>
      <w:r w:rsidR="006F43EA" w:rsidRPr="003F1ABC">
        <w:rPr>
          <w:rFonts w:eastAsia="Times New Roman" w:cstheme="minorHAnsi"/>
          <w:szCs w:val="24"/>
          <w:lang w:val="fr-CA" w:eastAsia="en-CA"/>
        </w:rPr>
        <w:t>20</w:t>
      </w:r>
      <w:r w:rsidR="001F2FA1" w:rsidRPr="003F1ABC">
        <w:rPr>
          <w:rFonts w:eastAsia="Times New Roman" w:cstheme="minorHAnsi"/>
          <w:szCs w:val="24"/>
          <w:lang w:val="fr-CA" w:eastAsia="en-CA"/>
        </w:rPr>
        <w:t>20</w:t>
      </w:r>
      <w:r w:rsidR="006F43EA" w:rsidRPr="003F1ABC">
        <w:rPr>
          <w:rFonts w:eastAsia="Times New Roman" w:cstheme="minorHAnsi"/>
          <w:szCs w:val="24"/>
          <w:lang w:val="fr-CA" w:eastAsia="en-CA"/>
        </w:rPr>
        <w:t xml:space="preserve">. </w:t>
      </w:r>
    </w:p>
    <w:p w14:paraId="74083A78" w14:textId="77777777" w:rsidR="006F43EA" w:rsidRPr="003F1ABC" w:rsidRDefault="006F43EA" w:rsidP="00E27DD6">
      <w:pPr>
        <w:spacing w:after="0" w:line="240" w:lineRule="auto"/>
        <w:ind w:right="-446" w:hanging="360"/>
        <w:rPr>
          <w:rFonts w:eastAsia="Times New Roman" w:cstheme="minorHAnsi"/>
          <w:szCs w:val="24"/>
          <w:lang w:val="fr-CA" w:eastAsia="en-CA"/>
        </w:rPr>
      </w:pPr>
    </w:p>
    <w:p w14:paraId="182B68EA" w14:textId="77777777" w:rsidR="00DF2015" w:rsidRPr="003F1ABC" w:rsidRDefault="00DF2015" w:rsidP="00DF2015">
      <w:pPr>
        <w:spacing w:after="0" w:line="240" w:lineRule="auto"/>
        <w:ind w:right="-446"/>
        <w:rPr>
          <w:rFonts w:eastAsia="Times New Roman" w:cstheme="minorHAnsi"/>
          <w:szCs w:val="24"/>
          <w:lang w:val="fr-CA" w:eastAsia="en-CA"/>
        </w:rPr>
      </w:pPr>
      <w:r w:rsidRPr="003F1ABC">
        <w:rPr>
          <w:rFonts w:eastAsia="Times New Roman" w:cstheme="minorHAnsi"/>
          <w:szCs w:val="24"/>
          <w:lang w:val="fr-CA" w:eastAsia="en-CA"/>
        </w:rPr>
        <w:t>COMITÉ D’AUDITION :</w:t>
      </w:r>
    </w:p>
    <w:p w14:paraId="54648D02" w14:textId="77777777" w:rsidR="00DF2015" w:rsidRPr="003F1ABC" w:rsidRDefault="00DF2015" w:rsidP="00DF2015">
      <w:pPr>
        <w:spacing w:before="240" w:after="240" w:line="240" w:lineRule="auto"/>
        <w:ind w:right="-448"/>
        <w:rPr>
          <w:rFonts w:eastAsia="Times New Roman" w:cstheme="minorHAnsi"/>
          <w:szCs w:val="24"/>
          <w:lang w:val="fr-CA" w:eastAsia="en-CA"/>
        </w:rPr>
      </w:pPr>
      <w:r w:rsidRPr="003F1ABC">
        <w:rPr>
          <w:rFonts w:cstheme="minorHAnsi"/>
          <w:szCs w:val="24"/>
          <w:lang w:val="fr-CA"/>
        </w:rPr>
        <w:t xml:space="preserve">L’honorable juge </w:t>
      </w:r>
      <w:r w:rsidRPr="003F1ABC">
        <w:rPr>
          <w:rFonts w:eastAsia="Times New Roman" w:cstheme="minorHAnsi"/>
          <w:szCs w:val="24"/>
          <w:lang w:val="fr-CA" w:eastAsia="en-CA"/>
        </w:rPr>
        <w:t>Martin Lambert, président</w:t>
      </w:r>
    </w:p>
    <w:p w14:paraId="308261D1" w14:textId="77777777" w:rsidR="00DF2015" w:rsidRPr="003F1ABC" w:rsidRDefault="00DF2015" w:rsidP="00DF2015">
      <w:pPr>
        <w:spacing w:before="240" w:after="240" w:line="240" w:lineRule="auto"/>
        <w:ind w:right="-448"/>
        <w:rPr>
          <w:rFonts w:eastAsia="Times New Roman" w:cstheme="minorHAnsi"/>
          <w:szCs w:val="24"/>
          <w:lang w:val="fr-CA" w:eastAsia="en-CA"/>
        </w:rPr>
      </w:pPr>
      <w:r w:rsidRPr="003F1ABC">
        <w:rPr>
          <w:rFonts w:cstheme="minorHAnsi"/>
          <w:szCs w:val="24"/>
          <w:lang w:val="fr-CA"/>
        </w:rPr>
        <w:t>La juge de paix Kristine Diaz, membre juge de paix</w:t>
      </w:r>
    </w:p>
    <w:p w14:paraId="14EF4B79" w14:textId="77777777" w:rsidR="00DF2015" w:rsidRPr="003F1ABC" w:rsidRDefault="00DF2015" w:rsidP="00DF2015">
      <w:pPr>
        <w:spacing w:before="240" w:after="240" w:line="240" w:lineRule="auto"/>
        <w:ind w:right="-448"/>
        <w:rPr>
          <w:rFonts w:cstheme="minorHAnsi"/>
          <w:szCs w:val="24"/>
          <w:lang w:val="fr-CA"/>
        </w:rPr>
      </w:pPr>
      <w:r w:rsidRPr="003F1ABC">
        <w:rPr>
          <w:rFonts w:ascii="Arial" w:hAnsi="Arial" w:cs="Arial"/>
          <w:szCs w:val="24"/>
          <w:lang w:val="fr-CA"/>
        </w:rPr>
        <w:t>Madame</w:t>
      </w:r>
      <w:r w:rsidRPr="003F1ABC">
        <w:rPr>
          <w:rFonts w:eastAsia="Times New Roman" w:cstheme="minorHAnsi"/>
          <w:szCs w:val="24"/>
          <w:lang w:val="fr-CA" w:eastAsia="en-CA"/>
        </w:rPr>
        <w:t xml:space="preserve"> Leonore Foster, </w:t>
      </w:r>
      <w:r w:rsidRPr="003F1ABC">
        <w:rPr>
          <w:rFonts w:ascii="Arial" w:hAnsi="Arial" w:cs="Arial"/>
          <w:szCs w:val="24"/>
          <w:lang w:val="fr-CA"/>
        </w:rPr>
        <w:t>membre du public</w:t>
      </w:r>
    </w:p>
    <w:p w14:paraId="138002A5" w14:textId="2394A284" w:rsidR="00D221AF" w:rsidRPr="003F1ABC" w:rsidRDefault="00D221AF" w:rsidP="00DF2015">
      <w:pPr>
        <w:spacing w:after="0" w:line="240" w:lineRule="auto"/>
        <w:ind w:right="-446"/>
        <w:rPr>
          <w:rFonts w:eastAsia="Times New Roman" w:cstheme="minorHAnsi"/>
          <w:b/>
          <w:sz w:val="48"/>
          <w:szCs w:val="48"/>
          <w:lang w:val="fr-CA" w:eastAsia="en-CA"/>
        </w:rPr>
      </w:pPr>
    </w:p>
    <w:sectPr w:rsidR="00D221AF" w:rsidRPr="003F1ABC" w:rsidSect="00A84A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DFD0" w14:textId="77777777" w:rsidR="00E451BB" w:rsidRDefault="00E451BB" w:rsidP="00F72078">
      <w:pPr>
        <w:spacing w:after="0" w:line="240" w:lineRule="auto"/>
      </w:pPr>
      <w:r>
        <w:separator/>
      </w:r>
    </w:p>
  </w:endnote>
  <w:endnote w:type="continuationSeparator" w:id="0">
    <w:p w14:paraId="203EACE7" w14:textId="77777777" w:rsidR="00E451BB" w:rsidRDefault="00E451B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2E12" w14:textId="77777777" w:rsidR="00B92EF1" w:rsidRDefault="00B92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519486"/>
      <w:docPartObj>
        <w:docPartGallery w:val="Page Numbers (Bottom of Page)"/>
        <w:docPartUnique/>
      </w:docPartObj>
    </w:sdtPr>
    <w:sdtEndPr>
      <w:rPr>
        <w:noProof/>
      </w:rPr>
    </w:sdtEndPr>
    <w:sdtContent>
      <w:p w14:paraId="77F99FD2" w14:textId="77777777" w:rsidR="00EA403F" w:rsidRDefault="00EA40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7521A4" w14:textId="77777777" w:rsidR="00EA403F" w:rsidRDefault="00EA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FBE6" w14:textId="77777777" w:rsidR="00B92EF1" w:rsidRDefault="00B9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AB49" w14:textId="77777777" w:rsidR="00E451BB" w:rsidRDefault="00E451BB" w:rsidP="00F72078">
      <w:pPr>
        <w:spacing w:after="0" w:line="240" w:lineRule="auto"/>
      </w:pPr>
      <w:r>
        <w:separator/>
      </w:r>
    </w:p>
  </w:footnote>
  <w:footnote w:type="continuationSeparator" w:id="0">
    <w:p w14:paraId="04CF9B42" w14:textId="77777777" w:rsidR="00E451BB" w:rsidRDefault="00E451BB" w:rsidP="00F72078">
      <w:pPr>
        <w:spacing w:after="0" w:line="240" w:lineRule="auto"/>
      </w:pPr>
      <w:r>
        <w:continuationSeparator/>
      </w:r>
    </w:p>
  </w:footnote>
  <w:footnote w:id="1">
    <w:p w14:paraId="54738152" w14:textId="07647E42" w:rsidR="002461EA" w:rsidRPr="0007061D" w:rsidRDefault="002461EA" w:rsidP="002461EA">
      <w:pPr>
        <w:rPr>
          <w:rFonts w:eastAsia="Times New Roman" w:cstheme="minorHAnsi"/>
          <w:szCs w:val="24"/>
          <w:lang w:val="en" w:eastAsia="en-CA"/>
        </w:rPr>
      </w:pPr>
      <w:r>
        <w:rPr>
          <w:rStyle w:val="FootnoteReference"/>
        </w:rPr>
        <w:footnoteRef/>
      </w:r>
      <w:r>
        <w:t xml:space="preserve"> </w:t>
      </w:r>
      <w:r w:rsidRPr="0007061D">
        <w:rPr>
          <w:rFonts w:eastAsia="Times New Roman" w:cstheme="minorHAnsi"/>
          <w:i/>
          <w:iCs/>
          <w:szCs w:val="24"/>
          <w:lang w:val="en" w:eastAsia="en-CA"/>
        </w:rPr>
        <w:t>Massiah</w:t>
      </w:r>
      <w:r w:rsidRPr="0007061D">
        <w:rPr>
          <w:rFonts w:eastAsia="Times New Roman" w:cstheme="minorHAnsi"/>
          <w:szCs w:val="24"/>
          <w:lang w:val="en" w:eastAsia="en-CA"/>
        </w:rPr>
        <w:t xml:space="preserve"> </w:t>
      </w:r>
      <w:r w:rsidR="00C13E71" w:rsidRPr="0007061D">
        <w:rPr>
          <w:rFonts w:eastAsia="Times New Roman" w:cstheme="minorHAnsi"/>
          <w:szCs w:val="24"/>
          <w:lang w:val="en" w:eastAsia="en-CA"/>
        </w:rPr>
        <w:t>aux</w:t>
      </w:r>
      <w:r w:rsidRPr="0007061D">
        <w:rPr>
          <w:rFonts w:eastAsia="Times New Roman" w:cstheme="minorHAnsi"/>
          <w:szCs w:val="24"/>
          <w:lang w:val="en" w:eastAsia="en-CA"/>
        </w:rPr>
        <w:t xml:space="preserve"> paras.56 </w:t>
      </w:r>
      <w:r w:rsidR="00C13E71" w:rsidRPr="0007061D">
        <w:rPr>
          <w:rFonts w:eastAsia="Times New Roman" w:cstheme="minorHAnsi"/>
          <w:szCs w:val="24"/>
          <w:lang w:val="en" w:eastAsia="en-CA"/>
        </w:rPr>
        <w:t>et</w:t>
      </w:r>
      <w:r w:rsidRPr="0007061D">
        <w:rPr>
          <w:rFonts w:eastAsia="Times New Roman" w:cstheme="minorHAnsi"/>
          <w:szCs w:val="24"/>
          <w:lang w:val="en" w:eastAsia="en-CA"/>
        </w:rPr>
        <w:t xml:space="preserve"> 60.</w:t>
      </w:r>
    </w:p>
    <w:p w14:paraId="35B83396" w14:textId="6C0D504D" w:rsidR="002461EA" w:rsidRPr="002461EA" w:rsidRDefault="002461E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CE9B" w14:textId="77777777" w:rsidR="00B92EF1" w:rsidRDefault="00B92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4E79" w14:textId="77777777" w:rsidR="00B92EF1" w:rsidRDefault="00B92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C8D8" w14:textId="77777777" w:rsidR="00B92EF1" w:rsidRDefault="00B92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367FB8"/>
    <w:multiLevelType w:val="hybridMultilevel"/>
    <w:tmpl w:val="F2E872FC"/>
    <w:lvl w:ilvl="0" w:tplc="10090001">
      <w:start w:val="1"/>
      <w:numFmt w:val="bullet"/>
      <w:lvlText w:val=""/>
      <w:lvlJc w:val="left"/>
      <w:pPr>
        <w:ind w:left="2345" w:hanging="360"/>
      </w:pPr>
      <w:rPr>
        <w:rFonts w:ascii="Symbol" w:hAnsi="Symbol" w:hint="default"/>
      </w:rPr>
    </w:lvl>
    <w:lvl w:ilvl="1" w:tplc="10090003" w:tentative="1">
      <w:start w:val="1"/>
      <w:numFmt w:val="bullet"/>
      <w:lvlText w:val="o"/>
      <w:lvlJc w:val="left"/>
      <w:pPr>
        <w:ind w:left="3065" w:hanging="360"/>
      </w:pPr>
      <w:rPr>
        <w:rFonts w:ascii="Courier New" w:hAnsi="Courier New" w:cs="Courier New" w:hint="default"/>
      </w:rPr>
    </w:lvl>
    <w:lvl w:ilvl="2" w:tplc="10090005" w:tentative="1">
      <w:start w:val="1"/>
      <w:numFmt w:val="bullet"/>
      <w:lvlText w:val=""/>
      <w:lvlJc w:val="left"/>
      <w:pPr>
        <w:ind w:left="3785" w:hanging="360"/>
      </w:pPr>
      <w:rPr>
        <w:rFonts w:ascii="Wingdings" w:hAnsi="Wingdings" w:hint="default"/>
      </w:rPr>
    </w:lvl>
    <w:lvl w:ilvl="3" w:tplc="10090001" w:tentative="1">
      <w:start w:val="1"/>
      <w:numFmt w:val="bullet"/>
      <w:lvlText w:val=""/>
      <w:lvlJc w:val="left"/>
      <w:pPr>
        <w:ind w:left="4505" w:hanging="360"/>
      </w:pPr>
      <w:rPr>
        <w:rFonts w:ascii="Symbol" w:hAnsi="Symbol" w:hint="default"/>
      </w:rPr>
    </w:lvl>
    <w:lvl w:ilvl="4" w:tplc="10090003" w:tentative="1">
      <w:start w:val="1"/>
      <w:numFmt w:val="bullet"/>
      <w:lvlText w:val="o"/>
      <w:lvlJc w:val="left"/>
      <w:pPr>
        <w:ind w:left="5225" w:hanging="360"/>
      </w:pPr>
      <w:rPr>
        <w:rFonts w:ascii="Courier New" w:hAnsi="Courier New" w:cs="Courier New" w:hint="default"/>
      </w:rPr>
    </w:lvl>
    <w:lvl w:ilvl="5" w:tplc="10090005" w:tentative="1">
      <w:start w:val="1"/>
      <w:numFmt w:val="bullet"/>
      <w:lvlText w:val=""/>
      <w:lvlJc w:val="left"/>
      <w:pPr>
        <w:ind w:left="5945" w:hanging="360"/>
      </w:pPr>
      <w:rPr>
        <w:rFonts w:ascii="Wingdings" w:hAnsi="Wingdings" w:hint="default"/>
      </w:rPr>
    </w:lvl>
    <w:lvl w:ilvl="6" w:tplc="10090001" w:tentative="1">
      <w:start w:val="1"/>
      <w:numFmt w:val="bullet"/>
      <w:lvlText w:val=""/>
      <w:lvlJc w:val="left"/>
      <w:pPr>
        <w:ind w:left="6665" w:hanging="360"/>
      </w:pPr>
      <w:rPr>
        <w:rFonts w:ascii="Symbol" w:hAnsi="Symbol" w:hint="default"/>
      </w:rPr>
    </w:lvl>
    <w:lvl w:ilvl="7" w:tplc="10090003" w:tentative="1">
      <w:start w:val="1"/>
      <w:numFmt w:val="bullet"/>
      <w:lvlText w:val="o"/>
      <w:lvlJc w:val="left"/>
      <w:pPr>
        <w:ind w:left="7385" w:hanging="360"/>
      </w:pPr>
      <w:rPr>
        <w:rFonts w:ascii="Courier New" w:hAnsi="Courier New" w:cs="Courier New" w:hint="default"/>
      </w:rPr>
    </w:lvl>
    <w:lvl w:ilvl="8" w:tplc="10090005" w:tentative="1">
      <w:start w:val="1"/>
      <w:numFmt w:val="bullet"/>
      <w:lvlText w:val=""/>
      <w:lvlJc w:val="left"/>
      <w:pPr>
        <w:ind w:left="8105" w:hanging="360"/>
      </w:pPr>
      <w:rPr>
        <w:rFonts w:ascii="Wingdings" w:hAnsi="Wingdings" w:hint="default"/>
      </w:rPr>
    </w:lvl>
  </w:abstractNum>
  <w:abstractNum w:abstractNumId="2" w15:restartNumberingAfterBreak="0">
    <w:nsid w:val="083D4058"/>
    <w:multiLevelType w:val="hybridMultilevel"/>
    <w:tmpl w:val="48E035B2"/>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C5061B"/>
    <w:multiLevelType w:val="hybridMultilevel"/>
    <w:tmpl w:val="FD761E24"/>
    <w:lvl w:ilvl="0" w:tplc="10090001">
      <w:start w:val="1"/>
      <w:numFmt w:val="bullet"/>
      <w:lvlText w:val=""/>
      <w:lvlJc w:val="left"/>
      <w:pPr>
        <w:ind w:left="1790" w:hanging="360"/>
      </w:pPr>
      <w:rPr>
        <w:rFonts w:ascii="Symbol" w:hAnsi="Symbol" w:hint="default"/>
      </w:rPr>
    </w:lvl>
    <w:lvl w:ilvl="1" w:tplc="10090003">
      <w:start w:val="1"/>
      <w:numFmt w:val="bullet"/>
      <w:lvlText w:val="o"/>
      <w:lvlJc w:val="left"/>
      <w:pPr>
        <w:ind w:left="2510" w:hanging="360"/>
      </w:pPr>
      <w:rPr>
        <w:rFonts w:ascii="Courier New" w:hAnsi="Courier New" w:cs="Courier New" w:hint="default"/>
      </w:rPr>
    </w:lvl>
    <w:lvl w:ilvl="2" w:tplc="10090005" w:tentative="1">
      <w:start w:val="1"/>
      <w:numFmt w:val="bullet"/>
      <w:lvlText w:val=""/>
      <w:lvlJc w:val="left"/>
      <w:pPr>
        <w:ind w:left="3230" w:hanging="360"/>
      </w:pPr>
      <w:rPr>
        <w:rFonts w:ascii="Wingdings" w:hAnsi="Wingdings" w:hint="default"/>
      </w:rPr>
    </w:lvl>
    <w:lvl w:ilvl="3" w:tplc="10090001" w:tentative="1">
      <w:start w:val="1"/>
      <w:numFmt w:val="bullet"/>
      <w:lvlText w:val=""/>
      <w:lvlJc w:val="left"/>
      <w:pPr>
        <w:ind w:left="3950" w:hanging="360"/>
      </w:pPr>
      <w:rPr>
        <w:rFonts w:ascii="Symbol" w:hAnsi="Symbol" w:hint="default"/>
      </w:rPr>
    </w:lvl>
    <w:lvl w:ilvl="4" w:tplc="10090003" w:tentative="1">
      <w:start w:val="1"/>
      <w:numFmt w:val="bullet"/>
      <w:lvlText w:val="o"/>
      <w:lvlJc w:val="left"/>
      <w:pPr>
        <w:ind w:left="4670" w:hanging="360"/>
      </w:pPr>
      <w:rPr>
        <w:rFonts w:ascii="Courier New" w:hAnsi="Courier New" w:cs="Courier New" w:hint="default"/>
      </w:rPr>
    </w:lvl>
    <w:lvl w:ilvl="5" w:tplc="10090005" w:tentative="1">
      <w:start w:val="1"/>
      <w:numFmt w:val="bullet"/>
      <w:lvlText w:val=""/>
      <w:lvlJc w:val="left"/>
      <w:pPr>
        <w:ind w:left="5390" w:hanging="360"/>
      </w:pPr>
      <w:rPr>
        <w:rFonts w:ascii="Wingdings" w:hAnsi="Wingdings" w:hint="default"/>
      </w:rPr>
    </w:lvl>
    <w:lvl w:ilvl="6" w:tplc="10090001" w:tentative="1">
      <w:start w:val="1"/>
      <w:numFmt w:val="bullet"/>
      <w:lvlText w:val=""/>
      <w:lvlJc w:val="left"/>
      <w:pPr>
        <w:ind w:left="6110" w:hanging="360"/>
      </w:pPr>
      <w:rPr>
        <w:rFonts w:ascii="Symbol" w:hAnsi="Symbol" w:hint="default"/>
      </w:rPr>
    </w:lvl>
    <w:lvl w:ilvl="7" w:tplc="10090003" w:tentative="1">
      <w:start w:val="1"/>
      <w:numFmt w:val="bullet"/>
      <w:lvlText w:val="o"/>
      <w:lvlJc w:val="left"/>
      <w:pPr>
        <w:ind w:left="6830" w:hanging="360"/>
      </w:pPr>
      <w:rPr>
        <w:rFonts w:ascii="Courier New" w:hAnsi="Courier New" w:cs="Courier New" w:hint="default"/>
      </w:rPr>
    </w:lvl>
    <w:lvl w:ilvl="8" w:tplc="10090005" w:tentative="1">
      <w:start w:val="1"/>
      <w:numFmt w:val="bullet"/>
      <w:lvlText w:val=""/>
      <w:lvlJc w:val="left"/>
      <w:pPr>
        <w:ind w:left="7550" w:hanging="360"/>
      </w:pPr>
      <w:rPr>
        <w:rFonts w:ascii="Wingdings" w:hAnsi="Wingdings" w:hint="default"/>
      </w:rPr>
    </w:lvl>
  </w:abstractNum>
  <w:abstractNum w:abstractNumId="6" w15:restartNumberingAfterBreak="0">
    <w:nsid w:val="1F025587"/>
    <w:multiLevelType w:val="hybridMultilevel"/>
    <w:tmpl w:val="BF42D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210E59"/>
    <w:multiLevelType w:val="hybridMultilevel"/>
    <w:tmpl w:val="5CE415CE"/>
    <w:lvl w:ilvl="0" w:tplc="910A91EE">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8" w15:restartNumberingAfterBreak="0">
    <w:nsid w:val="2C213778"/>
    <w:multiLevelType w:val="hybridMultilevel"/>
    <w:tmpl w:val="74765DDA"/>
    <w:lvl w:ilvl="0" w:tplc="10090001">
      <w:start w:val="1"/>
      <w:numFmt w:val="bullet"/>
      <w:lvlText w:val=""/>
      <w:lvlJc w:val="left"/>
      <w:pPr>
        <w:ind w:left="2563" w:hanging="360"/>
      </w:pPr>
      <w:rPr>
        <w:rFonts w:ascii="Symbol"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9" w15:restartNumberingAfterBreak="0">
    <w:nsid w:val="319B3A04"/>
    <w:multiLevelType w:val="hybridMultilevel"/>
    <w:tmpl w:val="EA9E627E"/>
    <w:lvl w:ilvl="0" w:tplc="C9009464">
      <w:start w:val="1"/>
      <w:numFmt w:val="lowerRoman"/>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0" w15:restartNumberingAfterBreak="0">
    <w:nsid w:val="38097A2D"/>
    <w:multiLevelType w:val="hybridMultilevel"/>
    <w:tmpl w:val="51FE132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8502587"/>
    <w:multiLevelType w:val="multilevel"/>
    <w:tmpl w:val="CBFE7EF8"/>
    <w:lvl w:ilvl="0">
      <w:start w:val="1"/>
      <w:numFmt w:val="decimal"/>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D733806"/>
    <w:multiLevelType w:val="hybridMultilevel"/>
    <w:tmpl w:val="1CEE19EC"/>
    <w:lvl w:ilvl="0" w:tplc="C90094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E001C0D"/>
    <w:multiLevelType w:val="hybridMultilevel"/>
    <w:tmpl w:val="480A142C"/>
    <w:lvl w:ilvl="0" w:tplc="D4C62FC0">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6" w15:restartNumberingAfterBreak="0">
    <w:nsid w:val="54F615F8"/>
    <w:multiLevelType w:val="hybridMultilevel"/>
    <w:tmpl w:val="CCAEBDE6"/>
    <w:lvl w:ilvl="0" w:tplc="C7AEF4EC">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08D4229"/>
    <w:multiLevelType w:val="hybridMultilevel"/>
    <w:tmpl w:val="721C3872"/>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6A771F03"/>
    <w:multiLevelType w:val="hybridMultilevel"/>
    <w:tmpl w:val="E3C8FD5C"/>
    <w:lvl w:ilvl="0" w:tplc="10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0" w15:restartNumberingAfterBreak="0">
    <w:nsid w:val="6EBA14F2"/>
    <w:multiLevelType w:val="hybridMultilevel"/>
    <w:tmpl w:val="FFDA0F8A"/>
    <w:lvl w:ilvl="0" w:tplc="20E45038">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1"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751ADF"/>
    <w:multiLevelType w:val="hybridMultilevel"/>
    <w:tmpl w:val="FBB4AB72"/>
    <w:lvl w:ilvl="0" w:tplc="151075AC">
      <w:start w:val="1"/>
      <w:numFmt w:val="decimal"/>
      <w:lvlText w:val="[%1]"/>
      <w:lvlJc w:val="left"/>
      <w:pPr>
        <w:ind w:left="360" w:hanging="360"/>
      </w:pPr>
      <w:rPr>
        <w:rFonts w:hint="default"/>
        <w:b w:val="0"/>
        <w:i w:val="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AC53922"/>
    <w:multiLevelType w:val="hybridMultilevel"/>
    <w:tmpl w:val="126C301A"/>
    <w:lvl w:ilvl="0" w:tplc="4BB267AE">
      <w:start w:val="88"/>
      <w:numFmt w:val="decimal"/>
      <w:lvlText w:val="[%1]"/>
      <w:lvlJc w:val="left"/>
      <w:pPr>
        <w:ind w:left="36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8"/>
  </w:num>
  <w:num w:numId="5">
    <w:abstractNumId w:val="21"/>
  </w:num>
  <w:num w:numId="6">
    <w:abstractNumId w:val="4"/>
  </w:num>
  <w:num w:numId="7">
    <w:abstractNumId w:val="16"/>
  </w:num>
  <w:num w:numId="8">
    <w:abstractNumId w:val="23"/>
  </w:num>
  <w:num w:numId="9">
    <w:abstractNumId w:val="7"/>
  </w:num>
  <w:num w:numId="10">
    <w:abstractNumId w:val="2"/>
  </w:num>
  <w:num w:numId="11">
    <w:abstractNumId w:val="11"/>
  </w:num>
  <w:num w:numId="12">
    <w:abstractNumId w:val="0"/>
  </w:num>
  <w:num w:numId="13">
    <w:abstractNumId w:val="17"/>
  </w:num>
  <w:num w:numId="14">
    <w:abstractNumId w:val="13"/>
  </w:num>
  <w:num w:numId="15">
    <w:abstractNumId w:val="10"/>
  </w:num>
  <w:num w:numId="16">
    <w:abstractNumId w:val="22"/>
  </w:num>
  <w:num w:numId="17">
    <w:abstractNumId w:val="6"/>
  </w:num>
  <w:num w:numId="18">
    <w:abstractNumId w:val="20"/>
  </w:num>
  <w:num w:numId="19">
    <w:abstractNumId w:val="12"/>
  </w:num>
  <w:num w:numId="20">
    <w:abstractNumId w:val="9"/>
  </w:num>
  <w:num w:numId="21">
    <w:abstractNumId w:val="24"/>
  </w:num>
  <w:num w:numId="22">
    <w:abstractNumId w:val="19"/>
  </w:num>
  <w:num w:numId="23">
    <w:abstractNumId w:val="5"/>
  </w:num>
  <w:num w:numId="24">
    <w:abstractNumId w:val="14"/>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113F0"/>
    <w:rsid w:val="00022A1B"/>
    <w:rsid w:val="000327E4"/>
    <w:rsid w:val="00032BB1"/>
    <w:rsid w:val="00045894"/>
    <w:rsid w:val="00062FFF"/>
    <w:rsid w:val="00063612"/>
    <w:rsid w:val="0007061D"/>
    <w:rsid w:val="00070B21"/>
    <w:rsid w:val="00071AAF"/>
    <w:rsid w:val="00073639"/>
    <w:rsid w:val="0007393E"/>
    <w:rsid w:val="00075DFF"/>
    <w:rsid w:val="00075E26"/>
    <w:rsid w:val="00083E49"/>
    <w:rsid w:val="000A0119"/>
    <w:rsid w:val="000A0793"/>
    <w:rsid w:val="000C3496"/>
    <w:rsid w:val="000F098E"/>
    <w:rsid w:val="000F1350"/>
    <w:rsid w:val="00105EEC"/>
    <w:rsid w:val="00117088"/>
    <w:rsid w:val="001208D7"/>
    <w:rsid w:val="001629BA"/>
    <w:rsid w:val="001667B8"/>
    <w:rsid w:val="00182F5B"/>
    <w:rsid w:val="00185F1D"/>
    <w:rsid w:val="001A3523"/>
    <w:rsid w:val="001A5DD5"/>
    <w:rsid w:val="001A7029"/>
    <w:rsid w:val="001B3B68"/>
    <w:rsid w:val="001C37B4"/>
    <w:rsid w:val="001E5D13"/>
    <w:rsid w:val="001F129E"/>
    <w:rsid w:val="001F2FA1"/>
    <w:rsid w:val="001F31F6"/>
    <w:rsid w:val="00206C32"/>
    <w:rsid w:val="0021650F"/>
    <w:rsid w:val="00225BE4"/>
    <w:rsid w:val="002367EB"/>
    <w:rsid w:val="00236BB1"/>
    <w:rsid w:val="002461EA"/>
    <w:rsid w:val="002526D6"/>
    <w:rsid w:val="002658C3"/>
    <w:rsid w:val="0026774A"/>
    <w:rsid w:val="0028716E"/>
    <w:rsid w:val="00291ACC"/>
    <w:rsid w:val="00294F2D"/>
    <w:rsid w:val="00295752"/>
    <w:rsid w:val="002A48D9"/>
    <w:rsid w:val="002B222B"/>
    <w:rsid w:val="002B78E7"/>
    <w:rsid w:val="002C4241"/>
    <w:rsid w:val="002E0CB7"/>
    <w:rsid w:val="002E161B"/>
    <w:rsid w:val="002E6FF6"/>
    <w:rsid w:val="00300E7F"/>
    <w:rsid w:val="00307F51"/>
    <w:rsid w:val="00311DA1"/>
    <w:rsid w:val="00317F1F"/>
    <w:rsid w:val="0032714B"/>
    <w:rsid w:val="003428A5"/>
    <w:rsid w:val="00351AEE"/>
    <w:rsid w:val="003533B0"/>
    <w:rsid w:val="003621E6"/>
    <w:rsid w:val="0036413B"/>
    <w:rsid w:val="003664A3"/>
    <w:rsid w:val="00366A95"/>
    <w:rsid w:val="00371A2B"/>
    <w:rsid w:val="00372402"/>
    <w:rsid w:val="003875DA"/>
    <w:rsid w:val="003959D1"/>
    <w:rsid w:val="00396007"/>
    <w:rsid w:val="003A4B73"/>
    <w:rsid w:val="003A60CA"/>
    <w:rsid w:val="003D5480"/>
    <w:rsid w:val="003F1ABC"/>
    <w:rsid w:val="003F2AAB"/>
    <w:rsid w:val="003F3702"/>
    <w:rsid w:val="003F6FE0"/>
    <w:rsid w:val="00404C1A"/>
    <w:rsid w:val="004064E2"/>
    <w:rsid w:val="00481870"/>
    <w:rsid w:val="00481CFA"/>
    <w:rsid w:val="00487378"/>
    <w:rsid w:val="00487C19"/>
    <w:rsid w:val="00494531"/>
    <w:rsid w:val="00495C2A"/>
    <w:rsid w:val="004A12F1"/>
    <w:rsid w:val="004A2238"/>
    <w:rsid w:val="004A392D"/>
    <w:rsid w:val="004B347D"/>
    <w:rsid w:val="004B35C4"/>
    <w:rsid w:val="004B5470"/>
    <w:rsid w:val="004B6594"/>
    <w:rsid w:val="004B69F7"/>
    <w:rsid w:val="004C7E48"/>
    <w:rsid w:val="004D3433"/>
    <w:rsid w:val="004D408C"/>
    <w:rsid w:val="004D6E72"/>
    <w:rsid w:val="004E4343"/>
    <w:rsid w:val="004F1B03"/>
    <w:rsid w:val="004F20C3"/>
    <w:rsid w:val="0050236A"/>
    <w:rsid w:val="005061B2"/>
    <w:rsid w:val="00531BE6"/>
    <w:rsid w:val="005372C7"/>
    <w:rsid w:val="00540A9A"/>
    <w:rsid w:val="0054199C"/>
    <w:rsid w:val="0054570A"/>
    <w:rsid w:val="00547A92"/>
    <w:rsid w:val="00551644"/>
    <w:rsid w:val="00562F0C"/>
    <w:rsid w:val="005711B9"/>
    <w:rsid w:val="0057735C"/>
    <w:rsid w:val="0058511B"/>
    <w:rsid w:val="005903B4"/>
    <w:rsid w:val="0059134B"/>
    <w:rsid w:val="005C5FA3"/>
    <w:rsid w:val="005D0F4F"/>
    <w:rsid w:val="005D4972"/>
    <w:rsid w:val="005F158E"/>
    <w:rsid w:val="006071F4"/>
    <w:rsid w:val="00611F4D"/>
    <w:rsid w:val="006121C0"/>
    <w:rsid w:val="006123A9"/>
    <w:rsid w:val="00622002"/>
    <w:rsid w:val="00624B02"/>
    <w:rsid w:val="006264D7"/>
    <w:rsid w:val="00627183"/>
    <w:rsid w:val="0064778A"/>
    <w:rsid w:val="0065577C"/>
    <w:rsid w:val="00664EC4"/>
    <w:rsid w:val="00695E04"/>
    <w:rsid w:val="006C5DF7"/>
    <w:rsid w:val="006C7751"/>
    <w:rsid w:val="006D07BA"/>
    <w:rsid w:val="006D72AA"/>
    <w:rsid w:val="006F43EA"/>
    <w:rsid w:val="006F5B39"/>
    <w:rsid w:val="007023D1"/>
    <w:rsid w:val="007115CE"/>
    <w:rsid w:val="007132B1"/>
    <w:rsid w:val="007171E0"/>
    <w:rsid w:val="00717CA7"/>
    <w:rsid w:val="007255F3"/>
    <w:rsid w:val="0072656D"/>
    <w:rsid w:val="007320E1"/>
    <w:rsid w:val="007350CC"/>
    <w:rsid w:val="00742FF2"/>
    <w:rsid w:val="00751BC2"/>
    <w:rsid w:val="00755180"/>
    <w:rsid w:val="007670DB"/>
    <w:rsid w:val="00767151"/>
    <w:rsid w:val="007707B1"/>
    <w:rsid w:val="007713E8"/>
    <w:rsid w:val="0077571E"/>
    <w:rsid w:val="00776482"/>
    <w:rsid w:val="00783A1E"/>
    <w:rsid w:val="007840B9"/>
    <w:rsid w:val="0079141E"/>
    <w:rsid w:val="00794C32"/>
    <w:rsid w:val="007A3266"/>
    <w:rsid w:val="007B1B4C"/>
    <w:rsid w:val="007C3A83"/>
    <w:rsid w:val="007D17F3"/>
    <w:rsid w:val="007D6DDD"/>
    <w:rsid w:val="007D7800"/>
    <w:rsid w:val="008007EB"/>
    <w:rsid w:val="00803C6E"/>
    <w:rsid w:val="00812AC6"/>
    <w:rsid w:val="008136EF"/>
    <w:rsid w:val="008139B3"/>
    <w:rsid w:val="00817271"/>
    <w:rsid w:val="00824AB7"/>
    <w:rsid w:val="00831EDF"/>
    <w:rsid w:val="00840173"/>
    <w:rsid w:val="0084490E"/>
    <w:rsid w:val="00856E2A"/>
    <w:rsid w:val="00856EDF"/>
    <w:rsid w:val="00872A8A"/>
    <w:rsid w:val="008815E8"/>
    <w:rsid w:val="008B11C7"/>
    <w:rsid w:val="008B3DD0"/>
    <w:rsid w:val="008B54AC"/>
    <w:rsid w:val="008F21D1"/>
    <w:rsid w:val="00905FA1"/>
    <w:rsid w:val="00910E62"/>
    <w:rsid w:val="00914A64"/>
    <w:rsid w:val="0093267D"/>
    <w:rsid w:val="00936A30"/>
    <w:rsid w:val="009416DE"/>
    <w:rsid w:val="00950230"/>
    <w:rsid w:val="00962266"/>
    <w:rsid w:val="00972CDD"/>
    <w:rsid w:val="009777D5"/>
    <w:rsid w:val="009851CC"/>
    <w:rsid w:val="0098544B"/>
    <w:rsid w:val="009A265A"/>
    <w:rsid w:val="009A3151"/>
    <w:rsid w:val="009A3F9F"/>
    <w:rsid w:val="009A7265"/>
    <w:rsid w:val="009B1D63"/>
    <w:rsid w:val="009B5C4B"/>
    <w:rsid w:val="009B65DE"/>
    <w:rsid w:val="009C16E5"/>
    <w:rsid w:val="009D2002"/>
    <w:rsid w:val="009E3F00"/>
    <w:rsid w:val="009E4C3A"/>
    <w:rsid w:val="009E6912"/>
    <w:rsid w:val="009F430C"/>
    <w:rsid w:val="00A00FEC"/>
    <w:rsid w:val="00A01483"/>
    <w:rsid w:val="00A05B65"/>
    <w:rsid w:val="00A136BB"/>
    <w:rsid w:val="00A24F98"/>
    <w:rsid w:val="00A4736E"/>
    <w:rsid w:val="00A50352"/>
    <w:rsid w:val="00A700E9"/>
    <w:rsid w:val="00A74A0B"/>
    <w:rsid w:val="00A81D58"/>
    <w:rsid w:val="00A84AD4"/>
    <w:rsid w:val="00A87579"/>
    <w:rsid w:val="00A904B5"/>
    <w:rsid w:val="00A96359"/>
    <w:rsid w:val="00A963FC"/>
    <w:rsid w:val="00AA31FD"/>
    <w:rsid w:val="00AB70FE"/>
    <w:rsid w:val="00AC70C7"/>
    <w:rsid w:val="00AD6A40"/>
    <w:rsid w:val="00AD71CE"/>
    <w:rsid w:val="00AE097E"/>
    <w:rsid w:val="00AF64F9"/>
    <w:rsid w:val="00AF6841"/>
    <w:rsid w:val="00B06C62"/>
    <w:rsid w:val="00B16D72"/>
    <w:rsid w:val="00B24183"/>
    <w:rsid w:val="00B25C18"/>
    <w:rsid w:val="00B266A9"/>
    <w:rsid w:val="00B3338E"/>
    <w:rsid w:val="00B4108E"/>
    <w:rsid w:val="00B467A7"/>
    <w:rsid w:val="00B633FB"/>
    <w:rsid w:val="00B72C64"/>
    <w:rsid w:val="00B76729"/>
    <w:rsid w:val="00B92728"/>
    <w:rsid w:val="00B92EF1"/>
    <w:rsid w:val="00B93223"/>
    <w:rsid w:val="00B9658C"/>
    <w:rsid w:val="00B97AB2"/>
    <w:rsid w:val="00BB7C28"/>
    <w:rsid w:val="00BD1E2A"/>
    <w:rsid w:val="00BD34C2"/>
    <w:rsid w:val="00BD392C"/>
    <w:rsid w:val="00BD5D0D"/>
    <w:rsid w:val="00BE0147"/>
    <w:rsid w:val="00BF5023"/>
    <w:rsid w:val="00C029AC"/>
    <w:rsid w:val="00C0317C"/>
    <w:rsid w:val="00C04DA8"/>
    <w:rsid w:val="00C072CC"/>
    <w:rsid w:val="00C13E71"/>
    <w:rsid w:val="00C15256"/>
    <w:rsid w:val="00C16F35"/>
    <w:rsid w:val="00C26E31"/>
    <w:rsid w:val="00C442F5"/>
    <w:rsid w:val="00C44D01"/>
    <w:rsid w:val="00C47126"/>
    <w:rsid w:val="00C4739F"/>
    <w:rsid w:val="00C52E3C"/>
    <w:rsid w:val="00C538ED"/>
    <w:rsid w:val="00C628CC"/>
    <w:rsid w:val="00C8691B"/>
    <w:rsid w:val="00C93AB7"/>
    <w:rsid w:val="00C94C29"/>
    <w:rsid w:val="00CA0F99"/>
    <w:rsid w:val="00CA422A"/>
    <w:rsid w:val="00CA6745"/>
    <w:rsid w:val="00CC034D"/>
    <w:rsid w:val="00CC09D2"/>
    <w:rsid w:val="00CC2971"/>
    <w:rsid w:val="00CC348D"/>
    <w:rsid w:val="00CD7745"/>
    <w:rsid w:val="00CE7D10"/>
    <w:rsid w:val="00CF6FDF"/>
    <w:rsid w:val="00D079D7"/>
    <w:rsid w:val="00D17737"/>
    <w:rsid w:val="00D221AF"/>
    <w:rsid w:val="00D61490"/>
    <w:rsid w:val="00D65B91"/>
    <w:rsid w:val="00D7273D"/>
    <w:rsid w:val="00D76002"/>
    <w:rsid w:val="00D83F89"/>
    <w:rsid w:val="00D852FE"/>
    <w:rsid w:val="00D92E0A"/>
    <w:rsid w:val="00DC4486"/>
    <w:rsid w:val="00DD1284"/>
    <w:rsid w:val="00DD567B"/>
    <w:rsid w:val="00DE53BB"/>
    <w:rsid w:val="00DF2015"/>
    <w:rsid w:val="00E064D1"/>
    <w:rsid w:val="00E208E7"/>
    <w:rsid w:val="00E24286"/>
    <w:rsid w:val="00E2560D"/>
    <w:rsid w:val="00E27DD6"/>
    <w:rsid w:val="00E451BB"/>
    <w:rsid w:val="00E7753B"/>
    <w:rsid w:val="00E8237E"/>
    <w:rsid w:val="00E85602"/>
    <w:rsid w:val="00E90A1E"/>
    <w:rsid w:val="00E90C5A"/>
    <w:rsid w:val="00E947CF"/>
    <w:rsid w:val="00EA154F"/>
    <w:rsid w:val="00EA403F"/>
    <w:rsid w:val="00EA6BF8"/>
    <w:rsid w:val="00EB1E39"/>
    <w:rsid w:val="00EB554A"/>
    <w:rsid w:val="00EB6A93"/>
    <w:rsid w:val="00EC0E35"/>
    <w:rsid w:val="00EC2037"/>
    <w:rsid w:val="00EC30CA"/>
    <w:rsid w:val="00EC6D4A"/>
    <w:rsid w:val="00ED097F"/>
    <w:rsid w:val="00ED7117"/>
    <w:rsid w:val="00EE3458"/>
    <w:rsid w:val="00EE645A"/>
    <w:rsid w:val="00EF226B"/>
    <w:rsid w:val="00EF73AD"/>
    <w:rsid w:val="00F0537D"/>
    <w:rsid w:val="00F0765C"/>
    <w:rsid w:val="00F17B57"/>
    <w:rsid w:val="00F27A26"/>
    <w:rsid w:val="00F41519"/>
    <w:rsid w:val="00F42F3E"/>
    <w:rsid w:val="00F61F85"/>
    <w:rsid w:val="00F71793"/>
    <w:rsid w:val="00F72078"/>
    <w:rsid w:val="00F72DAD"/>
    <w:rsid w:val="00F73523"/>
    <w:rsid w:val="00F85186"/>
    <w:rsid w:val="00F935FB"/>
    <w:rsid w:val="00F94F37"/>
    <w:rsid w:val="00F95438"/>
    <w:rsid w:val="00F97D8E"/>
    <w:rsid w:val="00FA2542"/>
    <w:rsid w:val="00FA2E9B"/>
    <w:rsid w:val="00FA62DB"/>
    <w:rsid w:val="00FB11EB"/>
    <w:rsid w:val="00FB1F5D"/>
    <w:rsid w:val="00FB261C"/>
    <w:rsid w:val="00FB2CC7"/>
    <w:rsid w:val="00FB3D19"/>
    <w:rsid w:val="00FC085F"/>
    <w:rsid w:val="00FD19EF"/>
    <w:rsid w:val="00FD1AC1"/>
    <w:rsid w:val="00FD3F16"/>
    <w:rsid w:val="00FE01D7"/>
    <w:rsid w:val="00FE363E"/>
    <w:rsid w:val="00FE6A6E"/>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8F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8139B3"/>
    <w:rPr>
      <w:sz w:val="16"/>
      <w:szCs w:val="16"/>
    </w:rPr>
  </w:style>
  <w:style w:type="paragraph" w:styleId="CommentText">
    <w:name w:val="annotation text"/>
    <w:basedOn w:val="Normal"/>
    <w:link w:val="CommentTextChar"/>
    <w:uiPriority w:val="99"/>
    <w:semiHidden/>
    <w:unhideWhenUsed/>
    <w:rsid w:val="008139B3"/>
    <w:pPr>
      <w:spacing w:line="240" w:lineRule="auto"/>
    </w:pPr>
    <w:rPr>
      <w:sz w:val="20"/>
      <w:szCs w:val="20"/>
    </w:rPr>
  </w:style>
  <w:style w:type="character" w:customStyle="1" w:styleId="CommentTextChar">
    <w:name w:val="Comment Text Char"/>
    <w:basedOn w:val="DefaultParagraphFont"/>
    <w:link w:val="CommentText"/>
    <w:uiPriority w:val="99"/>
    <w:semiHidden/>
    <w:rsid w:val="008139B3"/>
    <w:rPr>
      <w:sz w:val="20"/>
      <w:szCs w:val="20"/>
    </w:rPr>
  </w:style>
  <w:style w:type="paragraph" w:styleId="CommentSubject">
    <w:name w:val="annotation subject"/>
    <w:basedOn w:val="CommentText"/>
    <w:next w:val="CommentText"/>
    <w:link w:val="CommentSubjectChar"/>
    <w:uiPriority w:val="99"/>
    <w:semiHidden/>
    <w:unhideWhenUsed/>
    <w:rsid w:val="008139B3"/>
    <w:rPr>
      <w:b/>
      <w:bCs/>
    </w:rPr>
  </w:style>
  <w:style w:type="character" w:customStyle="1" w:styleId="CommentSubjectChar">
    <w:name w:val="Comment Subject Char"/>
    <w:basedOn w:val="CommentTextChar"/>
    <w:link w:val="CommentSubject"/>
    <w:uiPriority w:val="99"/>
    <w:semiHidden/>
    <w:rsid w:val="008139B3"/>
    <w:rPr>
      <w:b/>
      <w:bCs/>
      <w:sz w:val="20"/>
      <w:szCs w:val="20"/>
    </w:rPr>
  </w:style>
  <w:style w:type="paragraph" w:customStyle="1" w:styleId="NUMBEREDParagraph">
    <w:name w:val="NUMBERED Paragraph"/>
    <w:basedOn w:val="Normal"/>
    <w:autoRedefine/>
    <w:rsid w:val="004A12F1"/>
    <w:pPr>
      <w:widowControl w:val="0"/>
      <w:tabs>
        <w:tab w:val="left" w:pos="-2127"/>
        <w:tab w:val="left" w:pos="1560"/>
      </w:tabs>
      <w:suppressAutoHyphens/>
      <w:spacing w:before="240" w:after="0" w:line="240" w:lineRule="auto"/>
      <w:ind w:left="1418" w:firstLine="490"/>
      <w:jc w:val="both"/>
    </w:pPr>
    <w:rPr>
      <w:rFonts w:ascii="Times New Roman" w:eastAsia="Times New Roman" w:hAnsi="Times New Roman" w:cs="Times New Roman"/>
      <w:kern w:val="26"/>
      <w:sz w:val="26"/>
      <w:szCs w:val="20"/>
    </w:rPr>
  </w:style>
  <w:style w:type="paragraph" w:customStyle="1" w:styleId="p6">
    <w:name w:val="p6"/>
    <w:basedOn w:val="Normal"/>
    <w:rsid w:val="00032BB1"/>
    <w:pPr>
      <w:shd w:val="clear" w:color="auto" w:fill="FFFFFF"/>
      <w:spacing w:after="0" w:line="240" w:lineRule="auto"/>
      <w:jc w:val="both"/>
    </w:pPr>
    <w:rPr>
      <w:rFonts w:ascii="Arial" w:eastAsia="Yu Mincho" w:hAnsi="Arial" w:cs="Arial"/>
      <w:color w:val="000000"/>
      <w:sz w:val="27"/>
      <w:szCs w:val="27"/>
    </w:rPr>
  </w:style>
  <w:style w:type="character" w:customStyle="1" w:styleId="s3">
    <w:name w:val="s3"/>
    <w:rsid w:val="00032BB1"/>
    <w:rPr>
      <w:rFonts w:ascii="Times New Roman" w:hAnsi="Times New Roman" w:cs="Times New Roman" w:hint="default"/>
      <w:b w:val="0"/>
      <w:bCs w:val="0"/>
      <w:i w:val="0"/>
      <w:iCs w:val="0"/>
      <w:sz w:val="36"/>
      <w:szCs w:val="36"/>
    </w:rPr>
  </w:style>
  <w:style w:type="character" w:customStyle="1" w:styleId="s4">
    <w:name w:val="s4"/>
    <w:rsid w:val="00032BB1"/>
    <w:rPr>
      <w:rFonts w:ascii="Arial" w:hAnsi="Arial" w:cs="Arial" w:hint="default"/>
      <w:b w:val="0"/>
      <w:bCs w:val="0"/>
      <w:i w:val="0"/>
      <w:iCs w:val="0"/>
      <w:sz w:val="36"/>
      <w:szCs w:val="36"/>
    </w:rPr>
  </w:style>
  <w:style w:type="character" w:customStyle="1" w:styleId="s5">
    <w:name w:val="s5"/>
    <w:rsid w:val="00032BB1"/>
    <w:rPr>
      <w:rFonts w:ascii="Arial-ItalicMT" w:hAnsi="Arial-ItalicMT" w:hint="default"/>
      <w:b w:val="0"/>
      <w:bCs w:val="0"/>
      <w:i/>
      <w:iCs/>
      <w:sz w:val="36"/>
      <w:szCs w:val="36"/>
    </w:rPr>
  </w:style>
  <w:style w:type="character" w:customStyle="1" w:styleId="s7">
    <w:name w:val="s7"/>
    <w:rsid w:val="00032BB1"/>
    <w:rPr>
      <w:rFonts w:ascii="TimesNewRomanPS-ItalicMT" w:hAnsi="TimesNewRomanPS-ItalicMT" w:hint="default"/>
      <w:b w:val="0"/>
      <w:bCs w:val="0"/>
      <w:i/>
      <w:iCs/>
      <w:sz w:val="36"/>
      <w:szCs w:val="36"/>
    </w:rPr>
  </w:style>
  <w:style w:type="paragraph" w:customStyle="1" w:styleId="Mainparagraph">
    <w:name w:val="Main paragraph"/>
    <w:basedOn w:val="Normal"/>
    <w:uiPriority w:val="99"/>
    <w:rsid w:val="004B35C4"/>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B3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5C4"/>
    <w:rPr>
      <w:sz w:val="20"/>
      <w:szCs w:val="20"/>
    </w:rPr>
  </w:style>
  <w:style w:type="character" w:styleId="FootnoteReference">
    <w:name w:val="footnote reference"/>
    <w:uiPriority w:val="99"/>
    <w:semiHidden/>
    <w:unhideWhenUsed/>
    <w:rsid w:val="004B35C4"/>
    <w:rPr>
      <w:vertAlign w:val="superscript"/>
    </w:rPr>
  </w:style>
  <w:style w:type="character" w:styleId="Hyperlink">
    <w:name w:val="Hyperlink"/>
    <w:basedOn w:val="DefaultParagraphFont"/>
    <w:uiPriority w:val="99"/>
    <w:unhideWhenUsed/>
    <w:rsid w:val="00481870"/>
    <w:rPr>
      <w:color w:val="5F5F5F" w:themeColor="hyperlink"/>
      <w:u w:val="single"/>
    </w:rPr>
  </w:style>
  <w:style w:type="character" w:styleId="UnresolvedMention">
    <w:name w:val="Unresolved Mention"/>
    <w:basedOn w:val="DefaultParagraphFont"/>
    <w:uiPriority w:val="99"/>
    <w:semiHidden/>
    <w:unhideWhenUsed/>
    <w:rsid w:val="00481870"/>
    <w:rPr>
      <w:color w:val="605E5C"/>
      <w:shd w:val="clear" w:color="auto" w:fill="E1DFDD"/>
    </w:rPr>
  </w:style>
  <w:style w:type="paragraph" w:customStyle="1" w:styleId="mainparagraph0">
    <w:name w:val="mainparagraph"/>
    <w:basedOn w:val="Normal"/>
    <w:rsid w:val="000327E4"/>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section">
    <w:name w:val="subsection"/>
    <w:basedOn w:val="Normal"/>
    <w:rsid w:val="00294F2D"/>
    <w:pPr>
      <w:spacing w:after="0" w:line="240" w:lineRule="auto"/>
    </w:pPr>
    <w:rPr>
      <w:rFonts w:ascii="inherit" w:eastAsia="Times New Roman" w:hAnsi="inherit"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9823">
      <w:bodyDiv w:val="1"/>
      <w:marLeft w:val="0"/>
      <w:marRight w:val="0"/>
      <w:marTop w:val="0"/>
      <w:marBottom w:val="0"/>
      <w:divBdr>
        <w:top w:val="none" w:sz="0" w:space="0" w:color="auto"/>
        <w:left w:val="none" w:sz="0" w:space="0" w:color="auto"/>
        <w:bottom w:val="none" w:sz="0" w:space="0" w:color="auto"/>
        <w:right w:val="none" w:sz="0" w:space="0" w:color="auto"/>
      </w:divBdr>
      <w:divsChild>
        <w:div w:id="97259484">
          <w:marLeft w:val="0"/>
          <w:marRight w:val="0"/>
          <w:marTop w:val="0"/>
          <w:marBottom w:val="0"/>
          <w:divBdr>
            <w:top w:val="none" w:sz="0" w:space="0" w:color="auto"/>
            <w:left w:val="none" w:sz="0" w:space="0" w:color="auto"/>
            <w:bottom w:val="none" w:sz="0" w:space="0" w:color="auto"/>
            <w:right w:val="none" w:sz="0" w:space="0" w:color="auto"/>
          </w:divBdr>
        </w:div>
      </w:divsChild>
    </w:div>
    <w:div w:id="1564567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086">
          <w:marLeft w:val="0"/>
          <w:marRight w:val="0"/>
          <w:marTop w:val="0"/>
          <w:marBottom w:val="0"/>
          <w:divBdr>
            <w:top w:val="none" w:sz="0" w:space="0" w:color="auto"/>
            <w:left w:val="none" w:sz="0" w:space="0" w:color="auto"/>
            <w:bottom w:val="none" w:sz="0" w:space="0" w:color="auto"/>
            <w:right w:val="none" w:sz="0" w:space="0" w:color="auto"/>
          </w:divBdr>
        </w:div>
      </w:divsChild>
    </w:div>
    <w:div w:id="163594770">
      <w:bodyDiv w:val="1"/>
      <w:marLeft w:val="0"/>
      <w:marRight w:val="0"/>
      <w:marTop w:val="0"/>
      <w:marBottom w:val="0"/>
      <w:divBdr>
        <w:top w:val="none" w:sz="0" w:space="0" w:color="auto"/>
        <w:left w:val="none" w:sz="0" w:space="0" w:color="auto"/>
        <w:bottom w:val="none" w:sz="0" w:space="0" w:color="auto"/>
        <w:right w:val="none" w:sz="0" w:space="0" w:color="auto"/>
      </w:divBdr>
      <w:divsChild>
        <w:div w:id="713389421">
          <w:marLeft w:val="0"/>
          <w:marRight w:val="0"/>
          <w:marTop w:val="0"/>
          <w:marBottom w:val="0"/>
          <w:divBdr>
            <w:top w:val="none" w:sz="0" w:space="0" w:color="auto"/>
            <w:left w:val="none" w:sz="0" w:space="0" w:color="auto"/>
            <w:bottom w:val="none" w:sz="0" w:space="0" w:color="auto"/>
            <w:right w:val="none" w:sz="0" w:space="0" w:color="auto"/>
          </w:divBdr>
        </w:div>
      </w:divsChild>
    </w:div>
    <w:div w:id="221212835">
      <w:bodyDiv w:val="1"/>
      <w:marLeft w:val="0"/>
      <w:marRight w:val="0"/>
      <w:marTop w:val="0"/>
      <w:marBottom w:val="0"/>
      <w:divBdr>
        <w:top w:val="none" w:sz="0" w:space="0" w:color="auto"/>
        <w:left w:val="none" w:sz="0" w:space="0" w:color="auto"/>
        <w:bottom w:val="none" w:sz="0" w:space="0" w:color="auto"/>
        <w:right w:val="none" w:sz="0" w:space="0" w:color="auto"/>
      </w:divBdr>
    </w:div>
    <w:div w:id="239411467">
      <w:bodyDiv w:val="1"/>
      <w:marLeft w:val="0"/>
      <w:marRight w:val="0"/>
      <w:marTop w:val="0"/>
      <w:marBottom w:val="0"/>
      <w:divBdr>
        <w:top w:val="none" w:sz="0" w:space="0" w:color="auto"/>
        <w:left w:val="none" w:sz="0" w:space="0" w:color="auto"/>
        <w:bottom w:val="none" w:sz="0" w:space="0" w:color="auto"/>
        <w:right w:val="none" w:sz="0" w:space="0" w:color="auto"/>
      </w:divBdr>
    </w:div>
    <w:div w:id="637107298">
      <w:bodyDiv w:val="1"/>
      <w:marLeft w:val="0"/>
      <w:marRight w:val="0"/>
      <w:marTop w:val="0"/>
      <w:marBottom w:val="0"/>
      <w:divBdr>
        <w:top w:val="none" w:sz="0" w:space="0" w:color="auto"/>
        <w:left w:val="none" w:sz="0" w:space="0" w:color="auto"/>
        <w:bottom w:val="none" w:sz="0" w:space="0" w:color="auto"/>
        <w:right w:val="none" w:sz="0" w:space="0" w:color="auto"/>
      </w:divBdr>
      <w:divsChild>
        <w:div w:id="73673945">
          <w:marLeft w:val="0"/>
          <w:marRight w:val="0"/>
          <w:marTop w:val="0"/>
          <w:marBottom w:val="0"/>
          <w:divBdr>
            <w:top w:val="none" w:sz="0" w:space="0" w:color="auto"/>
            <w:left w:val="none" w:sz="0" w:space="0" w:color="auto"/>
            <w:bottom w:val="none" w:sz="0" w:space="0" w:color="auto"/>
            <w:right w:val="none" w:sz="0" w:space="0" w:color="auto"/>
          </w:divBdr>
        </w:div>
      </w:divsChild>
    </w:div>
    <w:div w:id="741755263">
      <w:bodyDiv w:val="1"/>
      <w:marLeft w:val="0"/>
      <w:marRight w:val="0"/>
      <w:marTop w:val="0"/>
      <w:marBottom w:val="0"/>
      <w:divBdr>
        <w:top w:val="none" w:sz="0" w:space="0" w:color="auto"/>
        <w:left w:val="none" w:sz="0" w:space="0" w:color="auto"/>
        <w:bottom w:val="none" w:sz="0" w:space="0" w:color="auto"/>
        <w:right w:val="none" w:sz="0" w:space="0" w:color="auto"/>
      </w:divBdr>
    </w:div>
    <w:div w:id="842086578">
      <w:bodyDiv w:val="1"/>
      <w:marLeft w:val="0"/>
      <w:marRight w:val="0"/>
      <w:marTop w:val="0"/>
      <w:marBottom w:val="0"/>
      <w:divBdr>
        <w:top w:val="none" w:sz="0" w:space="0" w:color="auto"/>
        <w:left w:val="none" w:sz="0" w:space="0" w:color="auto"/>
        <w:bottom w:val="none" w:sz="0" w:space="0" w:color="auto"/>
        <w:right w:val="none" w:sz="0" w:space="0" w:color="auto"/>
      </w:divBdr>
      <w:divsChild>
        <w:div w:id="1806314487">
          <w:marLeft w:val="0"/>
          <w:marRight w:val="0"/>
          <w:marTop w:val="0"/>
          <w:marBottom w:val="0"/>
          <w:divBdr>
            <w:top w:val="none" w:sz="0" w:space="0" w:color="auto"/>
            <w:left w:val="none" w:sz="0" w:space="0" w:color="auto"/>
            <w:bottom w:val="none" w:sz="0" w:space="0" w:color="auto"/>
            <w:right w:val="none" w:sz="0" w:space="0" w:color="auto"/>
          </w:divBdr>
          <w:divsChild>
            <w:div w:id="438372926">
              <w:marLeft w:val="0"/>
              <w:marRight w:val="0"/>
              <w:marTop w:val="0"/>
              <w:marBottom w:val="0"/>
              <w:divBdr>
                <w:top w:val="none" w:sz="0" w:space="0" w:color="auto"/>
                <w:left w:val="none" w:sz="0" w:space="0" w:color="auto"/>
                <w:bottom w:val="none" w:sz="0" w:space="0" w:color="auto"/>
                <w:right w:val="none" w:sz="0" w:space="0" w:color="auto"/>
              </w:divBdr>
              <w:divsChild>
                <w:div w:id="771975152">
                  <w:marLeft w:val="0"/>
                  <w:marRight w:val="0"/>
                  <w:marTop w:val="0"/>
                  <w:marBottom w:val="0"/>
                  <w:divBdr>
                    <w:top w:val="none" w:sz="0" w:space="0" w:color="auto"/>
                    <w:left w:val="none" w:sz="0" w:space="0" w:color="auto"/>
                    <w:bottom w:val="none" w:sz="0" w:space="0" w:color="auto"/>
                    <w:right w:val="none" w:sz="0" w:space="0" w:color="auto"/>
                  </w:divBdr>
                  <w:divsChild>
                    <w:div w:id="749039345">
                      <w:marLeft w:val="0"/>
                      <w:marRight w:val="0"/>
                      <w:marTop w:val="0"/>
                      <w:marBottom w:val="0"/>
                      <w:divBdr>
                        <w:top w:val="none" w:sz="0" w:space="0" w:color="auto"/>
                        <w:left w:val="none" w:sz="0" w:space="0" w:color="auto"/>
                        <w:bottom w:val="none" w:sz="0" w:space="0" w:color="auto"/>
                        <w:right w:val="none" w:sz="0" w:space="0" w:color="auto"/>
                      </w:divBdr>
                      <w:divsChild>
                        <w:div w:id="6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385336">
      <w:bodyDiv w:val="1"/>
      <w:marLeft w:val="0"/>
      <w:marRight w:val="0"/>
      <w:marTop w:val="0"/>
      <w:marBottom w:val="0"/>
      <w:divBdr>
        <w:top w:val="none" w:sz="0" w:space="0" w:color="auto"/>
        <w:left w:val="none" w:sz="0" w:space="0" w:color="auto"/>
        <w:bottom w:val="none" w:sz="0" w:space="0" w:color="auto"/>
        <w:right w:val="none" w:sz="0" w:space="0" w:color="auto"/>
      </w:divBdr>
      <w:divsChild>
        <w:div w:id="1695110442">
          <w:marLeft w:val="0"/>
          <w:marRight w:val="0"/>
          <w:marTop w:val="0"/>
          <w:marBottom w:val="0"/>
          <w:divBdr>
            <w:top w:val="none" w:sz="0" w:space="0" w:color="auto"/>
            <w:left w:val="none" w:sz="0" w:space="0" w:color="auto"/>
            <w:bottom w:val="none" w:sz="0" w:space="0" w:color="auto"/>
            <w:right w:val="none" w:sz="0" w:space="0" w:color="auto"/>
          </w:divBdr>
        </w:div>
      </w:divsChild>
    </w:div>
    <w:div w:id="1662074109">
      <w:bodyDiv w:val="1"/>
      <w:marLeft w:val="0"/>
      <w:marRight w:val="0"/>
      <w:marTop w:val="0"/>
      <w:marBottom w:val="0"/>
      <w:divBdr>
        <w:top w:val="none" w:sz="0" w:space="0" w:color="auto"/>
        <w:left w:val="none" w:sz="0" w:space="0" w:color="auto"/>
        <w:bottom w:val="none" w:sz="0" w:space="0" w:color="auto"/>
        <w:right w:val="none" w:sz="0" w:space="0" w:color="auto"/>
      </w:divBdr>
      <w:divsChild>
        <w:div w:id="1556816504">
          <w:marLeft w:val="0"/>
          <w:marRight w:val="0"/>
          <w:marTop w:val="0"/>
          <w:marBottom w:val="0"/>
          <w:divBdr>
            <w:top w:val="none" w:sz="0" w:space="0" w:color="auto"/>
            <w:left w:val="none" w:sz="0" w:space="0" w:color="auto"/>
            <w:bottom w:val="none" w:sz="0" w:space="0" w:color="auto"/>
            <w:right w:val="none" w:sz="0" w:space="0" w:color="auto"/>
          </w:divBdr>
        </w:div>
      </w:divsChild>
    </w:div>
    <w:div w:id="1842886432">
      <w:bodyDiv w:val="1"/>
      <w:marLeft w:val="0"/>
      <w:marRight w:val="0"/>
      <w:marTop w:val="0"/>
      <w:marBottom w:val="0"/>
      <w:divBdr>
        <w:top w:val="none" w:sz="0" w:space="0" w:color="auto"/>
        <w:left w:val="none" w:sz="0" w:space="0" w:color="auto"/>
        <w:bottom w:val="none" w:sz="0" w:space="0" w:color="auto"/>
        <w:right w:val="none" w:sz="0" w:space="0" w:color="auto"/>
      </w:divBdr>
      <w:divsChild>
        <w:div w:id="588081869">
          <w:marLeft w:val="0"/>
          <w:marRight w:val="0"/>
          <w:marTop w:val="0"/>
          <w:marBottom w:val="0"/>
          <w:divBdr>
            <w:top w:val="none" w:sz="0" w:space="0" w:color="auto"/>
            <w:left w:val="none" w:sz="0" w:space="0" w:color="auto"/>
            <w:bottom w:val="none" w:sz="0" w:space="0" w:color="auto"/>
            <w:right w:val="none" w:sz="0" w:space="0" w:color="auto"/>
          </w:divBdr>
        </w:div>
      </w:divsChild>
    </w:div>
    <w:div w:id="19126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6418-6539-45E0-8CCB-D190FED0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2020-10-19T17:35:00Z</dcterms:created>
  <dcterms:modified xsi:type="dcterms:W3CDTF">2020-10-19T17:35:00Z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Kristine.Diaz@ocj-cjo.ca</vt:lpwstr>
  </property>
  <property fmtid="{D5CDD505-2E9C-101B-9397-08002B2CF9AE}" pid="5" name="MSIP_Label_034a106e-6316-442c-ad35-738afd673d2b_SetDate">
    <vt:lpwstr>2020-09-28T16:43:05.2064279Z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a301616c-8f69-4e3d-9f55-b2b36e24187c</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