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5719" w14:textId="77777777" w:rsidR="00BD392C" w:rsidRPr="00A05B65" w:rsidRDefault="006F43EA" w:rsidP="00BD392C">
      <w:pPr>
        <w:spacing w:after="0" w:line="240" w:lineRule="auto"/>
        <w:jc w:val="center"/>
        <w:rPr>
          <w:rFonts w:eastAsia="Times New Roman" w:cstheme="minorHAnsi"/>
          <w:b/>
          <w:sz w:val="44"/>
          <w:szCs w:val="44"/>
          <w:lang w:eastAsia="en-CA"/>
        </w:rPr>
      </w:pPr>
      <w:bookmarkStart w:id="0" w:name="_GoBack"/>
      <w:bookmarkEnd w:id="0"/>
      <w:r w:rsidRPr="00A05B65">
        <w:rPr>
          <w:rFonts w:eastAsia="Times New Roman" w:cstheme="minorHAnsi"/>
          <w:b/>
          <w:sz w:val="44"/>
          <w:szCs w:val="44"/>
          <w:lang w:eastAsia="en-CA"/>
        </w:rPr>
        <w:t>Justices of the Peace Review Council</w:t>
      </w:r>
    </w:p>
    <w:p w14:paraId="1328204B" w14:textId="77777777" w:rsidR="00BD392C" w:rsidRPr="00A05B65" w:rsidRDefault="006F43EA" w:rsidP="00BD392C">
      <w:pPr>
        <w:spacing w:after="0" w:line="240" w:lineRule="auto"/>
        <w:ind w:firstLine="3402"/>
        <w:rPr>
          <w:rFonts w:eastAsia="Times New Roman" w:cstheme="minorHAnsi"/>
          <w:b/>
          <w:sz w:val="32"/>
          <w:szCs w:val="32"/>
          <w:lang w:eastAsia="en-CA"/>
        </w:rPr>
      </w:pPr>
      <w:r w:rsidRPr="00A05B65">
        <w:rPr>
          <w:rFonts w:eastAsia="Times New Roman" w:cstheme="minorHAnsi"/>
          <w:b/>
          <w:sz w:val="44"/>
          <w:szCs w:val="44"/>
          <w:lang w:eastAsia="en-CA"/>
        </w:rPr>
        <w:br w:type="textWrapping" w:clear="all"/>
      </w:r>
    </w:p>
    <w:p w14:paraId="056B984B" w14:textId="77777777" w:rsidR="00BD392C" w:rsidRPr="00A05B65" w:rsidRDefault="00BD392C" w:rsidP="00BD392C">
      <w:pPr>
        <w:spacing w:after="0" w:line="240" w:lineRule="auto"/>
        <w:rPr>
          <w:rFonts w:eastAsia="Times New Roman" w:cstheme="minorHAnsi"/>
          <w:b/>
          <w:sz w:val="32"/>
          <w:szCs w:val="32"/>
          <w:lang w:eastAsia="en-CA"/>
        </w:rPr>
      </w:pPr>
    </w:p>
    <w:p w14:paraId="0BBE2DD2" w14:textId="77777777" w:rsidR="006F43EA" w:rsidRPr="00A05B65" w:rsidRDefault="006F43EA" w:rsidP="00BD392C">
      <w:pPr>
        <w:spacing w:after="0" w:line="240" w:lineRule="auto"/>
        <w:jc w:val="center"/>
        <w:rPr>
          <w:rFonts w:eastAsia="Times New Roman" w:cstheme="minorHAnsi"/>
          <w:b/>
          <w:sz w:val="28"/>
          <w:szCs w:val="28"/>
          <w:lang w:eastAsia="en-CA"/>
        </w:rPr>
      </w:pPr>
      <w:r w:rsidRPr="00A05B65">
        <w:rPr>
          <w:rFonts w:eastAsia="Times New Roman" w:cstheme="minorHAnsi"/>
          <w:b/>
          <w:sz w:val="28"/>
          <w:szCs w:val="28"/>
          <w:lang w:eastAsia="en-CA"/>
        </w:rPr>
        <w:t xml:space="preserve">IN THE MATTER OF A HEARING UNDER SECTION 11.1 OF THE </w:t>
      </w:r>
      <w:r w:rsidRPr="00A05B65">
        <w:rPr>
          <w:rFonts w:eastAsia="Times New Roman" w:cstheme="minorHAnsi"/>
          <w:b/>
          <w:i/>
          <w:sz w:val="28"/>
          <w:szCs w:val="28"/>
          <w:lang w:eastAsia="en-CA"/>
        </w:rPr>
        <w:t>JUSTICES OF THE PEACE ACT</w:t>
      </w:r>
      <w:r w:rsidRPr="00A05B65">
        <w:rPr>
          <w:rFonts w:eastAsia="Times New Roman" w:cstheme="minorHAnsi"/>
          <w:b/>
          <w:sz w:val="28"/>
          <w:szCs w:val="28"/>
          <w:lang w:eastAsia="en-CA"/>
        </w:rPr>
        <w:t xml:space="preserve">, R.S.O. 1990, c. J.4, </w:t>
      </w:r>
      <w:r w:rsidRPr="00A05B65">
        <w:rPr>
          <w:rFonts w:eastAsia="Times New Roman" w:cstheme="minorHAnsi"/>
          <w:b/>
          <w:caps/>
          <w:sz w:val="28"/>
          <w:szCs w:val="28"/>
          <w:lang w:eastAsia="en-CA"/>
        </w:rPr>
        <w:t>as amended</w:t>
      </w:r>
      <w:r w:rsidRPr="00A05B65">
        <w:rPr>
          <w:rFonts w:eastAsia="Times New Roman" w:cstheme="minorHAnsi"/>
          <w:b/>
          <w:sz w:val="28"/>
          <w:szCs w:val="28"/>
          <w:lang w:eastAsia="en-CA"/>
        </w:rPr>
        <w:t>,</w:t>
      </w:r>
    </w:p>
    <w:p w14:paraId="19F08A16" w14:textId="77777777" w:rsidR="006123A9" w:rsidRPr="00A05B65" w:rsidRDefault="006123A9" w:rsidP="006F43EA">
      <w:pPr>
        <w:spacing w:after="0" w:line="240" w:lineRule="auto"/>
        <w:jc w:val="center"/>
        <w:rPr>
          <w:rFonts w:eastAsia="Times New Roman" w:cstheme="minorHAnsi"/>
          <w:b/>
          <w:sz w:val="32"/>
          <w:szCs w:val="32"/>
          <w:lang w:eastAsia="en-CA"/>
        </w:rPr>
      </w:pPr>
    </w:p>
    <w:p w14:paraId="3BEE3BB2" w14:textId="77777777" w:rsidR="006F43EA" w:rsidRPr="00A05B65" w:rsidRDefault="006F43EA" w:rsidP="00A84AD4">
      <w:pPr>
        <w:spacing w:before="600" w:after="0" w:line="240" w:lineRule="auto"/>
        <w:jc w:val="center"/>
        <w:rPr>
          <w:rFonts w:eastAsia="Times New Roman" w:cstheme="minorHAnsi"/>
          <w:b/>
          <w:sz w:val="28"/>
          <w:szCs w:val="28"/>
          <w:lang w:eastAsia="en-CA"/>
        </w:rPr>
      </w:pPr>
      <w:r w:rsidRPr="00A05B65">
        <w:rPr>
          <w:rFonts w:eastAsia="Times New Roman" w:cstheme="minorHAnsi"/>
          <w:b/>
          <w:sz w:val="28"/>
          <w:szCs w:val="28"/>
          <w:lang w:eastAsia="en-CA"/>
        </w:rPr>
        <w:t xml:space="preserve">Concerning a Complaint about the Conduct of </w:t>
      </w:r>
    </w:p>
    <w:p w14:paraId="3D74DD01" w14:textId="77777777" w:rsidR="006F43EA" w:rsidRPr="00A05B65" w:rsidRDefault="006F43EA" w:rsidP="006F43EA">
      <w:pPr>
        <w:spacing w:after="840" w:line="240" w:lineRule="auto"/>
        <w:jc w:val="center"/>
        <w:rPr>
          <w:rFonts w:eastAsia="Times New Roman" w:cstheme="minorHAnsi"/>
          <w:b/>
          <w:sz w:val="28"/>
          <w:szCs w:val="28"/>
          <w:lang w:eastAsia="en-CA"/>
        </w:rPr>
      </w:pPr>
      <w:r w:rsidRPr="00A05B65">
        <w:rPr>
          <w:rFonts w:eastAsia="Times New Roman" w:cstheme="minorHAnsi"/>
          <w:b/>
          <w:sz w:val="28"/>
          <w:szCs w:val="28"/>
          <w:lang w:eastAsia="en-CA"/>
        </w:rPr>
        <w:t xml:space="preserve">Justice of the Peace </w:t>
      </w:r>
      <w:r w:rsidR="00A84AD4" w:rsidRPr="00A05B65">
        <w:rPr>
          <w:rFonts w:eastAsia="Times New Roman" w:cstheme="minorHAnsi"/>
          <w:b/>
          <w:sz w:val="28"/>
          <w:szCs w:val="28"/>
          <w:lang w:eastAsia="en-CA"/>
        </w:rPr>
        <w:t>Claire Winchester</w:t>
      </w:r>
      <w:r w:rsidRPr="00A05B65">
        <w:rPr>
          <w:rFonts w:eastAsia="Times New Roman" w:cstheme="minorHAnsi"/>
          <w:b/>
          <w:sz w:val="28"/>
          <w:szCs w:val="28"/>
          <w:lang w:eastAsia="en-CA"/>
        </w:rPr>
        <w:t xml:space="preserve"> </w:t>
      </w:r>
    </w:p>
    <w:p w14:paraId="474F31D3" w14:textId="77777777" w:rsidR="005F158E" w:rsidRPr="00A05B65" w:rsidRDefault="006F43EA" w:rsidP="005F158E">
      <w:pPr>
        <w:spacing w:before="240" w:after="240" w:line="240" w:lineRule="auto"/>
        <w:ind w:right="-448" w:hanging="357"/>
        <w:rPr>
          <w:rFonts w:eastAsia="Times New Roman" w:cstheme="minorHAnsi"/>
          <w:szCs w:val="24"/>
          <w:lang w:eastAsia="en-CA"/>
        </w:rPr>
      </w:pPr>
      <w:r w:rsidRPr="00A05B65">
        <w:rPr>
          <w:rFonts w:eastAsia="Times New Roman" w:cstheme="minorHAnsi"/>
          <w:b/>
          <w:sz w:val="26"/>
          <w:szCs w:val="26"/>
          <w:lang w:eastAsia="en-CA"/>
        </w:rPr>
        <w:t>Before</w:t>
      </w:r>
      <w:r w:rsidRPr="00A05B65">
        <w:rPr>
          <w:rFonts w:eastAsia="Times New Roman" w:cstheme="minorHAnsi"/>
          <w:sz w:val="26"/>
          <w:szCs w:val="26"/>
          <w:lang w:eastAsia="en-CA"/>
        </w:rPr>
        <w:t>:</w:t>
      </w:r>
      <w:r w:rsidRPr="00A05B65">
        <w:rPr>
          <w:rFonts w:eastAsia="Times New Roman" w:cstheme="minorHAnsi"/>
          <w:sz w:val="26"/>
          <w:szCs w:val="26"/>
          <w:lang w:eastAsia="en-CA"/>
        </w:rPr>
        <w:tab/>
      </w:r>
      <w:r w:rsidR="005F158E" w:rsidRPr="00A05B65">
        <w:rPr>
          <w:rFonts w:eastAsia="Times New Roman" w:cstheme="minorHAnsi"/>
          <w:sz w:val="26"/>
          <w:szCs w:val="26"/>
          <w:lang w:eastAsia="en-CA"/>
        </w:rPr>
        <w:tab/>
      </w:r>
      <w:r w:rsidR="005F158E" w:rsidRPr="00A05B65">
        <w:rPr>
          <w:rFonts w:eastAsia="Times New Roman" w:cstheme="minorHAnsi"/>
          <w:sz w:val="26"/>
          <w:szCs w:val="26"/>
          <w:lang w:eastAsia="en-CA"/>
        </w:rPr>
        <w:tab/>
      </w:r>
      <w:r w:rsidR="005F158E" w:rsidRPr="00A05B65">
        <w:rPr>
          <w:rFonts w:eastAsia="Times New Roman" w:cstheme="minorHAnsi"/>
          <w:szCs w:val="24"/>
          <w:lang w:eastAsia="en-CA"/>
        </w:rPr>
        <w:t xml:space="preserve">The Honourable Justice </w:t>
      </w:r>
      <w:r w:rsidR="00A84AD4" w:rsidRPr="00A05B65">
        <w:rPr>
          <w:rFonts w:eastAsia="Times New Roman" w:cstheme="minorHAnsi"/>
          <w:szCs w:val="24"/>
          <w:lang w:eastAsia="en-CA"/>
        </w:rPr>
        <w:t>Martin Lambert</w:t>
      </w:r>
      <w:r w:rsidR="005F158E" w:rsidRPr="00A05B65">
        <w:rPr>
          <w:rFonts w:eastAsia="Times New Roman" w:cstheme="minorHAnsi"/>
          <w:szCs w:val="24"/>
          <w:lang w:eastAsia="en-CA"/>
        </w:rPr>
        <w:t>, Chair</w:t>
      </w:r>
    </w:p>
    <w:p w14:paraId="443749EA" w14:textId="77777777" w:rsidR="005F158E" w:rsidRPr="00A05B65" w:rsidRDefault="005F158E" w:rsidP="007C3A83">
      <w:pPr>
        <w:spacing w:before="240" w:after="240" w:line="240" w:lineRule="auto"/>
        <w:ind w:left="1440" w:right="-448" w:firstLine="720"/>
        <w:rPr>
          <w:rFonts w:eastAsia="Times New Roman" w:cstheme="minorHAnsi"/>
          <w:szCs w:val="24"/>
          <w:lang w:eastAsia="en-CA"/>
        </w:rPr>
      </w:pPr>
      <w:r w:rsidRPr="00A05B65">
        <w:rPr>
          <w:rFonts w:eastAsia="Times New Roman" w:cstheme="minorHAnsi"/>
          <w:szCs w:val="24"/>
          <w:lang w:eastAsia="en-CA"/>
        </w:rPr>
        <w:t>H</w:t>
      </w:r>
      <w:r w:rsidR="00A84AD4" w:rsidRPr="00A05B65">
        <w:rPr>
          <w:rFonts w:eastAsia="Times New Roman" w:cstheme="minorHAnsi"/>
          <w:szCs w:val="24"/>
          <w:lang w:eastAsia="en-CA"/>
        </w:rPr>
        <w:t>er</w:t>
      </w:r>
      <w:r w:rsidRPr="00A05B65">
        <w:rPr>
          <w:rFonts w:eastAsia="Times New Roman" w:cstheme="minorHAnsi"/>
          <w:szCs w:val="24"/>
          <w:lang w:eastAsia="en-CA"/>
        </w:rPr>
        <w:t xml:space="preserve"> Worship </w:t>
      </w:r>
      <w:r w:rsidR="00A84AD4" w:rsidRPr="00A05B65">
        <w:rPr>
          <w:rFonts w:eastAsia="Times New Roman" w:cstheme="minorHAnsi"/>
          <w:szCs w:val="24"/>
          <w:lang w:eastAsia="en-CA"/>
        </w:rPr>
        <w:t>Kristine Diaz</w:t>
      </w:r>
      <w:r w:rsidRPr="00A05B65">
        <w:rPr>
          <w:rFonts w:eastAsia="Times New Roman" w:cstheme="minorHAnsi"/>
          <w:szCs w:val="24"/>
          <w:lang w:eastAsia="en-CA"/>
        </w:rPr>
        <w:t>, Justice of the Peace Member</w:t>
      </w:r>
    </w:p>
    <w:p w14:paraId="181B5CD1" w14:textId="77777777" w:rsidR="005F158E" w:rsidRPr="00A05B65" w:rsidRDefault="005F158E" w:rsidP="007C3A83">
      <w:pPr>
        <w:spacing w:before="240" w:after="240" w:line="240" w:lineRule="auto"/>
        <w:ind w:left="1440" w:right="-448" w:firstLine="720"/>
        <w:rPr>
          <w:rFonts w:eastAsia="Times New Roman" w:cstheme="minorHAnsi"/>
          <w:szCs w:val="24"/>
          <w:lang w:eastAsia="en-CA"/>
        </w:rPr>
      </w:pPr>
      <w:r w:rsidRPr="00A05B65">
        <w:rPr>
          <w:rFonts w:eastAsia="Times New Roman" w:cstheme="minorHAnsi"/>
          <w:szCs w:val="24"/>
          <w:lang w:eastAsia="en-CA"/>
        </w:rPr>
        <w:t>Ms.</w:t>
      </w:r>
      <w:r w:rsidR="00A84AD4" w:rsidRPr="00A05B65">
        <w:rPr>
          <w:rFonts w:eastAsia="Times New Roman" w:cstheme="minorHAnsi"/>
          <w:szCs w:val="24"/>
          <w:lang w:eastAsia="en-CA"/>
        </w:rPr>
        <w:t xml:space="preserve"> Leonore Foster</w:t>
      </w:r>
      <w:r w:rsidRPr="00A05B65">
        <w:rPr>
          <w:rFonts w:eastAsia="Times New Roman" w:cstheme="minorHAnsi"/>
          <w:szCs w:val="24"/>
          <w:lang w:eastAsia="en-CA"/>
        </w:rPr>
        <w:t xml:space="preserve">, </w:t>
      </w:r>
      <w:r w:rsidR="00A84AD4" w:rsidRPr="00A05B65">
        <w:rPr>
          <w:rFonts w:eastAsia="Times New Roman" w:cstheme="minorHAnsi"/>
          <w:szCs w:val="24"/>
          <w:lang w:eastAsia="en-CA"/>
        </w:rPr>
        <w:t xml:space="preserve">Community </w:t>
      </w:r>
      <w:r w:rsidRPr="00A05B65">
        <w:rPr>
          <w:rFonts w:eastAsia="Times New Roman" w:cstheme="minorHAnsi"/>
          <w:szCs w:val="24"/>
          <w:lang w:eastAsia="en-CA"/>
        </w:rPr>
        <w:t>Member</w:t>
      </w:r>
    </w:p>
    <w:p w14:paraId="6CC48A5A" w14:textId="77777777" w:rsidR="006F43EA" w:rsidRPr="00A05B65" w:rsidRDefault="006F43EA" w:rsidP="005F158E">
      <w:pPr>
        <w:spacing w:before="240" w:after="240" w:line="240" w:lineRule="auto"/>
        <w:ind w:left="1440" w:hanging="1440"/>
        <w:rPr>
          <w:rFonts w:eastAsia="Times New Roman" w:cstheme="minorHAnsi"/>
          <w:sz w:val="26"/>
          <w:szCs w:val="26"/>
          <w:lang w:eastAsia="en-CA"/>
        </w:rPr>
      </w:pPr>
    </w:p>
    <w:p w14:paraId="4AFC8306" w14:textId="23DBAC67" w:rsidR="006123A9" w:rsidRPr="00A05B65" w:rsidRDefault="009F430C" w:rsidP="00372402">
      <w:pPr>
        <w:spacing w:after="0" w:line="240" w:lineRule="auto"/>
        <w:jc w:val="center"/>
        <w:rPr>
          <w:rFonts w:eastAsia="Times New Roman" w:cstheme="minorHAnsi"/>
          <w:sz w:val="28"/>
          <w:szCs w:val="28"/>
          <w:lang w:eastAsia="en-CA"/>
        </w:rPr>
      </w:pPr>
      <w:r w:rsidRPr="00A05B65">
        <w:rPr>
          <w:rFonts w:eastAsia="Times New Roman" w:cstheme="minorHAnsi"/>
          <w:b/>
          <w:sz w:val="28"/>
          <w:szCs w:val="28"/>
          <w:lang w:eastAsia="en-CA"/>
        </w:rPr>
        <w:t xml:space="preserve">DECISION ON </w:t>
      </w:r>
      <w:r w:rsidR="00776482" w:rsidRPr="00A05B65">
        <w:rPr>
          <w:rFonts w:eastAsia="Times New Roman" w:cstheme="minorHAnsi"/>
          <w:b/>
          <w:sz w:val="28"/>
          <w:szCs w:val="28"/>
          <w:lang w:eastAsia="en-CA"/>
        </w:rPr>
        <w:t xml:space="preserve">THE APPLICATION FOR A RECOMMENDATION OF </w:t>
      </w:r>
      <w:proofErr w:type="gramStart"/>
      <w:r w:rsidRPr="00A05B65">
        <w:rPr>
          <w:rFonts w:eastAsia="Times New Roman" w:cstheme="minorHAnsi"/>
          <w:b/>
          <w:sz w:val="28"/>
          <w:szCs w:val="28"/>
          <w:lang w:eastAsia="en-CA"/>
        </w:rPr>
        <w:t xml:space="preserve">COMPENSATION </w:t>
      </w:r>
      <w:r w:rsidR="00A84AD4" w:rsidRPr="00A05B65">
        <w:rPr>
          <w:rFonts w:eastAsia="Times New Roman" w:cstheme="minorHAnsi"/>
          <w:b/>
          <w:sz w:val="28"/>
          <w:szCs w:val="28"/>
          <w:lang w:eastAsia="en-CA"/>
        </w:rPr>
        <w:t xml:space="preserve"> </w:t>
      </w:r>
      <w:r w:rsidR="00776482" w:rsidRPr="00A05B65">
        <w:rPr>
          <w:rFonts w:eastAsia="Times New Roman" w:cstheme="minorHAnsi"/>
          <w:b/>
          <w:sz w:val="28"/>
          <w:szCs w:val="28"/>
          <w:lang w:eastAsia="en-CA"/>
        </w:rPr>
        <w:t>FOR</w:t>
      </w:r>
      <w:proofErr w:type="gramEnd"/>
      <w:r w:rsidR="00776482" w:rsidRPr="00A05B65">
        <w:rPr>
          <w:rFonts w:eastAsia="Times New Roman" w:cstheme="minorHAnsi"/>
          <w:b/>
          <w:sz w:val="28"/>
          <w:szCs w:val="28"/>
          <w:lang w:eastAsia="en-CA"/>
        </w:rPr>
        <w:t xml:space="preserve"> LEGAL COSTS</w:t>
      </w:r>
    </w:p>
    <w:p w14:paraId="543B5F69" w14:textId="77777777" w:rsidR="006123A9" w:rsidRPr="00A05B65" w:rsidRDefault="006123A9" w:rsidP="006123A9">
      <w:pPr>
        <w:spacing w:after="0" w:line="240" w:lineRule="auto"/>
        <w:rPr>
          <w:rFonts w:eastAsia="Times New Roman" w:cstheme="minorHAnsi"/>
          <w:b/>
          <w:sz w:val="26"/>
          <w:szCs w:val="26"/>
          <w:lang w:eastAsia="en-CA"/>
        </w:rPr>
      </w:pPr>
    </w:p>
    <w:p w14:paraId="04C81E02" w14:textId="77777777" w:rsidR="00A84AD4" w:rsidRPr="00A05B65" w:rsidRDefault="00A84AD4" w:rsidP="006123A9">
      <w:pPr>
        <w:spacing w:after="0" w:line="240" w:lineRule="auto"/>
        <w:rPr>
          <w:rFonts w:eastAsia="Times New Roman" w:cstheme="minorHAnsi"/>
          <w:b/>
          <w:sz w:val="26"/>
          <w:szCs w:val="26"/>
          <w:lang w:eastAsia="en-CA"/>
        </w:rPr>
      </w:pPr>
    </w:p>
    <w:p w14:paraId="0C33E48F" w14:textId="77777777" w:rsidR="006F43EA" w:rsidRPr="00A05B65" w:rsidRDefault="006F43EA" w:rsidP="00BD392C">
      <w:pPr>
        <w:spacing w:before="720" w:after="0" w:line="240" w:lineRule="auto"/>
        <w:rPr>
          <w:rFonts w:eastAsia="Times New Roman" w:cstheme="minorHAnsi"/>
          <w:szCs w:val="24"/>
          <w:lang w:eastAsia="en-CA"/>
        </w:rPr>
      </w:pPr>
      <w:r w:rsidRPr="00A05B65">
        <w:rPr>
          <w:rFonts w:eastAsia="Times New Roman" w:cstheme="minorHAnsi"/>
          <w:b/>
          <w:szCs w:val="24"/>
          <w:lang w:eastAsia="en-CA"/>
        </w:rPr>
        <w:t>Counsel:</w:t>
      </w:r>
    </w:p>
    <w:p w14:paraId="3DD3ED68" w14:textId="77777777" w:rsidR="006123A9" w:rsidRPr="00A05B65" w:rsidRDefault="006123A9" w:rsidP="006123A9">
      <w:pPr>
        <w:spacing w:after="0" w:line="240" w:lineRule="auto"/>
        <w:ind w:left="2160" w:hanging="2160"/>
        <w:rPr>
          <w:rFonts w:eastAsia="Times New Roman" w:cstheme="minorHAnsi"/>
          <w:szCs w:val="24"/>
          <w:lang w:eastAsia="en-CA"/>
        </w:rPr>
      </w:pPr>
    </w:p>
    <w:p w14:paraId="0647961C" w14:textId="77777777" w:rsidR="00A84AD4" w:rsidRPr="00A05B65" w:rsidRDefault="006F43EA" w:rsidP="006123A9">
      <w:pPr>
        <w:spacing w:after="0" w:line="240" w:lineRule="auto"/>
        <w:ind w:left="2160" w:hanging="2160"/>
        <w:rPr>
          <w:rFonts w:eastAsia="Times New Roman" w:cstheme="minorHAnsi"/>
          <w:szCs w:val="24"/>
          <w:lang w:eastAsia="en-CA"/>
        </w:rPr>
      </w:pPr>
      <w:r w:rsidRPr="00A05B65">
        <w:rPr>
          <w:rFonts w:eastAsia="Times New Roman" w:cstheme="minorHAnsi"/>
          <w:szCs w:val="24"/>
          <w:lang w:eastAsia="en-CA"/>
        </w:rPr>
        <w:t xml:space="preserve">Mr. </w:t>
      </w:r>
      <w:r w:rsidR="00803C6E" w:rsidRPr="00A05B65">
        <w:rPr>
          <w:rFonts w:eastAsia="Times New Roman" w:cstheme="minorHAnsi"/>
          <w:szCs w:val="24"/>
          <w:lang w:eastAsia="en-CA"/>
        </w:rPr>
        <w:t>Matthew Gourlay</w:t>
      </w:r>
    </w:p>
    <w:p w14:paraId="03567629" w14:textId="77777777" w:rsidR="006123A9" w:rsidRPr="00A05B65" w:rsidRDefault="006123A9" w:rsidP="006123A9">
      <w:pPr>
        <w:spacing w:after="0" w:line="240" w:lineRule="auto"/>
        <w:ind w:left="2160" w:hanging="2160"/>
        <w:rPr>
          <w:rFonts w:eastAsia="Times New Roman" w:cstheme="minorHAnsi"/>
          <w:szCs w:val="24"/>
          <w:lang w:eastAsia="en-CA"/>
        </w:rPr>
      </w:pPr>
      <w:r w:rsidRPr="00A05B65">
        <w:rPr>
          <w:rFonts w:eastAsia="Times New Roman" w:cstheme="minorHAnsi"/>
          <w:szCs w:val="24"/>
          <w:lang w:eastAsia="en-CA"/>
        </w:rPr>
        <w:t>Presenting Counsel</w:t>
      </w:r>
    </w:p>
    <w:p w14:paraId="26FFA909" w14:textId="77777777" w:rsidR="006123A9" w:rsidRPr="00A05B65" w:rsidRDefault="006123A9" w:rsidP="006F43EA">
      <w:pPr>
        <w:spacing w:after="0" w:line="240" w:lineRule="auto"/>
        <w:ind w:left="2160" w:hanging="2160"/>
        <w:rPr>
          <w:rFonts w:eastAsia="Times New Roman" w:cstheme="minorHAnsi"/>
          <w:szCs w:val="24"/>
          <w:lang w:eastAsia="en-CA"/>
        </w:rPr>
      </w:pPr>
    </w:p>
    <w:p w14:paraId="39048334" w14:textId="77777777" w:rsidR="00A84AD4" w:rsidRPr="00A05B65" w:rsidRDefault="006123A9" w:rsidP="006123A9">
      <w:pPr>
        <w:spacing w:after="0" w:line="240" w:lineRule="auto"/>
        <w:ind w:left="2160" w:hanging="2160"/>
        <w:rPr>
          <w:rFonts w:eastAsia="Times New Roman" w:cstheme="minorHAnsi"/>
          <w:szCs w:val="24"/>
          <w:lang w:eastAsia="en-CA"/>
        </w:rPr>
      </w:pPr>
      <w:r w:rsidRPr="00A05B65">
        <w:rPr>
          <w:rFonts w:eastAsia="Times New Roman" w:cstheme="minorHAnsi"/>
          <w:szCs w:val="24"/>
          <w:lang w:eastAsia="en-CA"/>
        </w:rPr>
        <w:t>M</w:t>
      </w:r>
      <w:r w:rsidR="006F43EA" w:rsidRPr="00A05B65">
        <w:rPr>
          <w:rFonts w:eastAsia="Times New Roman" w:cstheme="minorHAnsi"/>
          <w:szCs w:val="24"/>
          <w:lang w:eastAsia="en-CA"/>
        </w:rPr>
        <w:t xml:space="preserve">r. </w:t>
      </w:r>
      <w:r w:rsidR="00A84AD4" w:rsidRPr="00A05B65">
        <w:rPr>
          <w:rFonts w:eastAsia="Times New Roman" w:cstheme="minorHAnsi"/>
          <w:szCs w:val="24"/>
          <w:lang w:eastAsia="en-CA"/>
        </w:rPr>
        <w:t>Donald Bayne</w:t>
      </w:r>
    </w:p>
    <w:p w14:paraId="7D2A3FEC" w14:textId="77777777" w:rsidR="00A84AD4" w:rsidRPr="00A05B65" w:rsidRDefault="00A84AD4" w:rsidP="006123A9">
      <w:pPr>
        <w:spacing w:after="0" w:line="240" w:lineRule="auto"/>
        <w:ind w:left="2160" w:hanging="2160"/>
        <w:rPr>
          <w:rFonts w:eastAsia="Times New Roman" w:cstheme="minorHAnsi"/>
          <w:szCs w:val="24"/>
          <w:lang w:eastAsia="en-CA"/>
        </w:rPr>
      </w:pPr>
      <w:r w:rsidRPr="00A05B65">
        <w:rPr>
          <w:rFonts w:eastAsia="Times New Roman" w:cstheme="minorHAnsi"/>
          <w:szCs w:val="24"/>
          <w:lang w:eastAsia="en-CA"/>
        </w:rPr>
        <w:t>Ms. Michelle O’Doherty</w:t>
      </w:r>
    </w:p>
    <w:p w14:paraId="58E33F5D" w14:textId="77777777" w:rsidR="00BD392C" w:rsidRPr="00A05B65" w:rsidRDefault="006F43EA" w:rsidP="006123A9">
      <w:pPr>
        <w:spacing w:after="0" w:line="240" w:lineRule="auto"/>
        <w:ind w:left="2160" w:hanging="2160"/>
        <w:rPr>
          <w:rFonts w:eastAsia="Times New Roman" w:cstheme="minorHAnsi"/>
          <w:szCs w:val="24"/>
          <w:lang w:eastAsia="en-CA"/>
        </w:rPr>
      </w:pPr>
      <w:r w:rsidRPr="00A05B65">
        <w:rPr>
          <w:rFonts w:eastAsia="Times New Roman" w:cstheme="minorHAnsi"/>
          <w:szCs w:val="24"/>
          <w:lang w:eastAsia="en-CA"/>
        </w:rPr>
        <w:t xml:space="preserve">Counsel for </w:t>
      </w:r>
      <w:r w:rsidR="003959D1" w:rsidRPr="00A05B65">
        <w:rPr>
          <w:rFonts w:eastAsia="Times New Roman" w:cstheme="minorHAnsi"/>
          <w:szCs w:val="24"/>
          <w:lang w:eastAsia="en-CA"/>
        </w:rPr>
        <w:t>Her</w:t>
      </w:r>
      <w:r w:rsidRPr="00A05B65">
        <w:rPr>
          <w:rFonts w:eastAsia="Times New Roman" w:cstheme="minorHAnsi"/>
          <w:szCs w:val="24"/>
          <w:lang w:eastAsia="en-CA"/>
        </w:rPr>
        <w:t xml:space="preserve"> Worship </w:t>
      </w:r>
    </w:p>
    <w:p w14:paraId="2102ABBA" w14:textId="77777777" w:rsidR="00BD392C" w:rsidRPr="00A05B65" w:rsidRDefault="00BD392C">
      <w:pPr>
        <w:rPr>
          <w:rFonts w:eastAsia="Times New Roman" w:cstheme="minorHAnsi"/>
          <w:sz w:val="26"/>
          <w:szCs w:val="26"/>
          <w:lang w:eastAsia="en-CA"/>
        </w:rPr>
      </w:pPr>
      <w:r w:rsidRPr="00A05B65">
        <w:rPr>
          <w:rFonts w:eastAsia="Times New Roman" w:cstheme="minorHAnsi"/>
          <w:sz w:val="26"/>
          <w:szCs w:val="26"/>
          <w:lang w:eastAsia="en-CA"/>
        </w:rPr>
        <w:br w:type="page"/>
      </w:r>
    </w:p>
    <w:p w14:paraId="1A94BEA2" w14:textId="5219D6D1" w:rsidR="009F430C" w:rsidRPr="00A05B65" w:rsidRDefault="003F3702" w:rsidP="00E27DD6">
      <w:pPr>
        <w:pStyle w:val="ListParagraph"/>
        <w:numPr>
          <w:ilvl w:val="0"/>
          <w:numId w:val="8"/>
        </w:numPr>
        <w:spacing w:line="240" w:lineRule="auto"/>
        <w:ind w:left="709" w:hanging="709"/>
        <w:jc w:val="both"/>
        <w:rPr>
          <w:rFonts w:cstheme="minorHAnsi"/>
          <w:i/>
          <w:iCs/>
          <w:color w:val="000000"/>
          <w:szCs w:val="24"/>
          <w:lang w:val="en-US"/>
        </w:rPr>
      </w:pPr>
      <w:r w:rsidRPr="00A05B65">
        <w:rPr>
          <w:rFonts w:cstheme="minorHAnsi"/>
          <w:color w:val="000000"/>
          <w:szCs w:val="24"/>
          <w:lang w:val="en-US"/>
        </w:rPr>
        <w:lastRenderedPageBreak/>
        <w:t>On</w:t>
      </w:r>
      <w:r w:rsidR="009F430C" w:rsidRPr="00A05B65">
        <w:rPr>
          <w:rFonts w:cstheme="minorHAnsi"/>
          <w:color w:val="000000"/>
          <w:szCs w:val="24"/>
          <w:lang w:val="en-US"/>
        </w:rPr>
        <w:t xml:space="preserve"> February 19, 2020, this Hearing Panel found that Justice of the Peace Winchester engaged in judicial misconduct.</w:t>
      </w:r>
    </w:p>
    <w:p w14:paraId="6870C8A1" w14:textId="77777777" w:rsidR="009F430C" w:rsidRPr="00A05B65" w:rsidRDefault="009F430C" w:rsidP="009F430C">
      <w:pPr>
        <w:pStyle w:val="ListParagraph"/>
        <w:spacing w:line="240" w:lineRule="auto"/>
        <w:ind w:left="709"/>
        <w:jc w:val="both"/>
        <w:rPr>
          <w:rFonts w:cstheme="minorHAnsi"/>
          <w:iCs/>
          <w:color w:val="000000"/>
          <w:szCs w:val="24"/>
          <w:lang w:val="en-US"/>
        </w:rPr>
      </w:pPr>
    </w:p>
    <w:p w14:paraId="75514EB6" w14:textId="3E602D98" w:rsidR="009F430C" w:rsidRPr="00A05B65" w:rsidRDefault="009F430C" w:rsidP="00E27DD6">
      <w:pPr>
        <w:pStyle w:val="ListParagraph"/>
        <w:numPr>
          <w:ilvl w:val="0"/>
          <w:numId w:val="8"/>
        </w:numPr>
        <w:spacing w:line="240" w:lineRule="auto"/>
        <w:ind w:left="709" w:hanging="709"/>
        <w:jc w:val="both"/>
        <w:rPr>
          <w:rFonts w:cstheme="minorHAnsi"/>
          <w:i/>
          <w:iCs/>
          <w:color w:val="000000"/>
          <w:szCs w:val="24"/>
          <w:lang w:val="en-US"/>
        </w:rPr>
      </w:pPr>
      <w:r w:rsidRPr="00A05B65">
        <w:rPr>
          <w:rFonts w:cstheme="minorHAnsi"/>
          <w:iCs/>
          <w:color w:val="000000"/>
          <w:szCs w:val="24"/>
          <w:lang w:val="en-US"/>
        </w:rPr>
        <w:t>We found as follows:</w:t>
      </w:r>
    </w:p>
    <w:p w14:paraId="49E3B804" w14:textId="77777777" w:rsidR="009F430C" w:rsidRPr="00A05B65" w:rsidRDefault="009F430C" w:rsidP="009F430C">
      <w:pPr>
        <w:pStyle w:val="ListParagraph"/>
        <w:spacing w:line="240" w:lineRule="auto"/>
        <w:ind w:left="709"/>
        <w:jc w:val="both"/>
        <w:rPr>
          <w:rFonts w:cstheme="minorHAnsi"/>
          <w:i/>
          <w:iCs/>
          <w:color w:val="000000"/>
          <w:szCs w:val="24"/>
          <w:lang w:val="en-US"/>
        </w:rPr>
      </w:pPr>
    </w:p>
    <w:p w14:paraId="682364C2" w14:textId="58C727E6" w:rsidR="0064778A" w:rsidRPr="00A05B65" w:rsidRDefault="00776482" w:rsidP="009F430C">
      <w:pPr>
        <w:pStyle w:val="ListParagraph"/>
        <w:spacing w:line="240" w:lineRule="auto"/>
        <w:ind w:left="1418" w:right="571"/>
        <w:jc w:val="both"/>
        <w:rPr>
          <w:rFonts w:cstheme="minorHAnsi"/>
          <w:szCs w:val="24"/>
          <w:lang w:val="en-US"/>
        </w:rPr>
      </w:pPr>
      <w:r w:rsidRPr="00A05B65">
        <w:rPr>
          <w:rFonts w:cstheme="minorHAnsi"/>
          <w:szCs w:val="24"/>
          <w:lang w:val="en-US"/>
        </w:rPr>
        <w:t>[59]</w:t>
      </w:r>
      <w:r w:rsidRPr="00A05B65">
        <w:rPr>
          <w:rFonts w:cstheme="minorHAnsi"/>
          <w:szCs w:val="24"/>
          <w:lang w:val="en-US"/>
        </w:rPr>
        <w:tab/>
      </w:r>
      <w:r w:rsidR="0064778A" w:rsidRPr="00A05B65">
        <w:rPr>
          <w:rFonts w:cstheme="minorHAnsi"/>
          <w:szCs w:val="24"/>
          <w:lang w:val="en-US"/>
        </w:rPr>
        <w:t xml:space="preserve">We unequivocally conclude that </w:t>
      </w:r>
      <w:r w:rsidR="00FC085F" w:rsidRPr="00A05B65">
        <w:rPr>
          <w:rFonts w:cstheme="minorHAnsi"/>
          <w:szCs w:val="24"/>
          <w:lang w:val="en-US"/>
        </w:rPr>
        <w:t>Her Worship</w:t>
      </w:r>
      <w:r w:rsidR="0064778A" w:rsidRPr="00A05B65">
        <w:rPr>
          <w:rFonts w:cstheme="minorHAnsi"/>
          <w:szCs w:val="24"/>
          <w:lang w:val="en-US"/>
        </w:rPr>
        <w:t xml:space="preserve"> acted in haste and without due regard to the right of the accused to have his bail hearing held that day. Her decision to close court was </w:t>
      </w:r>
      <w:r w:rsidR="00A74A0B" w:rsidRPr="00A05B65">
        <w:rPr>
          <w:rFonts w:cstheme="minorHAnsi"/>
          <w:szCs w:val="24"/>
          <w:lang w:val="en-US"/>
        </w:rPr>
        <w:t xml:space="preserve">not </w:t>
      </w:r>
      <w:r w:rsidR="0064778A" w:rsidRPr="00A05B65">
        <w:rPr>
          <w:rFonts w:cstheme="minorHAnsi"/>
          <w:szCs w:val="24"/>
          <w:lang w:val="en-US"/>
        </w:rPr>
        <w:t xml:space="preserve">judicial decision-making immune from review by the Council. Had she held the matter down to provide an opportunity to have the </w:t>
      </w:r>
      <w:proofErr w:type="spellStart"/>
      <w:r w:rsidR="0064778A" w:rsidRPr="00A05B65">
        <w:rPr>
          <w:rFonts w:cstheme="minorHAnsi"/>
          <w:szCs w:val="24"/>
          <w:lang w:val="en-US"/>
        </w:rPr>
        <w:t>Informations</w:t>
      </w:r>
      <w:proofErr w:type="spellEnd"/>
      <w:r w:rsidR="0064778A" w:rsidRPr="00A05B65">
        <w:rPr>
          <w:rFonts w:cstheme="minorHAnsi"/>
          <w:szCs w:val="24"/>
          <w:lang w:val="en-US"/>
        </w:rPr>
        <w:t xml:space="preserve"> brought before the court, </w:t>
      </w:r>
      <w:r w:rsidR="00FC085F" w:rsidRPr="00A05B65">
        <w:rPr>
          <w:rFonts w:cstheme="minorHAnsi"/>
          <w:szCs w:val="24"/>
          <w:lang w:val="en-US"/>
        </w:rPr>
        <w:t xml:space="preserve">heard the bail hearing </w:t>
      </w:r>
      <w:r w:rsidR="0064778A" w:rsidRPr="00A05B65">
        <w:rPr>
          <w:rFonts w:cstheme="minorHAnsi"/>
          <w:szCs w:val="24"/>
          <w:lang w:val="en-US"/>
        </w:rPr>
        <w:t xml:space="preserve">and denied JJ bail, </w:t>
      </w:r>
      <w:proofErr w:type="gramStart"/>
      <w:r w:rsidR="0064778A" w:rsidRPr="00A05B65">
        <w:rPr>
          <w:rFonts w:cstheme="minorHAnsi"/>
          <w:szCs w:val="24"/>
          <w:lang w:val="en-US"/>
        </w:rPr>
        <w:t>it is clear that the</w:t>
      </w:r>
      <w:proofErr w:type="gramEnd"/>
      <w:r w:rsidR="0064778A" w:rsidRPr="00A05B65">
        <w:rPr>
          <w:rFonts w:cstheme="minorHAnsi"/>
          <w:szCs w:val="24"/>
          <w:lang w:val="en-US"/>
        </w:rPr>
        <w:t xml:space="preserve"> recourse would have been a bail review and not a complaint to the JPRC.</w:t>
      </w:r>
    </w:p>
    <w:p w14:paraId="30DD48EF" w14:textId="77777777" w:rsidR="0064778A" w:rsidRPr="00A05B65" w:rsidRDefault="0064778A" w:rsidP="009F430C">
      <w:pPr>
        <w:pStyle w:val="ListParagraph"/>
        <w:ind w:left="1418" w:right="571"/>
        <w:rPr>
          <w:rFonts w:cstheme="minorHAnsi"/>
          <w:szCs w:val="24"/>
          <w:lang w:val="en-US"/>
        </w:rPr>
      </w:pPr>
    </w:p>
    <w:p w14:paraId="3443C63A" w14:textId="5A2CB5D0" w:rsidR="0064778A" w:rsidRPr="00A05B65" w:rsidRDefault="00776482" w:rsidP="00776482">
      <w:pPr>
        <w:pStyle w:val="ListParagraph"/>
        <w:spacing w:line="240" w:lineRule="auto"/>
        <w:ind w:left="1418" w:right="571"/>
        <w:jc w:val="both"/>
        <w:rPr>
          <w:rFonts w:cstheme="minorHAnsi"/>
          <w:szCs w:val="24"/>
          <w:lang w:val="en-US"/>
        </w:rPr>
      </w:pPr>
      <w:r w:rsidRPr="00A05B65">
        <w:rPr>
          <w:rFonts w:cstheme="minorHAnsi"/>
          <w:szCs w:val="24"/>
          <w:lang w:val="en-US"/>
        </w:rPr>
        <w:t>[60]</w:t>
      </w:r>
      <w:r w:rsidRPr="00A05B65">
        <w:rPr>
          <w:rFonts w:cstheme="minorHAnsi"/>
          <w:szCs w:val="24"/>
          <w:lang w:val="en-US"/>
        </w:rPr>
        <w:tab/>
        <w:t>As t</w:t>
      </w:r>
      <w:r w:rsidR="0064778A" w:rsidRPr="00A05B65">
        <w:rPr>
          <w:rFonts w:cstheme="minorHAnsi"/>
          <w:szCs w:val="24"/>
          <w:lang w:val="en-US"/>
        </w:rPr>
        <w:t xml:space="preserve">he Supreme Court of Canada noted </w:t>
      </w:r>
      <w:r w:rsidR="0064778A" w:rsidRPr="00A05B65">
        <w:rPr>
          <w:rFonts w:ascii="Arial" w:eastAsia="Times New Roman" w:hAnsi="Arial" w:cs="Arial"/>
          <w:szCs w:val="24"/>
          <w:lang w:eastAsia="en-CA"/>
        </w:rPr>
        <w:t xml:space="preserve">in </w:t>
      </w:r>
      <w:r w:rsidR="0064778A" w:rsidRPr="00A05B65">
        <w:rPr>
          <w:rFonts w:ascii="Arial" w:eastAsia="Times New Roman" w:hAnsi="Arial" w:cs="Arial"/>
          <w:bCs/>
          <w:i/>
          <w:szCs w:val="24"/>
          <w:lang w:eastAsia="en-CA"/>
        </w:rPr>
        <w:t xml:space="preserve">Moreau-Bérubé </w:t>
      </w:r>
      <w:r w:rsidR="0064778A" w:rsidRPr="00A05B65">
        <w:rPr>
          <w:rFonts w:ascii="Arial" w:eastAsia="Times New Roman" w:hAnsi="Arial" w:cs="Arial"/>
          <w:i/>
          <w:szCs w:val="24"/>
          <w:lang w:eastAsia="en-CA"/>
        </w:rPr>
        <w:t>v. New Brunswick (Judicial Council)</w:t>
      </w:r>
      <w:r w:rsidR="0064778A" w:rsidRPr="00A05B65">
        <w:rPr>
          <w:rFonts w:ascii="Arial" w:eastAsia="Times New Roman" w:hAnsi="Arial" w:cs="Arial"/>
          <w:szCs w:val="24"/>
          <w:lang w:eastAsia="en-CA"/>
        </w:rPr>
        <w:t xml:space="preserve">, supra, at para. 58, there are cases when an abuse of judicial independence by a judicial officer has threatened the integrity of the </w:t>
      </w:r>
      <w:proofErr w:type="gramStart"/>
      <w:r w:rsidR="0064778A" w:rsidRPr="00A05B65">
        <w:rPr>
          <w:rFonts w:ascii="Arial" w:eastAsia="Times New Roman" w:hAnsi="Arial" w:cs="Arial"/>
          <w:szCs w:val="24"/>
          <w:lang w:eastAsia="en-CA"/>
        </w:rPr>
        <w:t>judiciary as a whole</w:t>
      </w:r>
      <w:proofErr w:type="gramEnd"/>
      <w:r w:rsidR="0064778A" w:rsidRPr="00A05B65">
        <w:rPr>
          <w:rFonts w:ascii="Arial" w:eastAsia="Times New Roman" w:hAnsi="Arial" w:cs="Arial"/>
          <w:szCs w:val="24"/>
          <w:lang w:eastAsia="en-CA"/>
        </w:rPr>
        <w:t xml:space="preserve">. The harm alleged is not curable by the appeal process. </w:t>
      </w:r>
    </w:p>
    <w:p w14:paraId="27186AE6" w14:textId="77777777" w:rsidR="0064778A" w:rsidRPr="00A05B65" w:rsidRDefault="0064778A" w:rsidP="009F430C">
      <w:pPr>
        <w:pStyle w:val="ListParagraph"/>
        <w:ind w:left="1418" w:right="571"/>
        <w:rPr>
          <w:rFonts w:cstheme="minorHAnsi"/>
          <w:szCs w:val="24"/>
          <w:lang w:val="en-US"/>
        </w:rPr>
      </w:pPr>
    </w:p>
    <w:p w14:paraId="6EC9CC7F" w14:textId="0047DF48" w:rsidR="00D61490" w:rsidRPr="00A05B65" w:rsidRDefault="00776482" w:rsidP="00776482">
      <w:pPr>
        <w:pStyle w:val="ListParagraph"/>
        <w:spacing w:line="240" w:lineRule="auto"/>
        <w:ind w:left="1418" w:right="571"/>
        <w:jc w:val="both"/>
        <w:rPr>
          <w:rFonts w:cstheme="minorHAnsi"/>
          <w:szCs w:val="24"/>
          <w:lang w:val="en-US"/>
        </w:rPr>
      </w:pPr>
      <w:r w:rsidRPr="00A05B65">
        <w:rPr>
          <w:rFonts w:cstheme="minorHAnsi"/>
          <w:szCs w:val="24"/>
          <w:lang w:val="en-US"/>
        </w:rPr>
        <w:t>[61]</w:t>
      </w:r>
      <w:r w:rsidRPr="00A05B65">
        <w:rPr>
          <w:rFonts w:cstheme="minorHAnsi"/>
          <w:szCs w:val="24"/>
          <w:lang w:val="en-US"/>
        </w:rPr>
        <w:tab/>
      </w:r>
      <w:r w:rsidR="00D61490" w:rsidRPr="00A05B65">
        <w:rPr>
          <w:rFonts w:cstheme="minorHAnsi"/>
          <w:szCs w:val="24"/>
          <w:lang w:val="en-US"/>
        </w:rPr>
        <w:t xml:space="preserve">After the events of May </w:t>
      </w:r>
      <w:r w:rsidR="00AD6A40" w:rsidRPr="00A05B65">
        <w:rPr>
          <w:rFonts w:cstheme="minorHAnsi"/>
          <w:szCs w:val="24"/>
          <w:lang w:val="en-US"/>
        </w:rPr>
        <w:t>23</w:t>
      </w:r>
      <w:r w:rsidR="00D61490" w:rsidRPr="00A05B65">
        <w:rPr>
          <w:rFonts w:cstheme="minorHAnsi"/>
          <w:szCs w:val="24"/>
          <w:vertAlign w:val="superscript"/>
          <w:lang w:val="en-US"/>
        </w:rPr>
        <w:t xml:space="preserve">, </w:t>
      </w:r>
      <w:r w:rsidR="00D61490" w:rsidRPr="00A05B65">
        <w:rPr>
          <w:rFonts w:cstheme="minorHAnsi"/>
          <w:szCs w:val="24"/>
          <w:lang w:val="en-US"/>
        </w:rPr>
        <w:t xml:space="preserve">2018, RSJP Leblanc made it clear to Her Worship that a justice of the peace has an obligation to fulfill their judicial </w:t>
      </w:r>
      <w:r w:rsidR="00117088" w:rsidRPr="00A05B65">
        <w:rPr>
          <w:rFonts w:cstheme="minorHAnsi"/>
          <w:szCs w:val="24"/>
          <w:lang w:val="en-US"/>
        </w:rPr>
        <w:t>duties</w:t>
      </w:r>
      <w:r w:rsidR="00D61490" w:rsidRPr="00A05B65">
        <w:rPr>
          <w:rFonts w:cstheme="minorHAnsi"/>
          <w:szCs w:val="24"/>
          <w:lang w:val="en-US"/>
        </w:rPr>
        <w:t xml:space="preserve"> until the end of the court day. </w:t>
      </w:r>
    </w:p>
    <w:p w14:paraId="4EB72743" w14:textId="77777777" w:rsidR="00D61490" w:rsidRPr="00A05B65" w:rsidRDefault="00D61490" w:rsidP="009F430C">
      <w:pPr>
        <w:pStyle w:val="ListParagraph"/>
        <w:ind w:left="1418" w:right="571"/>
        <w:rPr>
          <w:rFonts w:cstheme="minorHAnsi"/>
          <w:szCs w:val="24"/>
          <w:lang w:val="en-US"/>
        </w:rPr>
      </w:pPr>
    </w:p>
    <w:p w14:paraId="636A0A62" w14:textId="604D8427" w:rsidR="0072656D" w:rsidRPr="00A05B65" w:rsidRDefault="00776482" w:rsidP="00776482">
      <w:pPr>
        <w:pStyle w:val="ListParagraph"/>
        <w:spacing w:line="240" w:lineRule="auto"/>
        <w:ind w:left="1418" w:right="571"/>
        <w:jc w:val="both"/>
        <w:rPr>
          <w:rFonts w:cstheme="minorHAnsi"/>
          <w:szCs w:val="24"/>
          <w:lang w:val="en-US"/>
        </w:rPr>
      </w:pPr>
      <w:r w:rsidRPr="00A05B65">
        <w:rPr>
          <w:rFonts w:cstheme="minorHAnsi"/>
          <w:szCs w:val="24"/>
          <w:lang w:val="en-US"/>
        </w:rPr>
        <w:t>[62]</w:t>
      </w:r>
      <w:r w:rsidRPr="00A05B65">
        <w:rPr>
          <w:rFonts w:cstheme="minorHAnsi"/>
          <w:szCs w:val="24"/>
          <w:lang w:val="en-US"/>
        </w:rPr>
        <w:tab/>
      </w:r>
      <w:r w:rsidR="0064778A" w:rsidRPr="00A05B65">
        <w:rPr>
          <w:rFonts w:cstheme="minorHAnsi"/>
          <w:szCs w:val="24"/>
          <w:lang w:val="en-US"/>
        </w:rPr>
        <w:t>We find that in disregarding the constitutional, procedural and fundamental rights of the accused</w:t>
      </w:r>
      <w:r w:rsidR="00D61490" w:rsidRPr="00A05B65">
        <w:rPr>
          <w:rFonts w:cstheme="minorHAnsi"/>
          <w:szCs w:val="24"/>
          <w:lang w:val="en-US"/>
        </w:rPr>
        <w:t xml:space="preserve"> on June 27, 2018</w:t>
      </w:r>
      <w:r w:rsidR="0064778A" w:rsidRPr="00A05B65">
        <w:rPr>
          <w:rFonts w:cstheme="minorHAnsi"/>
          <w:szCs w:val="24"/>
          <w:lang w:val="en-US"/>
        </w:rPr>
        <w:t xml:space="preserve">, Her Worship </w:t>
      </w:r>
      <w:r w:rsidR="00CF6FDF" w:rsidRPr="00A05B65">
        <w:rPr>
          <w:rFonts w:cstheme="minorHAnsi"/>
          <w:szCs w:val="24"/>
          <w:lang w:val="en-US"/>
        </w:rPr>
        <w:t xml:space="preserve">failed to uphold </w:t>
      </w:r>
      <w:r w:rsidR="0032714B" w:rsidRPr="00A05B65">
        <w:rPr>
          <w:rFonts w:cstheme="minorHAnsi"/>
          <w:szCs w:val="24"/>
          <w:lang w:val="en-US"/>
        </w:rPr>
        <w:t xml:space="preserve">and maintain </w:t>
      </w:r>
      <w:r w:rsidR="00CF6FDF" w:rsidRPr="00A05B65">
        <w:rPr>
          <w:rFonts w:cstheme="minorHAnsi"/>
          <w:szCs w:val="24"/>
          <w:lang w:val="en-US"/>
        </w:rPr>
        <w:t xml:space="preserve">judicial integrity, and </w:t>
      </w:r>
      <w:r w:rsidR="0064778A" w:rsidRPr="00A05B65">
        <w:rPr>
          <w:rFonts w:cstheme="minorHAnsi"/>
          <w:szCs w:val="24"/>
          <w:lang w:val="en-US"/>
        </w:rPr>
        <w:t>undermined public confidence in the integrity of her judicial office and in the administration of justice.</w:t>
      </w:r>
      <w:r w:rsidR="00F27A26" w:rsidRPr="00A05B65">
        <w:rPr>
          <w:rFonts w:cstheme="minorHAnsi"/>
          <w:szCs w:val="24"/>
          <w:lang w:val="en-US"/>
        </w:rPr>
        <w:t xml:space="preserve"> </w:t>
      </w:r>
    </w:p>
    <w:p w14:paraId="761D31A8" w14:textId="77777777" w:rsidR="0072656D" w:rsidRPr="00A05B65" w:rsidRDefault="0072656D" w:rsidP="009F430C">
      <w:pPr>
        <w:pStyle w:val="ListParagraph"/>
        <w:ind w:left="1418" w:right="571"/>
        <w:rPr>
          <w:rFonts w:cstheme="minorHAnsi"/>
          <w:szCs w:val="24"/>
          <w:lang w:val="en-US"/>
        </w:rPr>
      </w:pPr>
    </w:p>
    <w:p w14:paraId="5906F4FD" w14:textId="7EDFEF76" w:rsidR="00FE01D7" w:rsidRPr="00A05B65" w:rsidRDefault="00776482" w:rsidP="00776482">
      <w:pPr>
        <w:pStyle w:val="ListParagraph"/>
        <w:spacing w:line="240" w:lineRule="auto"/>
        <w:ind w:left="1418" w:right="571"/>
        <w:jc w:val="both"/>
        <w:rPr>
          <w:rFonts w:cstheme="minorHAnsi"/>
          <w:szCs w:val="24"/>
          <w:lang w:val="en-US"/>
        </w:rPr>
      </w:pPr>
      <w:r w:rsidRPr="00A05B65">
        <w:rPr>
          <w:rFonts w:cstheme="minorHAnsi"/>
          <w:szCs w:val="24"/>
          <w:lang w:val="en-US"/>
        </w:rPr>
        <w:t>[63]</w:t>
      </w:r>
      <w:r w:rsidRPr="00A05B65">
        <w:rPr>
          <w:rFonts w:cstheme="minorHAnsi"/>
          <w:szCs w:val="24"/>
          <w:lang w:val="en-US"/>
        </w:rPr>
        <w:tab/>
      </w:r>
      <w:r w:rsidR="00D65B91" w:rsidRPr="00A05B65">
        <w:rPr>
          <w:rFonts w:cstheme="minorHAnsi"/>
          <w:szCs w:val="24"/>
          <w:lang w:val="en-US"/>
        </w:rPr>
        <w:t xml:space="preserve">We conclude that </w:t>
      </w:r>
      <w:r w:rsidR="00071AAF" w:rsidRPr="00A05B65">
        <w:rPr>
          <w:rFonts w:cstheme="minorHAnsi"/>
          <w:szCs w:val="24"/>
          <w:lang w:val="en-US"/>
        </w:rPr>
        <w:t xml:space="preserve">the allegations about </w:t>
      </w:r>
      <w:r w:rsidR="00F27A26" w:rsidRPr="00A05B65">
        <w:rPr>
          <w:rFonts w:cstheme="minorHAnsi"/>
          <w:szCs w:val="24"/>
          <w:lang w:val="en-US"/>
        </w:rPr>
        <w:t xml:space="preserve">Her Worship Winchester’s conduct </w:t>
      </w:r>
      <w:r w:rsidR="00071AAF" w:rsidRPr="00A05B65">
        <w:rPr>
          <w:rFonts w:cstheme="minorHAnsi"/>
          <w:szCs w:val="24"/>
          <w:lang w:val="en-US"/>
        </w:rPr>
        <w:t>and comments on June 27, 2018</w:t>
      </w:r>
      <w:r w:rsidR="009A3F9F" w:rsidRPr="00A05B65">
        <w:rPr>
          <w:rFonts w:cstheme="minorHAnsi"/>
          <w:szCs w:val="24"/>
          <w:lang w:val="en-US"/>
        </w:rPr>
        <w:t xml:space="preserve">, </w:t>
      </w:r>
      <w:r w:rsidR="00071AAF" w:rsidRPr="00A05B65">
        <w:rPr>
          <w:rFonts w:cstheme="minorHAnsi"/>
          <w:szCs w:val="24"/>
          <w:lang w:val="en-US"/>
        </w:rPr>
        <w:t xml:space="preserve">set out in paragraphs 2B, 2C, 2D, </w:t>
      </w:r>
      <w:r w:rsidR="00075E26" w:rsidRPr="00A05B65">
        <w:rPr>
          <w:rFonts w:cstheme="minorHAnsi"/>
          <w:szCs w:val="24"/>
          <w:lang w:val="en-US"/>
        </w:rPr>
        <w:t xml:space="preserve">and </w:t>
      </w:r>
      <w:r w:rsidR="00EA154F" w:rsidRPr="00A05B65">
        <w:rPr>
          <w:rFonts w:cstheme="minorHAnsi"/>
          <w:szCs w:val="24"/>
          <w:lang w:val="en-US"/>
        </w:rPr>
        <w:t>2D</w:t>
      </w:r>
      <w:r w:rsidR="00071AAF" w:rsidRPr="00A05B65">
        <w:rPr>
          <w:rFonts w:cstheme="minorHAnsi"/>
          <w:szCs w:val="24"/>
          <w:lang w:val="en-US"/>
        </w:rPr>
        <w:t>(b)</w:t>
      </w:r>
      <w:r w:rsidR="00BF5023" w:rsidRPr="00A05B65">
        <w:rPr>
          <w:rFonts w:cstheme="minorHAnsi"/>
          <w:szCs w:val="24"/>
          <w:lang w:val="en-US"/>
        </w:rPr>
        <w:t xml:space="preserve"> of the Notice of Hearing</w:t>
      </w:r>
      <w:r w:rsidR="00071AAF" w:rsidRPr="00A05B65">
        <w:rPr>
          <w:rFonts w:cstheme="minorHAnsi"/>
          <w:szCs w:val="24"/>
          <w:lang w:val="en-US"/>
        </w:rPr>
        <w:t xml:space="preserve"> </w:t>
      </w:r>
      <w:r w:rsidR="002367EB" w:rsidRPr="00A05B65">
        <w:rPr>
          <w:rFonts w:cstheme="minorHAnsi"/>
          <w:szCs w:val="24"/>
          <w:lang w:val="en-US"/>
        </w:rPr>
        <w:t xml:space="preserve">are made out on the evidence and </w:t>
      </w:r>
      <w:r w:rsidR="00D61490" w:rsidRPr="00A05B65">
        <w:rPr>
          <w:rFonts w:cstheme="minorHAnsi"/>
          <w:szCs w:val="24"/>
          <w:lang w:val="en-US"/>
        </w:rPr>
        <w:t>constitute judicial misconduct</w:t>
      </w:r>
      <w:r w:rsidR="009A3F9F" w:rsidRPr="00A05B65">
        <w:rPr>
          <w:rFonts w:cstheme="minorHAnsi"/>
          <w:szCs w:val="24"/>
          <w:lang w:val="en-US"/>
        </w:rPr>
        <w:t xml:space="preserve"> that undermines public confidence in the judiciary and warrant a disposition under section 11.1(10) of the </w:t>
      </w:r>
      <w:r w:rsidR="009A3F9F" w:rsidRPr="00A05B65">
        <w:rPr>
          <w:rFonts w:cstheme="minorHAnsi"/>
          <w:i/>
          <w:szCs w:val="24"/>
          <w:lang w:val="en-US"/>
        </w:rPr>
        <w:t>Justices of the Peace Act</w:t>
      </w:r>
      <w:r w:rsidR="009A3F9F" w:rsidRPr="00A05B65">
        <w:rPr>
          <w:rFonts w:cstheme="minorHAnsi"/>
          <w:szCs w:val="24"/>
          <w:lang w:val="en-US"/>
        </w:rPr>
        <w:t xml:space="preserve">. </w:t>
      </w:r>
    </w:p>
    <w:p w14:paraId="7AF16A98" w14:textId="77777777" w:rsidR="00FE01D7" w:rsidRPr="00A05B65" w:rsidRDefault="00FE01D7" w:rsidP="00FE01D7">
      <w:pPr>
        <w:pStyle w:val="ListParagraph"/>
        <w:rPr>
          <w:rFonts w:cstheme="minorHAnsi"/>
          <w:szCs w:val="24"/>
          <w:lang w:val="en-US"/>
        </w:rPr>
      </w:pPr>
    </w:p>
    <w:p w14:paraId="1DAB7A79" w14:textId="5E75F3D1" w:rsidR="0064778A" w:rsidRPr="00A05B65" w:rsidRDefault="009F430C" w:rsidP="005C1882">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 xml:space="preserve">In </w:t>
      </w:r>
      <w:r w:rsidR="003F3702" w:rsidRPr="00A05B65">
        <w:rPr>
          <w:rFonts w:cstheme="minorHAnsi"/>
          <w:szCs w:val="24"/>
          <w:lang w:val="en-US"/>
        </w:rPr>
        <w:t>our</w:t>
      </w:r>
      <w:r w:rsidRPr="00A05B65">
        <w:rPr>
          <w:rFonts w:cstheme="minorHAnsi"/>
          <w:szCs w:val="24"/>
          <w:lang w:val="en-US"/>
        </w:rPr>
        <w:t xml:space="preserve"> decision dated July 24, 2020, we determined that a combination of dispositions, including a reprimand, an apology from Her Worship to the defendant and a five-day suspension without pay, were required to restore the public’s confidence in Her Worship</w:t>
      </w:r>
      <w:r w:rsidR="003F3702" w:rsidRPr="00A05B65">
        <w:rPr>
          <w:rFonts w:cstheme="minorHAnsi"/>
          <w:szCs w:val="24"/>
          <w:lang w:val="en-US"/>
        </w:rPr>
        <w:t>.</w:t>
      </w:r>
    </w:p>
    <w:p w14:paraId="7C80754C" w14:textId="77777777" w:rsidR="009F430C" w:rsidRPr="00A05B65" w:rsidRDefault="009F430C" w:rsidP="009F430C">
      <w:pPr>
        <w:pStyle w:val="ListParagraph"/>
        <w:rPr>
          <w:rFonts w:cstheme="minorHAnsi"/>
          <w:szCs w:val="24"/>
          <w:lang w:val="en-US"/>
        </w:rPr>
      </w:pPr>
    </w:p>
    <w:p w14:paraId="5F23D3C7" w14:textId="45D654F5" w:rsidR="009F430C" w:rsidRPr="00A05B65" w:rsidRDefault="00AF6841" w:rsidP="005C1882">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On July 30, 2020, p</w:t>
      </w:r>
      <w:r w:rsidR="00294F2D" w:rsidRPr="00A05B65">
        <w:rPr>
          <w:rFonts w:cstheme="minorHAnsi"/>
          <w:szCs w:val="24"/>
          <w:lang w:val="en-US"/>
        </w:rPr>
        <w:t xml:space="preserve">ursuant to section 11.1(17) of the </w:t>
      </w:r>
      <w:r w:rsidR="00294F2D" w:rsidRPr="00A05B65">
        <w:rPr>
          <w:rFonts w:cstheme="minorHAnsi"/>
          <w:i/>
          <w:szCs w:val="24"/>
          <w:lang w:val="en-US"/>
        </w:rPr>
        <w:t>Justices of the Peace Act</w:t>
      </w:r>
      <w:r w:rsidR="00294F2D" w:rsidRPr="00A05B65">
        <w:rPr>
          <w:rFonts w:cstheme="minorHAnsi"/>
          <w:szCs w:val="24"/>
          <w:lang w:val="en-US"/>
        </w:rPr>
        <w:t>, c</w:t>
      </w:r>
      <w:r w:rsidR="009F430C" w:rsidRPr="00A05B65">
        <w:rPr>
          <w:rFonts w:cstheme="minorHAnsi"/>
          <w:szCs w:val="24"/>
          <w:lang w:val="en-US"/>
        </w:rPr>
        <w:t xml:space="preserve">ounsel for Her Worship made an application </w:t>
      </w:r>
      <w:r w:rsidR="00EF73AD" w:rsidRPr="00A05B65">
        <w:rPr>
          <w:rFonts w:cstheme="minorHAnsi"/>
          <w:szCs w:val="24"/>
          <w:lang w:val="en-US"/>
        </w:rPr>
        <w:t xml:space="preserve">to this Hearing Panel </w:t>
      </w:r>
      <w:r w:rsidR="009F430C" w:rsidRPr="00A05B65">
        <w:rPr>
          <w:rFonts w:cstheme="minorHAnsi"/>
          <w:szCs w:val="24"/>
          <w:lang w:val="en-US"/>
        </w:rPr>
        <w:t xml:space="preserve">for a recommendation </w:t>
      </w:r>
      <w:r w:rsidR="00EF73AD" w:rsidRPr="00A05B65">
        <w:rPr>
          <w:rFonts w:cstheme="minorHAnsi"/>
          <w:szCs w:val="24"/>
          <w:lang w:val="en-US"/>
        </w:rPr>
        <w:t xml:space="preserve">that Her Worship be compensated </w:t>
      </w:r>
      <w:r w:rsidR="009F430C" w:rsidRPr="00A05B65">
        <w:rPr>
          <w:rFonts w:cstheme="minorHAnsi"/>
          <w:szCs w:val="24"/>
          <w:lang w:val="en-US"/>
        </w:rPr>
        <w:t xml:space="preserve">for the legal costs incurred </w:t>
      </w:r>
      <w:r w:rsidR="003F3702" w:rsidRPr="00A05B65">
        <w:rPr>
          <w:rFonts w:cstheme="minorHAnsi"/>
          <w:szCs w:val="24"/>
          <w:lang w:val="en-US"/>
        </w:rPr>
        <w:t>in</w:t>
      </w:r>
      <w:r w:rsidR="009F430C" w:rsidRPr="00A05B65">
        <w:rPr>
          <w:rFonts w:cstheme="minorHAnsi"/>
          <w:szCs w:val="24"/>
          <w:lang w:val="en-US"/>
        </w:rPr>
        <w:t xml:space="preserve"> the complaints process. </w:t>
      </w:r>
    </w:p>
    <w:p w14:paraId="14815827" w14:textId="77777777" w:rsidR="003621E6" w:rsidRPr="00A05B65" w:rsidRDefault="003621E6" w:rsidP="003621E6">
      <w:pPr>
        <w:pStyle w:val="ListParagraph"/>
        <w:rPr>
          <w:rFonts w:cstheme="minorHAnsi"/>
          <w:szCs w:val="24"/>
          <w:lang w:val="en-US"/>
        </w:rPr>
      </w:pPr>
    </w:p>
    <w:p w14:paraId="44789A82" w14:textId="4FF5361D" w:rsidR="003621E6" w:rsidRPr="00A05B65" w:rsidRDefault="003621E6" w:rsidP="003621E6">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Justice of the Peace Winchester is requesting that the Panel make a recommendation to the Attorney General that Her Worship be compensated for the legal costs incurred as a result of the hearing. Her counsel submit they have voluntarily reduced their fees from $251,436.50 to $171,596.25</w:t>
      </w:r>
      <w:r w:rsidR="00FD3F16" w:rsidRPr="00A05B65">
        <w:rPr>
          <w:rFonts w:cstheme="minorHAnsi"/>
          <w:szCs w:val="24"/>
          <w:lang w:val="en-US"/>
        </w:rPr>
        <w:t>.</w:t>
      </w:r>
      <w:r w:rsidRPr="00A05B65">
        <w:rPr>
          <w:rFonts w:cstheme="minorHAnsi"/>
          <w:szCs w:val="24"/>
          <w:lang w:val="en-US"/>
        </w:rPr>
        <w:t xml:space="preserve"> In sum, “the compensation application seeks a Panel recommendation for payment of $171,596.25 in legal fees, $22,307.51 in HST and $11,329.51 in necessary disbursements, for a total of $205,233.27.”</w:t>
      </w:r>
    </w:p>
    <w:p w14:paraId="61CC4C9C" w14:textId="77777777" w:rsidR="003621E6" w:rsidRPr="00A05B65" w:rsidRDefault="003621E6" w:rsidP="003621E6">
      <w:pPr>
        <w:pStyle w:val="ListParagraph"/>
        <w:rPr>
          <w:rFonts w:cstheme="minorHAnsi"/>
          <w:szCs w:val="24"/>
          <w:lang w:val="en-US"/>
        </w:rPr>
      </w:pPr>
    </w:p>
    <w:p w14:paraId="75A3DF46" w14:textId="77777777" w:rsidR="003621E6" w:rsidRPr="00A05B65" w:rsidRDefault="003621E6" w:rsidP="003621E6">
      <w:pPr>
        <w:pStyle w:val="ListParagraph"/>
        <w:numPr>
          <w:ilvl w:val="0"/>
          <w:numId w:val="8"/>
        </w:numPr>
        <w:spacing w:after="0" w:line="240" w:lineRule="auto"/>
        <w:ind w:left="709" w:hanging="709"/>
        <w:jc w:val="both"/>
        <w:rPr>
          <w:rFonts w:cstheme="minorHAnsi"/>
          <w:szCs w:val="24"/>
          <w:lang w:val="en-US"/>
        </w:rPr>
      </w:pPr>
      <w:r w:rsidRPr="00A05B65">
        <w:rPr>
          <w:rFonts w:cstheme="minorHAnsi"/>
          <w:szCs w:val="24"/>
          <w:lang w:val="en-US"/>
        </w:rPr>
        <w:t xml:space="preserve">Presenting Counsel, while acknowledging Her Worship’s right to a full </w:t>
      </w:r>
      <w:proofErr w:type="spellStart"/>
      <w:r w:rsidRPr="00A05B65">
        <w:rPr>
          <w:rFonts w:cstheme="minorHAnsi"/>
          <w:szCs w:val="24"/>
          <w:lang w:val="en-US"/>
        </w:rPr>
        <w:t>defence</w:t>
      </w:r>
      <w:proofErr w:type="spellEnd"/>
      <w:r w:rsidRPr="00A05B65">
        <w:rPr>
          <w:rFonts w:cstheme="minorHAnsi"/>
          <w:szCs w:val="24"/>
          <w:lang w:val="en-US"/>
        </w:rPr>
        <w:t>, alerts the Panel to review one of two unsuccessful pre-hearing motions brought by Her Worship: “On October 15,2019, Her Worship filed a motion for an Order that some of the allegations, set out in paragraphs2B and 2D(B) of the Notice of Hearing, filed as Exhibit One in the Hearing are outside the jurisdiction of this Hearing Panel.”</w:t>
      </w:r>
    </w:p>
    <w:p w14:paraId="00A384AE" w14:textId="77777777" w:rsidR="003621E6" w:rsidRPr="00A05B65" w:rsidRDefault="003621E6" w:rsidP="003621E6">
      <w:pPr>
        <w:rPr>
          <w:rFonts w:cstheme="minorHAnsi"/>
          <w:b/>
          <w:szCs w:val="24"/>
          <w:lang w:val="en-US"/>
        </w:rPr>
      </w:pPr>
    </w:p>
    <w:p w14:paraId="27113316" w14:textId="2E3D4C43" w:rsidR="003621E6" w:rsidRPr="00A05B65" w:rsidRDefault="003621E6" w:rsidP="003621E6">
      <w:pPr>
        <w:rPr>
          <w:rFonts w:cstheme="minorHAnsi"/>
          <w:b/>
          <w:szCs w:val="24"/>
          <w:lang w:val="en-US"/>
        </w:rPr>
      </w:pPr>
      <w:r w:rsidRPr="00A05B65">
        <w:rPr>
          <w:rFonts w:cstheme="minorHAnsi"/>
          <w:b/>
          <w:szCs w:val="24"/>
          <w:lang w:val="en-US"/>
        </w:rPr>
        <w:t>The Law</w:t>
      </w:r>
    </w:p>
    <w:p w14:paraId="51C9808C" w14:textId="5896EE44" w:rsidR="00294F2D" w:rsidRPr="00A05B65" w:rsidRDefault="00776482" w:rsidP="00294F2D">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ab/>
      </w:r>
      <w:r w:rsidR="00294F2D" w:rsidRPr="00A05B65">
        <w:rPr>
          <w:rFonts w:cstheme="minorHAnsi"/>
          <w:szCs w:val="24"/>
          <w:lang w:val="en-US"/>
        </w:rPr>
        <w:t xml:space="preserve">In 2020, sections 11 and 11.1 of the </w:t>
      </w:r>
      <w:r w:rsidR="00294F2D" w:rsidRPr="00A05B65">
        <w:rPr>
          <w:rFonts w:cstheme="minorHAnsi"/>
          <w:i/>
          <w:szCs w:val="24"/>
          <w:lang w:val="en-US"/>
        </w:rPr>
        <w:t>Act</w:t>
      </w:r>
      <w:r w:rsidR="00294F2D" w:rsidRPr="00A05B65">
        <w:rPr>
          <w:rFonts w:cstheme="minorHAnsi"/>
          <w:szCs w:val="24"/>
          <w:lang w:val="en-US"/>
        </w:rPr>
        <w:t xml:space="preserve"> were amended to provide that if a complaint against a justice of the peace is ordered to a formal hearing, it is the Hearing Panel that has authority to make a recommendation for compensation for legal costs in relation to both the investigation of the complaint and the resulting hearing. These amendments came into force on July 8, 2020. Section 11.1(17) now states:</w:t>
      </w:r>
    </w:p>
    <w:p w14:paraId="323D3687" w14:textId="77777777" w:rsidR="00294F2D" w:rsidRPr="00A05B65" w:rsidRDefault="00294F2D" w:rsidP="00294F2D">
      <w:pPr>
        <w:pStyle w:val="Heading4"/>
        <w:ind w:left="1985" w:right="571" w:hanging="851"/>
        <w:rPr>
          <w:rFonts w:ascii="Arial" w:hAnsi="Arial" w:cs="Arial"/>
          <w:b w:val="0"/>
          <w:sz w:val="24"/>
          <w:szCs w:val="24"/>
          <w:lang w:val="en"/>
        </w:rPr>
      </w:pPr>
      <w:r w:rsidRPr="00A05B65">
        <w:rPr>
          <w:rFonts w:ascii="Arial" w:hAnsi="Arial" w:cs="Arial"/>
          <w:b w:val="0"/>
          <w:sz w:val="24"/>
          <w:szCs w:val="24"/>
          <w:lang w:val="en"/>
        </w:rPr>
        <w:t>Compensation</w:t>
      </w:r>
    </w:p>
    <w:p w14:paraId="698FD4AF" w14:textId="6046C170" w:rsidR="00294F2D" w:rsidRPr="00A05B65" w:rsidRDefault="00294F2D" w:rsidP="00294F2D">
      <w:pPr>
        <w:pStyle w:val="subsection"/>
        <w:ind w:left="1985" w:right="571" w:hanging="851"/>
        <w:jc w:val="both"/>
        <w:rPr>
          <w:rFonts w:cstheme="minorHAnsi"/>
          <w:lang w:val="en-US"/>
        </w:rPr>
      </w:pPr>
      <w:r w:rsidRPr="00A05B65">
        <w:rPr>
          <w:rFonts w:ascii="Arial" w:hAnsi="Arial" w:cs="Arial"/>
          <w:color w:val="222222"/>
          <w:lang w:val="en"/>
        </w:rPr>
        <w:t>11(17)</w:t>
      </w:r>
      <w:r w:rsidRPr="00A05B65">
        <w:rPr>
          <w:rFonts w:ascii="Arial" w:hAnsi="Arial" w:cs="Arial"/>
          <w:color w:val="222222"/>
          <w:lang w:val="en"/>
        </w:rPr>
        <w:tab/>
        <w:t xml:space="preserve">The panel shall consider whether the justice of the peace should be compensated for all or part of the cost of legal services incurred in connection with all the steps taken under section 11 and this section in relation to the complaint. </w:t>
      </w:r>
    </w:p>
    <w:p w14:paraId="3A555838" w14:textId="77777777" w:rsidR="00294F2D" w:rsidRPr="00A05B65" w:rsidRDefault="00294F2D" w:rsidP="00294F2D">
      <w:pPr>
        <w:pStyle w:val="ListParagraph"/>
        <w:spacing w:line="240" w:lineRule="auto"/>
        <w:ind w:left="360"/>
        <w:jc w:val="both"/>
        <w:rPr>
          <w:rFonts w:cstheme="minorHAnsi"/>
          <w:szCs w:val="24"/>
          <w:lang w:val="en-US"/>
        </w:rPr>
      </w:pPr>
    </w:p>
    <w:p w14:paraId="32E13650" w14:textId="77777777" w:rsidR="00551644" w:rsidRPr="00A05B65" w:rsidRDefault="00294F2D" w:rsidP="00551644">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Prior to this amendment, where a hearing had been ordered, a justice of the peace had to send two separate requests for compensation, one to the complaints committee with respect to costs incurred in the investigation, and one to the Hearing Panel with respect to costs incurred in the hearing.</w:t>
      </w:r>
    </w:p>
    <w:p w14:paraId="225A6E3C" w14:textId="77777777" w:rsidR="00551644" w:rsidRPr="00A05B65" w:rsidRDefault="00551644" w:rsidP="004D408C">
      <w:pPr>
        <w:pStyle w:val="ListParagraph"/>
        <w:spacing w:line="240" w:lineRule="auto"/>
        <w:ind w:left="709"/>
        <w:jc w:val="both"/>
        <w:rPr>
          <w:rFonts w:cstheme="minorHAnsi"/>
          <w:szCs w:val="24"/>
          <w:lang w:val="en-US"/>
        </w:rPr>
      </w:pPr>
    </w:p>
    <w:p w14:paraId="6120D769" w14:textId="77777777" w:rsidR="00FB1F5D" w:rsidRPr="00A05B65" w:rsidRDefault="00FB1F5D" w:rsidP="00F71793">
      <w:pPr>
        <w:pStyle w:val="ListParagraph"/>
        <w:numPr>
          <w:ilvl w:val="0"/>
          <w:numId w:val="8"/>
        </w:numPr>
        <w:spacing w:line="240" w:lineRule="auto"/>
        <w:ind w:left="709" w:hanging="709"/>
        <w:jc w:val="both"/>
        <w:rPr>
          <w:rFonts w:cstheme="minorHAnsi"/>
          <w:szCs w:val="24"/>
          <w:lang w:val="en-US"/>
        </w:rPr>
      </w:pPr>
      <w:r w:rsidRPr="00A05B65">
        <w:t>T</w:t>
      </w:r>
      <w:r w:rsidR="00551644" w:rsidRPr="00A05B65">
        <w:t>he Divisional Court</w:t>
      </w:r>
      <w:r w:rsidRPr="00A05B65">
        <w:t xml:space="preserve"> </w:t>
      </w:r>
      <w:bookmarkStart w:id="1" w:name="_Hlk52371754"/>
      <w:r w:rsidRPr="00A05B65">
        <w:t>discussed the rationale for justices of the peace being compensated for the costs incurred by the judicial discipline process</w:t>
      </w:r>
      <w:r w:rsidR="00551644" w:rsidRPr="00A05B65">
        <w:t xml:space="preserve"> in </w:t>
      </w:r>
      <w:proofErr w:type="spellStart"/>
      <w:r w:rsidR="00551644" w:rsidRPr="00A05B65">
        <w:rPr>
          <w:i/>
        </w:rPr>
        <w:t>Massiah</w:t>
      </w:r>
      <w:proofErr w:type="spellEnd"/>
      <w:r w:rsidR="00551644" w:rsidRPr="00A05B65">
        <w:rPr>
          <w:i/>
        </w:rPr>
        <w:t xml:space="preserve"> v Justices of the Peace Review</w:t>
      </w:r>
      <w:r w:rsidR="00551644" w:rsidRPr="00A05B65">
        <w:t xml:space="preserve"> Council,</w:t>
      </w:r>
      <w:r w:rsidR="00551644" w:rsidRPr="00A05B65">
        <w:rPr>
          <w:rFonts w:cstheme="minorHAnsi"/>
          <w:szCs w:val="24"/>
          <w:lang w:val="en-US"/>
        </w:rPr>
        <w:t xml:space="preserve"> 2016 ONSC 6191,</w:t>
      </w:r>
      <w:r w:rsidR="00551644" w:rsidRPr="00A05B65">
        <w:t xml:space="preserve"> aff’d </w:t>
      </w:r>
      <w:r w:rsidR="00551644" w:rsidRPr="00A05B65">
        <w:rPr>
          <w:rFonts w:cstheme="minorHAnsi"/>
          <w:szCs w:val="24"/>
          <w:lang w:val="en-US"/>
        </w:rPr>
        <w:t>2020 ONSC 4746,</w:t>
      </w:r>
      <w:r w:rsidR="00FD19EF" w:rsidRPr="00A05B65">
        <w:rPr>
          <w:rFonts w:cstheme="minorHAnsi"/>
          <w:szCs w:val="24"/>
          <w:lang w:val="en-US"/>
        </w:rPr>
        <w:t xml:space="preserve"> para. 56</w:t>
      </w:r>
      <w:r w:rsidRPr="00A05B65">
        <w:rPr>
          <w:rFonts w:cstheme="minorHAnsi"/>
          <w:szCs w:val="24"/>
          <w:lang w:val="en-US"/>
        </w:rPr>
        <w:t>:</w:t>
      </w:r>
    </w:p>
    <w:p w14:paraId="1D2825DE" w14:textId="77777777" w:rsidR="00FB1F5D" w:rsidRPr="00A05B65" w:rsidRDefault="00FB1F5D" w:rsidP="00FB1F5D">
      <w:pPr>
        <w:pStyle w:val="ListParagraph"/>
        <w:spacing w:line="240" w:lineRule="auto"/>
        <w:ind w:left="709"/>
        <w:jc w:val="both"/>
        <w:rPr>
          <w:rFonts w:cstheme="minorHAnsi"/>
          <w:szCs w:val="24"/>
          <w:lang w:val="en-US"/>
        </w:rPr>
      </w:pPr>
    </w:p>
    <w:p w14:paraId="0B30A5D8" w14:textId="57681051" w:rsidR="00FD19EF" w:rsidRPr="00A05B65" w:rsidRDefault="00551644" w:rsidP="005D0F4F">
      <w:pPr>
        <w:pStyle w:val="ListParagraph"/>
        <w:spacing w:line="240" w:lineRule="auto"/>
        <w:ind w:left="1843" w:right="855"/>
        <w:jc w:val="both"/>
        <w:rPr>
          <w:rFonts w:cstheme="minorHAnsi"/>
          <w:szCs w:val="24"/>
          <w:lang w:val="en-US"/>
        </w:rPr>
      </w:pPr>
      <w:r w:rsidRPr="00A05B65">
        <w:rPr>
          <w:rFonts w:cstheme="minorHAnsi"/>
          <w:szCs w:val="24"/>
          <w:lang w:val="en-US"/>
        </w:rPr>
        <w:t xml:space="preserve"> </w:t>
      </w:r>
      <w:r w:rsidR="00FD19EF" w:rsidRPr="00A05B65">
        <w:rPr>
          <w:rFonts w:cstheme="minorHAnsi"/>
          <w:szCs w:val="24"/>
          <w:lang w:val="en-US"/>
        </w:rPr>
        <w:t>“</w:t>
      </w:r>
      <w:r w:rsidR="00FB1F5D" w:rsidRPr="00A05B65">
        <w:rPr>
          <w:rFonts w:cstheme="minorHAnsi"/>
          <w:szCs w:val="24"/>
          <w:lang w:val="en-US"/>
        </w:rPr>
        <w:t>…</w:t>
      </w:r>
      <w:r w:rsidR="00FD19EF" w:rsidRPr="00A05B65">
        <w:rPr>
          <w:rFonts w:cstheme="minorHAnsi"/>
          <w:szCs w:val="24"/>
          <w:lang w:val="en-US"/>
        </w:rPr>
        <w:t xml:space="preserve">it is always in the best interests of the administration of justice, to ensure that [justices of the peace] have the benefit of counsel.” Accordingly, “the costs of ensuring a fair, full and complete process, ought usually to be borne by the public purse, because it is the interests of the public, first and </w:t>
      </w:r>
      <w:r w:rsidR="00FD19EF" w:rsidRPr="00A05B65">
        <w:rPr>
          <w:rFonts w:cstheme="minorHAnsi"/>
          <w:szCs w:val="24"/>
          <w:lang w:val="en-US"/>
        </w:rPr>
        <w:lastRenderedPageBreak/>
        <w:t>foremost, that are being advanced and maintained through the complaint process.”</w:t>
      </w:r>
    </w:p>
    <w:bookmarkEnd w:id="1"/>
    <w:p w14:paraId="7AF03A60" w14:textId="77777777" w:rsidR="00FD19EF" w:rsidRPr="00A05B65" w:rsidRDefault="00FD19EF" w:rsidP="00FD19EF">
      <w:pPr>
        <w:pStyle w:val="ListParagraph"/>
        <w:spacing w:line="240" w:lineRule="auto"/>
        <w:ind w:left="709"/>
        <w:jc w:val="both"/>
        <w:rPr>
          <w:rFonts w:cstheme="minorHAnsi"/>
          <w:szCs w:val="24"/>
          <w:lang w:val="en-US"/>
        </w:rPr>
      </w:pPr>
    </w:p>
    <w:p w14:paraId="5413E1DB" w14:textId="1190B3B6" w:rsidR="00FB1F5D" w:rsidRPr="00A05B65" w:rsidRDefault="00FB1F5D" w:rsidP="00F71793">
      <w:pPr>
        <w:pStyle w:val="ListParagraph"/>
        <w:numPr>
          <w:ilvl w:val="0"/>
          <w:numId w:val="8"/>
        </w:numPr>
        <w:spacing w:line="240" w:lineRule="auto"/>
        <w:ind w:left="709" w:hanging="709"/>
        <w:jc w:val="both"/>
        <w:rPr>
          <w:rFonts w:cstheme="minorHAnsi"/>
          <w:szCs w:val="24"/>
          <w:lang w:val="en-US"/>
        </w:rPr>
      </w:pPr>
      <w:bookmarkStart w:id="2" w:name="_Hlk52371842"/>
      <w:proofErr w:type="spellStart"/>
      <w:r w:rsidRPr="00A05B65">
        <w:t>Nordheimer</w:t>
      </w:r>
      <w:proofErr w:type="spellEnd"/>
      <w:r w:rsidRPr="00A05B65">
        <w:t xml:space="preserve">, J., writing for the Panel, also </w:t>
      </w:r>
      <w:r w:rsidR="005D0F4F" w:rsidRPr="00A05B65">
        <w:t xml:space="preserve">recognized that it is not always the case that a compensation recommendation should be made, or that it should </w:t>
      </w:r>
      <w:r w:rsidR="002B78E7" w:rsidRPr="00A05B65">
        <w:t xml:space="preserve">necessarily </w:t>
      </w:r>
      <w:r w:rsidR="005D0F4F" w:rsidRPr="00A05B65">
        <w:t>recommend compensation in full. A</w:t>
      </w:r>
      <w:r w:rsidR="00105EEC" w:rsidRPr="00A05B65">
        <w:t xml:space="preserve"> determination </w:t>
      </w:r>
      <w:r w:rsidRPr="00A05B65">
        <w:t xml:space="preserve">of whether </w:t>
      </w:r>
      <w:r w:rsidR="00105EEC" w:rsidRPr="00A05B65">
        <w:t xml:space="preserve">to recommend </w:t>
      </w:r>
      <w:r w:rsidRPr="00A05B65">
        <w:t xml:space="preserve">compensation </w:t>
      </w:r>
      <w:r w:rsidR="00105EEC" w:rsidRPr="00A05B65">
        <w:t>should</w:t>
      </w:r>
      <w:r w:rsidRPr="00A05B65">
        <w:t xml:space="preserve"> consider</w:t>
      </w:r>
      <w:r w:rsidR="00B467A7" w:rsidRPr="00A05B65">
        <w:t xml:space="preserve"> the circumstances of the </w:t>
      </w:r>
      <w:proofErr w:type="gramStart"/>
      <w:r w:rsidR="00B467A7" w:rsidRPr="00A05B65">
        <w:t xml:space="preserve">particular </w:t>
      </w:r>
      <w:r w:rsidRPr="00A05B65">
        <w:t>case</w:t>
      </w:r>
      <w:proofErr w:type="gramEnd"/>
      <w:r w:rsidRPr="00A05B65">
        <w:t>, and must take into account the objective of the judicial discipline process:</w:t>
      </w:r>
    </w:p>
    <w:p w14:paraId="5465E4DA" w14:textId="77777777" w:rsidR="00FB1F5D" w:rsidRPr="00A05B65" w:rsidRDefault="00FB1F5D" w:rsidP="00FB1F5D">
      <w:pPr>
        <w:pStyle w:val="ListParagraph"/>
        <w:spacing w:line="240" w:lineRule="auto"/>
        <w:ind w:left="709"/>
        <w:jc w:val="both"/>
        <w:rPr>
          <w:rFonts w:cstheme="minorHAnsi"/>
          <w:szCs w:val="24"/>
          <w:lang w:val="en-US"/>
        </w:rPr>
      </w:pPr>
    </w:p>
    <w:bookmarkEnd w:id="2"/>
    <w:p w14:paraId="794A35E0" w14:textId="16210AD4" w:rsidR="005D0F4F" w:rsidRPr="00A05B65" w:rsidRDefault="005D0F4F" w:rsidP="005D0F4F">
      <w:pPr>
        <w:pStyle w:val="ListParagraph"/>
        <w:spacing w:line="240" w:lineRule="auto"/>
        <w:ind w:left="1865" w:right="855" w:hanging="425"/>
        <w:jc w:val="both"/>
      </w:pPr>
      <w:r w:rsidRPr="00A05B65">
        <w:rPr>
          <w:rFonts w:cstheme="minorHAnsi"/>
          <w:szCs w:val="24"/>
          <w:lang w:val="en-US"/>
        </w:rPr>
        <w:t xml:space="preserve">[57]   All of that is not to say that, in every case where a judicial officer holder is subject to a successful complaint, that judicial officer holder can expect that his or her legal expenses will be compensated.  It is a decision that must be made separately in each case and only after a consideration of the </w:t>
      </w:r>
      <w:proofErr w:type="gramStart"/>
      <w:r w:rsidRPr="00A05B65">
        <w:rPr>
          <w:rFonts w:cstheme="minorHAnsi"/>
          <w:szCs w:val="24"/>
          <w:lang w:val="en-US"/>
        </w:rPr>
        <w:t>particular circumstances</w:t>
      </w:r>
      <w:proofErr w:type="gramEnd"/>
      <w:r w:rsidRPr="00A05B65">
        <w:rPr>
          <w:rFonts w:cstheme="minorHAnsi"/>
          <w:szCs w:val="24"/>
          <w:lang w:val="en-US"/>
        </w:rPr>
        <w:t xml:space="preserve"> of the case viewed in the context of the objective of the process. Chief among those circumstances will be the nature of the misconduct and its connection to the judicial function.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as a result of the ultimate decision in a </w:t>
      </w:r>
      <w:proofErr w:type="gramStart"/>
      <w:r w:rsidRPr="00A05B65">
        <w:rPr>
          <w:rFonts w:cstheme="minorHAnsi"/>
          <w:szCs w:val="24"/>
          <w:lang w:val="en-US"/>
        </w:rPr>
        <w:t>particular case</w:t>
      </w:r>
      <w:proofErr w:type="gramEnd"/>
      <w:r w:rsidRPr="00A05B65">
        <w:rPr>
          <w:rFonts w:cstheme="minorHAnsi"/>
          <w:szCs w:val="24"/>
          <w:lang w:val="en-US"/>
        </w:rPr>
        <w:t xml:space="preserve">.  Further, misconduct where there are multiple instances may be less deserving of a compensation recommendation than would a single instance of misconduct.  Similarly, repeated instances of misconduct may be less deserving of a compensation </w:t>
      </w:r>
      <w:r w:rsidRPr="00A05B65">
        <w:t>recommendation than one isolated incident.</w:t>
      </w:r>
    </w:p>
    <w:p w14:paraId="596D0BFC" w14:textId="77777777" w:rsidR="005D0F4F" w:rsidRPr="00A05B65" w:rsidRDefault="005D0F4F" w:rsidP="005D0F4F">
      <w:pPr>
        <w:pStyle w:val="ListParagraph"/>
        <w:spacing w:line="240" w:lineRule="auto"/>
        <w:ind w:left="709"/>
        <w:jc w:val="both"/>
        <w:rPr>
          <w:rFonts w:ascii="Arial" w:eastAsia="Times New Roman" w:hAnsi="Arial" w:cs="Arial"/>
          <w:szCs w:val="24"/>
          <w:lang w:val="en" w:eastAsia="en-CA"/>
        </w:rPr>
      </w:pPr>
    </w:p>
    <w:p w14:paraId="79931A07" w14:textId="13AA3FCB" w:rsidR="005D0F4F" w:rsidRPr="00A05B65" w:rsidRDefault="00105EEC" w:rsidP="005D0F4F">
      <w:pPr>
        <w:pStyle w:val="ListParagraph"/>
        <w:numPr>
          <w:ilvl w:val="0"/>
          <w:numId w:val="8"/>
        </w:numPr>
        <w:spacing w:line="240" w:lineRule="auto"/>
        <w:ind w:left="709" w:hanging="709"/>
        <w:jc w:val="both"/>
        <w:rPr>
          <w:rFonts w:ascii="Arial" w:eastAsia="Times New Roman" w:hAnsi="Arial" w:cs="Arial"/>
          <w:szCs w:val="24"/>
          <w:lang w:val="en" w:eastAsia="en-CA"/>
        </w:rPr>
      </w:pPr>
      <w:r w:rsidRPr="00A05B65">
        <w:rPr>
          <w:rFonts w:ascii="Arial" w:eastAsia="Times New Roman" w:hAnsi="Arial" w:cs="Arial"/>
          <w:szCs w:val="24"/>
          <w:lang w:val="en" w:eastAsia="en-CA"/>
        </w:rPr>
        <w:t xml:space="preserve">The principles and factors outlined above were affirmed by the Divisional Court in </w:t>
      </w:r>
      <w:r w:rsidRPr="00A05B65">
        <w:rPr>
          <w:rFonts w:ascii="Arial" w:eastAsia="Times New Roman" w:hAnsi="Arial" w:cs="Arial"/>
          <w:i/>
          <w:szCs w:val="24"/>
          <w:lang w:val="en" w:eastAsia="en-CA"/>
        </w:rPr>
        <w:t xml:space="preserve">Errol </w:t>
      </w:r>
      <w:proofErr w:type="spellStart"/>
      <w:r w:rsidRPr="00A05B65">
        <w:rPr>
          <w:rFonts w:ascii="Arial" w:eastAsia="Times New Roman" w:hAnsi="Arial" w:cs="Arial"/>
          <w:i/>
          <w:szCs w:val="24"/>
          <w:lang w:val="en" w:eastAsia="en-CA"/>
        </w:rPr>
        <w:t>Massiah</w:t>
      </w:r>
      <w:proofErr w:type="spellEnd"/>
      <w:r w:rsidRPr="00A05B65">
        <w:rPr>
          <w:rFonts w:ascii="Arial" w:eastAsia="Times New Roman" w:hAnsi="Arial" w:cs="Arial"/>
          <w:i/>
          <w:szCs w:val="24"/>
          <w:lang w:val="en" w:eastAsia="en-CA"/>
        </w:rPr>
        <w:t xml:space="preserve"> v. Justices of the Peace Review Council</w:t>
      </w:r>
      <w:r w:rsidRPr="00A05B65">
        <w:rPr>
          <w:rFonts w:ascii="Arial" w:eastAsia="Times New Roman" w:hAnsi="Arial" w:cs="Arial"/>
          <w:szCs w:val="24"/>
          <w:lang w:val="en" w:eastAsia="en-CA"/>
        </w:rPr>
        <w:t xml:space="preserve">, 2020 ONSC 4746, a further unsuccessful application for judicial review by Mr. </w:t>
      </w:r>
      <w:proofErr w:type="spellStart"/>
      <w:r w:rsidRPr="00A05B65">
        <w:rPr>
          <w:rFonts w:ascii="Arial" w:eastAsia="Times New Roman" w:hAnsi="Arial" w:cs="Arial"/>
          <w:szCs w:val="24"/>
          <w:lang w:val="en" w:eastAsia="en-CA"/>
        </w:rPr>
        <w:t>Massiah</w:t>
      </w:r>
      <w:proofErr w:type="spellEnd"/>
      <w:r w:rsidR="005D0F4F" w:rsidRPr="00A05B65">
        <w:rPr>
          <w:rFonts w:ascii="Arial" w:hAnsi="Arial" w:cs="Arial"/>
          <w:szCs w:val="24"/>
        </w:rPr>
        <w:t>:</w:t>
      </w:r>
    </w:p>
    <w:p w14:paraId="5F0A7B33" w14:textId="4E6FE530" w:rsidR="005D0F4F" w:rsidRPr="00A05B65" w:rsidRDefault="005D0F4F" w:rsidP="002461EA">
      <w:pPr>
        <w:spacing w:before="100" w:beforeAutospacing="1" w:after="100" w:afterAutospacing="1" w:line="240" w:lineRule="auto"/>
        <w:ind w:left="1985" w:right="855" w:hanging="851"/>
        <w:jc w:val="both"/>
        <w:rPr>
          <w:rFonts w:eastAsia="Times New Roman" w:cstheme="minorHAnsi"/>
          <w:szCs w:val="24"/>
          <w:lang w:val="en" w:eastAsia="en-CA"/>
        </w:rPr>
      </w:pPr>
      <w:r w:rsidRPr="00A05B65">
        <w:rPr>
          <w:rFonts w:ascii="Arial" w:eastAsia="Times New Roman" w:hAnsi="Arial" w:cs="Arial"/>
          <w:szCs w:val="24"/>
          <w:lang w:val="en" w:eastAsia="en-CA"/>
        </w:rPr>
        <w:t xml:space="preserve"> </w:t>
      </w:r>
      <w:r w:rsidR="002461EA" w:rsidRPr="00A05B65">
        <w:rPr>
          <w:rFonts w:ascii="Arial" w:eastAsia="Times New Roman" w:hAnsi="Arial" w:cs="Arial"/>
          <w:szCs w:val="24"/>
          <w:lang w:val="en" w:eastAsia="en-CA"/>
        </w:rPr>
        <w:t>[19</w:t>
      </w:r>
      <w:r w:rsidR="002461EA" w:rsidRPr="00A05B65">
        <w:rPr>
          <w:rFonts w:eastAsia="Times New Roman" w:cstheme="minorHAnsi"/>
          <w:szCs w:val="24"/>
          <w:lang w:val="en" w:eastAsia="en-CA"/>
        </w:rPr>
        <w:t>]</w:t>
      </w:r>
      <w:r w:rsidRPr="00A05B65">
        <w:rPr>
          <w:rFonts w:eastAsia="Times New Roman" w:cstheme="minorHAnsi"/>
          <w:szCs w:val="24"/>
          <w:lang w:val="en" w:eastAsia="en-CA"/>
        </w:rPr>
        <w:t xml:space="preserve">   The circumstances </w:t>
      </w:r>
      <w:proofErr w:type="spellStart"/>
      <w:r w:rsidRPr="00A05B65">
        <w:rPr>
          <w:rFonts w:eastAsia="Times New Roman" w:cstheme="minorHAnsi"/>
          <w:szCs w:val="24"/>
          <w:lang w:val="en" w:eastAsia="en-CA"/>
        </w:rPr>
        <w:t>Nordheimer</w:t>
      </w:r>
      <w:proofErr w:type="spellEnd"/>
      <w:r w:rsidRPr="00A05B65">
        <w:rPr>
          <w:rFonts w:eastAsia="Times New Roman" w:cstheme="minorHAnsi"/>
          <w:szCs w:val="24"/>
          <w:lang w:val="en" w:eastAsia="en-CA"/>
        </w:rPr>
        <w:t xml:space="preserve"> J. identified as relevant to the determination are</w:t>
      </w:r>
      <w:r w:rsidR="002461EA" w:rsidRPr="00A05B65">
        <w:rPr>
          <w:rStyle w:val="FootnoteReference"/>
          <w:rFonts w:eastAsia="Times New Roman" w:cstheme="minorHAnsi"/>
          <w:szCs w:val="24"/>
          <w:lang w:val="en" w:eastAsia="en-CA"/>
        </w:rPr>
        <w:footnoteReference w:id="1"/>
      </w:r>
      <w:r w:rsidRPr="00A05B65">
        <w:rPr>
          <w:rFonts w:eastAsia="Times New Roman" w:cstheme="minorHAnsi"/>
          <w:szCs w:val="24"/>
          <w:lang w:val="en" w:eastAsia="en-CA"/>
        </w:rPr>
        <w:t>:</w:t>
      </w:r>
    </w:p>
    <w:p w14:paraId="31B013A7" w14:textId="77777777" w:rsidR="002461EA"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Cs w:val="24"/>
          <w:lang w:val="en" w:eastAsia="en-CA"/>
        </w:rPr>
        <w:t>The nature of the misconduct and its connection to the judicial function;</w:t>
      </w:r>
    </w:p>
    <w:p w14:paraId="4534DA3A" w14:textId="77777777" w:rsidR="002461EA" w:rsidRPr="00A05B65" w:rsidRDefault="002461EA" w:rsidP="002461EA">
      <w:pPr>
        <w:pStyle w:val="ListParagraph"/>
        <w:spacing w:before="100" w:beforeAutospacing="1" w:after="100" w:afterAutospacing="1" w:line="240" w:lineRule="auto"/>
        <w:ind w:left="2345" w:right="855"/>
        <w:jc w:val="both"/>
        <w:rPr>
          <w:rFonts w:eastAsia="Times New Roman" w:cstheme="minorHAnsi"/>
          <w:szCs w:val="24"/>
          <w:lang w:val="en" w:eastAsia="en-CA"/>
        </w:rPr>
      </w:pPr>
    </w:p>
    <w:p w14:paraId="257D0D7E" w14:textId="77777777" w:rsidR="002461EA"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 w:val="14"/>
          <w:szCs w:val="14"/>
          <w:lang w:val="en" w:eastAsia="en-CA"/>
        </w:rPr>
        <w:t xml:space="preserve"> </w:t>
      </w:r>
      <w:r w:rsidRPr="00A05B65">
        <w:rPr>
          <w:rFonts w:eastAsia="Times New Roman" w:cstheme="minorHAnsi"/>
          <w:szCs w:val="24"/>
          <w:lang w:val="en" w:eastAsia="en-CA"/>
        </w:rPr>
        <w:t>Misconduct that is more directly related to the judicial function may be more deserving of a compensation recommendation than conduct that is less directly related;</w:t>
      </w:r>
      <w:r w:rsidRPr="00A05B65">
        <w:rPr>
          <w:rFonts w:eastAsia="Times New Roman" w:cstheme="minorHAnsi"/>
          <w:sz w:val="14"/>
          <w:szCs w:val="14"/>
          <w:lang w:val="en" w:eastAsia="en-CA"/>
        </w:rPr>
        <w:t xml:space="preserve"> </w:t>
      </w:r>
    </w:p>
    <w:p w14:paraId="497B5930" w14:textId="77777777" w:rsidR="002461EA" w:rsidRPr="00A05B65" w:rsidRDefault="002461EA" w:rsidP="002461EA">
      <w:pPr>
        <w:pStyle w:val="ListParagraph"/>
        <w:ind w:right="855"/>
        <w:jc w:val="both"/>
        <w:rPr>
          <w:rFonts w:eastAsia="Times New Roman" w:cstheme="minorHAnsi"/>
          <w:szCs w:val="24"/>
          <w:lang w:val="en" w:eastAsia="en-CA"/>
        </w:rPr>
      </w:pPr>
    </w:p>
    <w:p w14:paraId="0B6A6153" w14:textId="77777777" w:rsidR="002461EA"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Cs w:val="24"/>
          <w:lang w:val="en" w:eastAsia="en-CA"/>
        </w:rPr>
        <w:t xml:space="preserve">In contrast, conduct that any person ought to have known was inappropriate will be less deserving of a compensation recommendation than would conduct that is only determined to be inappropriate as a result of the ultimate decision in a </w:t>
      </w:r>
      <w:proofErr w:type="gramStart"/>
      <w:r w:rsidRPr="00A05B65">
        <w:rPr>
          <w:rFonts w:eastAsia="Times New Roman" w:cstheme="minorHAnsi"/>
          <w:szCs w:val="24"/>
          <w:lang w:val="en" w:eastAsia="en-CA"/>
        </w:rPr>
        <w:t>particular case</w:t>
      </w:r>
      <w:proofErr w:type="gramEnd"/>
      <w:r w:rsidRPr="00A05B65">
        <w:rPr>
          <w:rFonts w:eastAsia="Times New Roman" w:cstheme="minorHAnsi"/>
          <w:szCs w:val="24"/>
          <w:lang w:val="en" w:eastAsia="en-CA"/>
        </w:rPr>
        <w:t>;</w:t>
      </w:r>
      <w:r w:rsidR="002461EA" w:rsidRPr="00A05B65">
        <w:rPr>
          <w:rFonts w:eastAsia="Times New Roman" w:cstheme="minorHAnsi"/>
          <w:szCs w:val="24"/>
          <w:lang w:val="en" w:eastAsia="en-CA"/>
        </w:rPr>
        <w:t xml:space="preserve"> </w:t>
      </w:r>
    </w:p>
    <w:p w14:paraId="0B24595D" w14:textId="77777777" w:rsidR="002461EA" w:rsidRPr="00A05B65" w:rsidRDefault="002461EA" w:rsidP="002461EA">
      <w:pPr>
        <w:pStyle w:val="ListParagraph"/>
        <w:ind w:right="855"/>
        <w:jc w:val="both"/>
        <w:rPr>
          <w:rFonts w:eastAsia="Times New Roman" w:cstheme="minorHAnsi"/>
          <w:szCs w:val="24"/>
          <w:lang w:val="en" w:eastAsia="en-CA"/>
        </w:rPr>
      </w:pPr>
    </w:p>
    <w:p w14:paraId="264D4413" w14:textId="77777777" w:rsidR="002461EA"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Cs w:val="24"/>
          <w:lang w:val="en" w:eastAsia="en-CA"/>
        </w:rPr>
        <w:t>Misconduct where there are multiple instances may be less deserving of a compensation recommendation than would a single instance of misconduct;</w:t>
      </w:r>
    </w:p>
    <w:p w14:paraId="7D394F49" w14:textId="77777777" w:rsidR="002461EA" w:rsidRPr="00A05B65" w:rsidRDefault="002461EA" w:rsidP="002461EA">
      <w:pPr>
        <w:pStyle w:val="ListParagraph"/>
        <w:ind w:right="855"/>
        <w:jc w:val="both"/>
        <w:rPr>
          <w:rFonts w:eastAsia="Times New Roman" w:cstheme="minorHAnsi"/>
          <w:szCs w:val="24"/>
          <w:lang w:val="en" w:eastAsia="en-CA"/>
        </w:rPr>
      </w:pPr>
    </w:p>
    <w:p w14:paraId="259612F8" w14:textId="77777777" w:rsidR="002461EA"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Cs w:val="24"/>
          <w:lang w:val="en" w:eastAsia="en-CA"/>
        </w:rPr>
        <w:t>Similarly, repeated instances of misconduct may be less deserving of a compensation recommendation than one isolated incident;</w:t>
      </w:r>
    </w:p>
    <w:p w14:paraId="09627B5B" w14:textId="77777777" w:rsidR="002461EA" w:rsidRPr="00A05B65" w:rsidRDefault="002461EA" w:rsidP="002461EA">
      <w:pPr>
        <w:pStyle w:val="ListParagraph"/>
        <w:ind w:right="855"/>
        <w:jc w:val="both"/>
        <w:rPr>
          <w:rFonts w:eastAsia="Times New Roman" w:cstheme="minorHAnsi"/>
          <w:sz w:val="14"/>
          <w:szCs w:val="14"/>
          <w:lang w:val="en" w:eastAsia="en-CA"/>
        </w:rPr>
      </w:pPr>
    </w:p>
    <w:p w14:paraId="7603CABE" w14:textId="5CE057D3" w:rsidR="005D0F4F" w:rsidRPr="00A05B65" w:rsidRDefault="005D0F4F"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en" w:eastAsia="en-CA"/>
        </w:rPr>
      </w:pPr>
      <w:r w:rsidRPr="00A05B65">
        <w:rPr>
          <w:rFonts w:eastAsia="Times New Roman" w:cstheme="minorHAnsi"/>
          <w:sz w:val="14"/>
          <w:szCs w:val="14"/>
          <w:lang w:val="en" w:eastAsia="en-CA"/>
        </w:rPr>
        <w:t xml:space="preserve"> </w:t>
      </w:r>
      <w:r w:rsidRPr="00A05B65">
        <w:rPr>
          <w:rFonts w:eastAsia="Times New Roman" w:cstheme="minorHAnsi"/>
          <w:szCs w:val="24"/>
          <w:lang w:val="en" w:eastAsia="en-CA"/>
        </w:rPr>
        <w:t>It is open to a hearing panel to indicate that the compensation should not include the costs associated with unmeritorious or unnecessary steps.</w:t>
      </w:r>
    </w:p>
    <w:p w14:paraId="617293CE" w14:textId="77777777" w:rsidR="00105EEC" w:rsidRPr="00A05B65" w:rsidRDefault="00105EEC" w:rsidP="00AA31FD">
      <w:pPr>
        <w:pStyle w:val="ListParagraph"/>
        <w:rPr>
          <w:rFonts w:cstheme="minorHAnsi"/>
          <w:szCs w:val="24"/>
          <w:lang w:val="en-US"/>
        </w:rPr>
      </w:pPr>
    </w:p>
    <w:p w14:paraId="728B43B6" w14:textId="77777777" w:rsidR="007713E8" w:rsidRPr="00A05B65" w:rsidRDefault="00FD19EF" w:rsidP="007713E8">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 xml:space="preserve">This </w:t>
      </w:r>
      <w:r w:rsidR="00B467A7" w:rsidRPr="00A05B65">
        <w:rPr>
          <w:rFonts w:cstheme="minorHAnsi"/>
          <w:szCs w:val="24"/>
          <w:lang w:val="en-US"/>
        </w:rPr>
        <w:t xml:space="preserve">Hearing </w:t>
      </w:r>
      <w:r w:rsidRPr="00A05B65">
        <w:rPr>
          <w:rFonts w:cstheme="minorHAnsi"/>
          <w:szCs w:val="24"/>
          <w:lang w:val="en-US"/>
        </w:rPr>
        <w:t>Panel also accepts the post-</w:t>
      </w:r>
      <w:proofErr w:type="spellStart"/>
      <w:r w:rsidRPr="00A05B65">
        <w:rPr>
          <w:rFonts w:cstheme="minorHAnsi"/>
          <w:i/>
          <w:szCs w:val="24"/>
          <w:lang w:val="en-US"/>
        </w:rPr>
        <w:t>Massiah</w:t>
      </w:r>
      <w:proofErr w:type="spellEnd"/>
      <w:r w:rsidRPr="00A05B65">
        <w:rPr>
          <w:rFonts w:cstheme="minorHAnsi"/>
          <w:szCs w:val="24"/>
          <w:lang w:val="en-US"/>
        </w:rPr>
        <w:t xml:space="preserve"> case law set out in Her Worship’s submissions that recognizes </w:t>
      </w:r>
      <w:r w:rsidR="007713E8" w:rsidRPr="00A05B65">
        <w:rPr>
          <w:rFonts w:cstheme="minorHAnsi"/>
          <w:szCs w:val="24"/>
          <w:lang w:val="en-US"/>
        </w:rPr>
        <w:t xml:space="preserve">those </w:t>
      </w:r>
      <w:r w:rsidRPr="00A05B65">
        <w:rPr>
          <w:rFonts w:cstheme="minorHAnsi"/>
          <w:szCs w:val="24"/>
          <w:lang w:val="en-US"/>
        </w:rPr>
        <w:t>factors</w:t>
      </w:r>
      <w:r w:rsidR="007713E8" w:rsidRPr="00A05B65">
        <w:rPr>
          <w:rFonts w:cstheme="minorHAnsi"/>
          <w:szCs w:val="24"/>
          <w:lang w:val="en-US"/>
        </w:rPr>
        <w:t>.</w:t>
      </w:r>
    </w:p>
    <w:p w14:paraId="63B19CDE" w14:textId="77777777" w:rsidR="007713E8" w:rsidRPr="00A05B65" w:rsidRDefault="007713E8" w:rsidP="007713E8">
      <w:pPr>
        <w:pStyle w:val="ListParagraph"/>
        <w:rPr>
          <w:rFonts w:cstheme="minorHAnsi"/>
          <w:szCs w:val="24"/>
          <w:lang w:val="en-US"/>
        </w:rPr>
      </w:pPr>
    </w:p>
    <w:p w14:paraId="2BE5B570" w14:textId="343BF68A" w:rsidR="00AA31FD" w:rsidRPr="00A05B65" w:rsidRDefault="00AA31FD" w:rsidP="00AA31FD">
      <w:pPr>
        <w:spacing w:line="240" w:lineRule="auto"/>
        <w:jc w:val="both"/>
        <w:rPr>
          <w:rFonts w:cstheme="minorHAnsi"/>
          <w:b/>
          <w:szCs w:val="24"/>
          <w:lang w:val="en-US"/>
        </w:rPr>
      </w:pPr>
      <w:r w:rsidRPr="00A05B65">
        <w:rPr>
          <w:rFonts w:cstheme="minorHAnsi"/>
          <w:b/>
          <w:szCs w:val="24"/>
          <w:lang w:val="en-US"/>
        </w:rPr>
        <w:t>Analysis</w:t>
      </w:r>
    </w:p>
    <w:p w14:paraId="2E5082A5" w14:textId="77777777" w:rsidR="00DE53BB" w:rsidRPr="00A05B65" w:rsidRDefault="00DE53BB" w:rsidP="00DE53BB">
      <w:pPr>
        <w:pStyle w:val="ListParagraph"/>
        <w:spacing w:line="240" w:lineRule="auto"/>
        <w:ind w:left="709"/>
        <w:jc w:val="both"/>
        <w:rPr>
          <w:rFonts w:cstheme="minorHAnsi"/>
          <w:szCs w:val="24"/>
          <w:lang w:val="en-US"/>
        </w:rPr>
      </w:pPr>
    </w:p>
    <w:p w14:paraId="3C617A42" w14:textId="77777777" w:rsidR="00A01483" w:rsidRPr="00A05B65" w:rsidRDefault="000F098E" w:rsidP="00CA6745">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 xml:space="preserve">In considering the circumstances of this case, </w:t>
      </w:r>
      <w:r w:rsidR="003F3702" w:rsidRPr="00A05B65">
        <w:rPr>
          <w:rFonts w:cstheme="minorHAnsi"/>
          <w:szCs w:val="24"/>
          <w:lang w:val="en-US"/>
        </w:rPr>
        <w:t>this</w:t>
      </w:r>
      <w:r w:rsidR="009E3F00" w:rsidRPr="00A05B65">
        <w:rPr>
          <w:rFonts w:cstheme="minorHAnsi"/>
          <w:szCs w:val="24"/>
          <w:lang w:val="en-US"/>
        </w:rPr>
        <w:t xml:space="preserve"> Panel notes that </w:t>
      </w:r>
      <w:r w:rsidR="003F3702" w:rsidRPr="00A05B65">
        <w:rPr>
          <w:rFonts w:cstheme="minorHAnsi"/>
          <w:szCs w:val="24"/>
          <w:lang w:val="en-US"/>
        </w:rPr>
        <w:t>Her Worship’s judicial misconduct</w:t>
      </w:r>
      <w:r w:rsidRPr="00A05B65">
        <w:rPr>
          <w:rFonts w:cstheme="minorHAnsi"/>
          <w:szCs w:val="24"/>
          <w:lang w:val="en-US"/>
        </w:rPr>
        <w:t xml:space="preserve"> </w:t>
      </w:r>
      <w:r w:rsidR="003F3702" w:rsidRPr="00A05B65">
        <w:rPr>
          <w:rFonts w:cstheme="minorHAnsi"/>
          <w:szCs w:val="24"/>
          <w:lang w:val="en-US"/>
        </w:rPr>
        <w:t>was tied to her</w:t>
      </w:r>
      <w:r w:rsidRPr="00A05B65">
        <w:rPr>
          <w:rFonts w:cstheme="minorHAnsi"/>
          <w:szCs w:val="24"/>
          <w:lang w:val="en-US"/>
        </w:rPr>
        <w:t xml:space="preserve"> judicial function. Her Worship was presiding in bail court at the time. </w:t>
      </w:r>
    </w:p>
    <w:p w14:paraId="35A212EC" w14:textId="77777777" w:rsidR="00A01483" w:rsidRPr="00A05B65" w:rsidRDefault="00A01483" w:rsidP="00A01483">
      <w:pPr>
        <w:pStyle w:val="ListParagraph"/>
        <w:spacing w:line="240" w:lineRule="auto"/>
        <w:ind w:left="709"/>
        <w:jc w:val="both"/>
        <w:rPr>
          <w:rFonts w:cstheme="minorHAnsi"/>
          <w:szCs w:val="24"/>
          <w:lang w:val="en-US"/>
        </w:rPr>
      </w:pPr>
    </w:p>
    <w:p w14:paraId="15D10760" w14:textId="3897F8AA" w:rsidR="002461EA" w:rsidRPr="00A05B65" w:rsidRDefault="00F71793" w:rsidP="00CA6745">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This is also Her Worship’s first finding of judicial misconduct and there was one instance of misconduct</w:t>
      </w:r>
      <w:r w:rsidR="008F21D1" w:rsidRPr="00A05B65">
        <w:rPr>
          <w:rFonts w:cstheme="minorHAnsi"/>
          <w:szCs w:val="24"/>
          <w:lang w:val="en-US"/>
        </w:rPr>
        <w:t xml:space="preserve"> before us</w:t>
      </w:r>
      <w:r w:rsidRPr="00A05B65">
        <w:rPr>
          <w:rFonts w:cstheme="minorHAnsi"/>
          <w:szCs w:val="24"/>
          <w:lang w:val="en-US"/>
        </w:rPr>
        <w:t>.</w:t>
      </w:r>
      <w:r w:rsidR="00FD19EF" w:rsidRPr="00A05B65">
        <w:rPr>
          <w:rFonts w:cstheme="minorHAnsi"/>
          <w:szCs w:val="24"/>
          <w:lang w:val="en-US"/>
        </w:rPr>
        <w:t xml:space="preserve"> </w:t>
      </w:r>
    </w:p>
    <w:p w14:paraId="0F14A327" w14:textId="77777777" w:rsidR="002461EA" w:rsidRPr="00A05B65" w:rsidRDefault="002461EA" w:rsidP="002461EA">
      <w:pPr>
        <w:pStyle w:val="ListParagraph"/>
        <w:rPr>
          <w:rFonts w:cstheme="minorHAnsi"/>
          <w:szCs w:val="24"/>
          <w:lang w:val="en-US"/>
        </w:rPr>
      </w:pPr>
    </w:p>
    <w:p w14:paraId="4CE8174C" w14:textId="4779E177" w:rsidR="00CA6745" w:rsidRPr="00A05B65" w:rsidRDefault="003F3702" w:rsidP="00CA6745">
      <w:pPr>
        <w:pStyle w:val="ListParagraph"/>
        <w:numPr>
          <w:ilvl w:val="0"/>
          <w:numId w:val="8"/>
        </w:numPr>
        <w:spacing w:line="240" w:lineRule="auto"/>
        <w:ind w:left="709" w:hanging="709"/>
        <w:jc w:val="both"/>
        <w:rPr>
          <w:rFonts w:cstheme="minorHAnsi"/>
          <w:szCs w:val="24"/>
          <w:lang w:val="en-US"/>
        </w:rPr>
      </w:pPr>
      <w:r w:rsidRPr="00A05B65">
        <w:rPr>
          <w:rFonts w:cstheme="minorHAnsi"/>
          <w:szCs w:val="24"/>
          <w:lang w:val="en-US"/>
        </w:rPr>
        <w:t xml:space="preserve">These </w:t>
      </w:r>
      <w:r w:rsidR="00F73523" w:rsidRPr="00A05B65">
        <w:rPr>
          <w:rFonts w:cstheme="minorHAnsi"/>
          <w:szCs w:val="24"/>
          <w:lang w:val="en-US"/>
        </w:rPr>
        <w:t xml:space="preserve">three </w:t>
      </w:r>
      <w:r w:rsidRPr="00A05B65">
        <w:rPr>
          <w:rFonts w:cstheme="minorHAnsi"/>
          <w:szCs w:val="24"/>
          <w:lang w:val="en-US"/>
        </w:rPr>
        <w:t xml:space="preserve">factors </w:t>
      </w:r>
      <w:proofErr w:type="spellStart"/>
      <w:r w:rsidRPr="00A05B65">
        <w:rPr>
          <w:rFonts w:cstheme="minorHAnsi"/>
          <w:szCs w:val="24"/>
          <w:lang w:val="en-US"/>
        </w:rPr>
        <w:t>favour</w:t>
      </w:r>
      <w:proofErr w:type="spellEnd"/>
      <w:r w:rsidRPr="00A05B65">
        <w:rPr>
          <w:rFonts w:cstheme="minorHAnsi"/>
          <w:szCs w:val="24"/>
          <w:lang w:val="en-US"/>
        </w:rPr>
        <w:t xml:space="preserve"> a recommendation for compensation.  </w:t>
      </w:r>
    </w:p>
    <w:p w14:paraId="7331A2C9" w14:textId="77777777" w:rsidR="00CA6745" w:rsidRPr="00A05B65" w:rsidRDefault="00CA6745" w:rsidP="00CA6745">
      <w:pPr>
        <w:pStyle w:val="ListParagraph"/>
        <w:ind w:left="360"/>
        <w:jc w:val="both"/>
        <w:rPr>
          <w:rFonts w:ascii="Arial" w:hAnsi="Arial" w:cs="Arial"/>
          <w:szCs w:val="24"/>
          <w:lang w:val="en-US"/>
        </w:rPr>
      </w:pPr>
    </w:p>
    <w:p w14:paraId="32E40A0B" w14:textId="7A8722D9" w:rsidR="003F3702" w:rsidRPr="00A05B65" w:rsidRDefault="003F3702" w:rsidP="003F3702">
      <w:pPr>
        <w:pStyle w:val="ListParagraph"/>
        <w:numPr>
          <w:ilvl w:val="0"/>
          <w:numId w:val="8"/>
        </w:numPr>
        <w:ind w:left="720" w:hanging="720"/>
        <w:jc w:val="both"/>
        <w:rPr>
          <w:rFonts w:ascii="Arial" w:hAnsi="Arial" w:cs="Arial"/>
          <w:szCs w:val="24"/>
          <w:lang w:val="en-US"/>
        </w:rPr>
      </w:pPr>
      <w:r w:rsidRPr="00A05B65">
        <w:rPr>
          <w:rFonts w:ascii="Arial" w:hAnsi="Arial" w:cs="Arial"/>
          <w:color w:val="000000"/>
          <w:szCs w:val="24"/>
        </w:rPr>
        <w:t>On the other hand</w:t>
      </w:r>
      <w:r w:rsidR="000F098E" w:rsidRPr="00A05B65">
        <w:rPr>
          <w:rFonts w:ascii="Arial" w:hAnsi="Arial" w:cs="Arial"/>
          <w:color w:val="000000"/>
          <w:szCs w:val="24"/>
        </w:rPr>
        <w:t xml:space="preserve">, </w:t>
      </w:r>
      <w:r w:rsidR="00F71793" w:rsidRPr="00A05B65">
        <w:rPr>
          <w:rFonts w:ascii="Arial" w:hAnsi="Arial" w:cs="Arial"/>
          <w:color w:val="000000"/>
          <w:szCs w:val="24"/>
        </w:rPr>
        <w:t xml:space="preserve">the </w:t>
      </w:r>
      <w:r w:rsidR="000F098E" w:rsidRPr="00A05B65">
        <w:rPr>
          <w:rFonts w:ascii="Arial" w:hAnsi="Arial" w:cs="Arial"/>
          <w:color w:val="000000"/>
          <w:szCs w:val="24"/>
        </w:rPr>
        <w:t xml:space="preserve">judicial misconduct </w:t>
      </w:r>
      <w:r w:rsidRPr="00A05B65">
        <w:rPr>
          <w:rFonts w:ascii="Arial" w:hAnsi="Arial" w:cs="Arial"/>
          <w:color w:val="000000"/>
          <w:szCs w:val="24"/>
        </w:rPr>
        <w:t xml:space="preserve">engaged in by Her Worship </w:t>
      </w:r>
      <w:r w:rsidR="00F71793" w:rsidRPr="00A05B65">
        <w:rPr>
          <w:rFonts w:ascii="Arial" w:hAnsi="Arial" w:cs="Arial"/>
          <w:color w:val="000000"/>
          <w:szCs w:val="24"/>
        </w:rPr>
        <w:t>was</w:t>
      </w:r>
      <w:r w:rsidR="009E3F00" w:rsidRPr="00A05B65">
        <w:rPr>
          <w:rFonts w:ascii="Arial" w:hAnsi="Arial" w:cs="Arial"/>
          <w:color w:val="000000"/>
          <w:szCs w:val="24"/>
        </w:rPr>
        <w:t xml:space="preserve"> serious</w:t>
      </w:r>
      <w:r w:rsidR="00A01483" w:rsidRPr="00A05B65">
        <w:rPr>
          <w:rFonts w:ascii="Arial" w:hAnsi="Arial" w:cs="Arial"/>
          <w:color w:val="000000"/>
          <w:szCs w:val="24"/>
        </w:rPr>
        <w:t>. She acted in haste without due regard to the right of the accused</w:t>
      </w:r>
      <w:r w:rsidR="009E3F00" w:rsidRPr="00A05B65">
        <w:rPr>
          <w:rFonts w:ascii="Arial" w:hAnsi="Arial" w:cs="Arial"/>
          <w:color w:val="000000"/>
          <w:szCs w:val="24"/>
        </w:rPr>
        <w:t xml:space="preserve"> </w:t>
      </w:r>
      <w:r w:rsidR="00A01483" w:rsidRPr="00A05B65">
        <w:rPr>
          <w:rFonts w:ascii="Arial" w:hAnsi="Arial" w:cs="Arial"/>
          <w:color w:val="000000"/>
          <w:szCs w:val="24"/>
        </w:rPr>
        <w:t>to a bail hearing. Such misconduct by a justice of the peace impacts on the fundamental liberty rights of an individual. This is misconduct o</w:t>
      </w:r>
      <w:r w:rsidR="000F098E" w:rsidRPr="00A05B65">
        <w:rPr>
          <w:rFonts w:ascii="Arial" w:hAnsi="Arial" w:cs="Arial"/>
          <w:color w:val="000000"/>
          <w:szCs w:val="24"/>
        </w:rPr>
        <w:t xml:space="preserve">f a nature that any person ought to have known was inappropriate. </w:t>
      </w:r>
      <w:r w:rsidR="00A01483" w:rsidRPr="00A05B65">
        <w:rPr>
          <w:rFonts w:ascii="Arial" w:hAnsi="Arial" w:cs="Arial"/>
          <w:color w:val="000000"/>
          <w:szCs w:val="24"/>
        </w:rPr>
        <w:t xml:space="preserve">Those circumstances </w:t>
      </w:r>
      <w:r w:rsidR="002461EA" w:rsidRPr="00A05B65">
        <w:rPr>
          <w:rFonts w:ascii="Arial" w:hAnsi="Arial" w:cs="Arial"/>
          <w:color w:val="000000"/>
          <w:szCs w:val="24"/>
        </w:rPr>
        <w:t xml:space="preserve">make a recommendation less deserving. </w:t>
      </w:r>
    </w:p>
    <w:p w14:paraId="7162213C" w14:textId="77777777" w:rsidR="003F3702" w:rsidRPr="00A05B65" w:rsidRDefault="003F3702" w:rsidP="003F3702">
      <w:pPr>
        <w:pStyle w:val="ListParagraph"/>
        <w:rPr>
          <w:rFonts w:cstheme="minorHAnsi"/>
          <w:szCs w:val="24"/>
          <w:lang w:val="en-US"/>
        </w:rPr>
      </w:pPr>
    </w:p>
    <w:p w14:paraId="3AF1A779" w14:textId="472AEB10" w:rsidR="00EC2037" w:rsidRPr="00A05B65" w:rsidRDefault="003F3702" w:rsidP="00EC2037">
      <w:pPr>
        <w:pStyle w:val="ListParagraph"/>
        <w:numPr>
          <w:ilvl w:val="0"/>
          <w:numId w:val="8"/>
        </w:numPr>
        <w:ind w:left="720" w:hanging="720"/>
        <w:jc w:val="both"/>
        <w:rPr>
          <w:rFonts w:ascii="Arial" w:hAnsi="Arial" w:cs="Arial"/>
          <w:szCs w:val="24"/>
          <w:lang w:val="en-US"/>
        </w:rPr>
      </w:pPr>
      <w:r w:rsidRPr="00A05B65">
        <w:rPr>
          <w:rFonts w:cstheme="minorHAnsi"/>
          <w:szCs w:val="24"/>
          <w:lang w:val="en-US"/>
        </w:rPr>
        <w:t>In</w:t>
      </w:r>
      <w:r w:rsidR="000F1350" w:rsidRPr="00A05B65">
        <w:rPr>
          <w:rFonts w:cstheme="minorHAnsi"/>
          <w:szCs w:val="24"/>
          <w:lang w:val="en-US"/>
        </w:rPr>
        <w:t xml:space="preserve"> balancing </w:t>
      </w:r>
      <w:r w:rsidRPr="00A05B65">
        <w:rPr>
          <w:rFonts w:cstheme="minorHAnsi"/>
          <w:szCs w:val="24"/>
          <w:lang w:val="en-US"/>
        </w:rPr>
        <w:t xml:space="preserve">the </w:t>
      </w:r>
      <w:r w:rsidR="000F1350" w:rsidRPr="00A05B65">
        <w:rPr>
          <w:rFonts w:cstheme="minorHAnsi"/>
          <w:szCs w:val="24"/>
          <w:lang w:val="en-US"/>
        </w:rPr>
        <w:t xml:space="preserve">above </w:t>
      </w:r>
      <w:r w:rsidRPr="00A05B65">
        <w:rPr>
          <w:rFonts w:cstheme="minorHAnsi"/>
          <w:szCs w:val="24"/>
          <w:lang w:val="en-US"/>
        </w:rPr>
        <w:t xml:space="preserve">factors, this Panel </w:t>
      </w:r>
      <w:r w:rsidR="000F1350" w:rsidRPr="00A05B65">
        <w:rPr>
          <w:rFonts w:cstheme="minorHAnsi"/>
          <w:szCs w:val="24"/>
          <w:lang w:val="en-US"/>
        </w:rPr>
        <w:t>concludes that the circumstances</w:t>
      </w:r>
      <w:r w:rsidRPr="00A05B65">
        <w:rPr>
          <w:rFonts w:cstheme="minorHAnsi"/>
          <w:szCs w:val="24"/>
          <w:lang w:val="en-US"/>
        </w:rPr>
        <w:t xml:space="preserve"> support a recommendation for </w:t>
      </w:r>
      <w:r w:rsidR="000F1350" w:rsidRPr="00A05B65">
        <w:rPr>
          <w:rFonts w:cstheme="minorHAnsi"/>
          <w:szCs w:val="24"/>
          <w:lang w:val="en-US"/>
        </w:rPr>
        <w:t xml:space="preserve">partial </w:t>
      </w:r>
      <w:r w:rsidRPr="00A05B65">
        <w:rPr>
          <w:rFonts w:cstheme="minorHAnsi"/>
          <w:szCs w:val="24"/>
          <w:lang w:val="en-US"/>
        </w:rPr>
        <w:t>compensation.</w:t>
      </w:r>
    </w:p>
    <w:p w14:paraId="63B2A9B7" w14:textId="77777777" w:rsidR="00EC2037" w:rsidRPr="00A05B65" w:rsidRDefault="00EC2037" w:rsidP="00EC2037">
      <w:pPr>
        <w:pStyle w:val="ListParagraph"/>
        <w:rPr>
          <w:rFonts w:ascii="Arial" w:hAnsi="Arial" w:cs="Arial"/>
          <w:szCs w:val="24"/>
          <w:lang w:val="en-US"/>
        </w:rPr>
      </w:pPr>
    </w:p>
    <w:p w14:paraId="70F372AD" w14:textId="6BBC12D7" w:rsidR="008F21D1" w:rsidRPr="00A05B65" w:rsidRDefault="008F21D1" w:rsidP="001412EC">
      <w:pPr>
        <w:pStyle w:val="ListParagraph"/>
        <w:numPr>
          <w:ilvl w:val="0"/>
          <w:numId w:val="8"/>
        </w:numPr>
        <w:spacing w:after="0" w:line="240" w:lineRule="auto"/>
        <w:ind w:left="709" w:hanging="709"/>
        <w:jc w:val="both"/>
        <w:rPr>
          <w:rFonts w:cstheme="minorHAnsi"/>
          <w:szCs w:val="24"/>
          <w:lang w:val="en-US"/>
        </w:rPr>
      </w:pPr>
      <w:r w:rsidRPr="00A05B65">
        <w:rPr>
          <w:rFonts w:cstheme="minorHAnsi"/>
          <w:szCs w:val="24"/>
          <w:lang w:val="en-US"/>
        </w:rPr>
        <w:lastRenderedPageBreak/>
        <w:t xml:space="preserve">The judicial learning undertaken by Her Worship with the Honourable Jack </w:t>
      </w:r>
      <w:proofErr w:type="spellStart"/>
      <w:r w:rsidRPr="00A05B65">
        <w:rPr>
          <w:rFonts w:cstheme="minorHAnsi"/>
          <w:szCs w:val="24"/>
          <w:lang w:val="en-US"/>
        </w:rPr>
        <w:t>Nadelle</w:t>
      </w:r>
      <w:proofErr w:type="spellEnd"/>
      <w:r w:rsidRPr="00A05B65">
        <w:rPr>
          <w:rFonts w:cstheme="minorHAnsi"/>
          <w:szCs w:val="24"/>
          <w:lang w:val="en-US"/>
        </w:rPr>
        <w:t xml:space="preserve"> was at her own initiative and related to bail law and ethics that a justice of the peace is expected to know. Any costs related to this learning should be borne by Her Worship.</w:t>
      </w:r>
    </w:p>
    <w:p w14:paraId="3719E632" w14:textId="77777777" w:rsidR="008F21D1" w:rsidRPr="00A05B65" w:rsidRDefault="008F21D1" w:rsidP="008F21D1">
      <w:pPr>
        <w:spacing w:after="0" w:line="240" w:lineRule="auto"/>
        <w:jc w:val="both"/>
        <w:rPr>
          <w:rFonts w:cstheme="minorHAnsi"/>
          <w:szCs w:val="24"/>
          <w:lang w:val="en-US"/>
        </w:rPr>
      </w:pPr>
    </w:p>
    <w:p w14:paraId="1E4ED11D" w14:textId="77777777" w:rsidR="003621E6" w:rsidRPr="00A05B65" w:rsidRDefault="00F71793" w:rsidP="003621E6">
      <w:pPr>
        <w:pStyle w:val="ListParagraph"/>
        <w:numPr>
          <w:ilvl w:val="0"/>
          <w:numId w:val="8"/>
        </w:numPr>
        <w:ind w:left="709" w:hanging="709"/>
        <w:jc w:val="both"/>
        <w:rPr>
          <w:rFonts w:cstheme="minorHAnsi"/>
          <w:szCs w:val="24"/>
          <w:lang w:val="en-US"/>
        </w:rPr>
      </w:pPr>
      <w:r w:rsidRPr="00A05B65">
        <w:rPr>
          <w:rFonts w:cstheme="minorHAnsi"/>
          <w:szCs w:val="24"/>
          <w:lang w:val="en-US"/>
        </w:rPr>
        <w:t xml:space="preserve">Moreover, this Panel </w:t>
      </w:r>
      <w:r w:rsidR="008007EB" w:rsidRPr="00A05B65">
        <w:rPr>
          <w:rFonts w:cstheme="minorHAnsi"/>
          <w:szCs w:val="24"/>
          <w:lang w:val="en-US"/>
        </w:rPr>
        <w:t>accepts the submission of Presenting Counsel</w:t>
      </w:r>
      <w:r w:rsidRPr="00A05B65">
        <w:rPr>
          <w:rFonts w:cstheme="minorHAnsi"/>
          <w:szCs w:val="24"/>
          <w:lang w:val="en-US"/>
        </w:rPr>
        <w:t xml:space="preserve"> that </w:t>
      </w:r>
      <w:r w:rsidR="008007EB" w:rsidRPr="00A05B65">
        <w:rPr>
          <w:rFonts w:cstheme="minorHAnsi"/>
          <w:szCs w:val="24"/>
          <w:lang w:val="en-US"/>
        </w:rPr>
        <w:t>Her Worship’s pre</w:t>
      </w:r>
      <w:r w:rsidR="009777D5" w:rsidRPr="00A05B65">
        <w:rPr>
          <w:rFonts w:cstheme="minorHAnsi"/>
          <w:szCs w:val="24"/>
          <w:lang w:val="en-US"/>
        </w:rPr>
        <w:t>-</w:t>
      </w:r>
      <w:r w:rsidR="008007EB" w:rsidRPr="00A05B65">
        <w:rPr>
          <w:rFonts w:cstheme="minorHAnsi"/>
          <w:szCs w:val="24"/>
          <w:lang w:val="en-US"/>
        </w:rPr>
        <w:t xml:space="preserve">hearing motion to quash certain </w:t>
      </w:r>
      <w:r w:rsidR="00CA6745" w:rsidRPr="00A05B65">
        <w:rPr>
          <w:rFonts w:cstheme="minorHAnsi"/>
          <w:szCs w:val="24"/>
          <w:lang w:val="en-US"/>
        </w:rPr>
        <w:t>allegations</w:t>
      </w:r>
      <w:r w:rsidR="008007EB" w:rsidRPr="00A05B65">
        <w:rPr>
          <w:rFonts w:cstheme="minorHAnsi"/>
          <w:szCs w:val="24"/>
          <w:lang w:val="en-US"/>
        </w:rPr>
        <w:t xml:space="preserve"> in the Notice of Hearing</w:t>
      </w:r>
      <w:r w:rsidR="00CA6745" w:rsidRPr="00A05B65">
        <w:rPr>
          <w:rFonts w:cstheme="minorHAnsi"/>
          <w:szCs w:val="24"/>
          <w:lang w:val="en-US"/>
        </w:rPr>
        <w:t xml:space="preserve"> </w:t>
      </w:r>
      <w:r w:rsidR="009C16E5" w:rsidRPr="00A05B65">
        <w:rPr>
          <w:rFonts w:cstheme="minorHAnsi"/>
          <w:szCs w:val="24"/>
          <w:lang w:val="en-US"/>
        </w:rPr>
        <w:t>as</w:t>
      </w:r>
      <w:r w:rsidR="00CA6745" w:rsidRPr="00A05B65">
        <w:rPr>
          <w:rFonts w:cstheme="minorHAnsi"/>
          <w:szCs w:val="24"/>
          <w:lang w:val="en-US"/>
        </w:rPr>
        <w:t xml:space="preserve"> outside the jurisdiction of the Review Council</w:t>
      </w:r>
      <w:r w:rsidR="008007EB" w:rsidRPr="00A05B65">
        <w:rPr>
          <w:rFonts w:cstheme="minorHAnsi"/>
          <w:szCs w:val="24"/>
          <w:lang w:val="en-US"/>
        </w:rPr>
        <w:t>, while not frivolous, did cause some “duplication of argument and effort</w:t>
      </w:r>
      <w:r w:rsidR="00CA6745" w:rsidRPr="00A05B65">
        <w:rPr>
          <w:rFonts w:cstheme="minorHAnsi"/>
          <w:szCs w:val="24"/>
          <w:lang w:val="en-US"/>
        </w:rPr>
        <w:t xml:space="preserve">”. </w:t>
      </w:r>
    </w:p>
    <w:p w14:paraId="50B9000E" w14:textId="77777777" w:rsidR="003621E6" w:rsidRPr="00A05B65" w:rsidRDefault="003621E6" w:rsidP="003621E6">
      <w:pPr>
        <w:pStyle w:val="ListParagraph"/>
        <w:rPr>
          <w:rFonts w:cstheme="minorHAnsi"/>
          <w:szCs w:val="24"/>
          <w:lang w:val="en-US"/>
        </w:rPr>
      </w:pPr>
    </w:p>
    <w:p w14:paraId="4784482E" w14:textId="6B5A4C05" w:rsidR="00CA6745" w:rsidRPr="00A05B65" w:rsidRDefault="003621E6" w:rsidP="00D27AFC">
      <w:pPr>
        <w:pStyle w:val="ListParagraph"/>
        <w:numPr>
          <w:ilvl w:val="0"/>
          <w:numId w:val="8"/>
        </w:numPr>
        <w:ind w:left="720" w:hanging="720"/>
        <w:jc w:val="both"/>
        <w:rPr>
          <w:rFonts w:ascii="Arial" w:hAnsi="Arial" w:cs="Arial"/>
          <w:szCs w:val="24"/>
          <w:lang w:val="en-US"/>
        </w:rPr>
      </w:pPr>
      <w:r w:rsidRPr="00A05B65">
        <w:rPr>
          <w:rFonts w:cstheme="minorHAnsi"/>
          <w:szCs w:val="24"/>
          <w:lang w:val="en-US"/>
        </w:rPr>
        <w:t xml:space="preserve">In its decision the Hearing Panel found that “the timing of this pre-hearing motion was unfortunate. An earlier date prior to the date scheduled for the evidence to begin should have been sought for argument in order to allow us to provide more fulsome reasons prior to the commencement of the hearing.” </w:t>
      </w:r>
      <w:r w:rsidR="00CA6745" w:rsidRPr="00A05B65">
        <w:rPr>
          <w:rFonts w:cstheme="minorHAnsi"/>
          <w:szCs w:val="24"/>
          <w:lang w:val="en-US"/>
        </w:rPr>
        <w:t xml:space="preserve">The basis for this motion was “the very same issue that formed the bulk of the argument at the end of the hearing.” </w:t>
      </w:r>
      <w:r w:rsidR="00EC2037" w:rsidRPr="00A05B65">
        <w:rPr>
          <w:rFonts w:cstheme="minorHAnsi"/>
          <w:szCs w:val="24"/>
          <w:lang w:val="en-US"/>
        </w:rPr>
        <w:t xml:space="preserve">Accordingly, </w:t>
      </w:r>
      <w:r w:rsidR="009C16E5" w:rsidRPr="00A05B65">
        <w:rPr>
          <w:rFonts w:cstheme="minorHAnsi"/>
          <w:szCs w:val="24"/>
          <w:lang w:val="en-US"/>
        </w:rPr>
        <w:t xml:space="preserve">Her Worship should not receive compensation for </w:t>
      </w:r>
      <w:r w:rsidR="009E6912" w:rsidRPr="00A05B65">
        <w:rPr>
          <w:rFonts w:cstheme="minorHAnsi"/>
          <w:szCs w:val="24"/>
          <w:lang w:val="en-US"/>
        </w:rPr>
        <w:t>the costs associated with this motion</w:t>
      </w:r>
      <w:r w:rsidR="009C16E5" w:rsidRPr="00A05B65">
        <w:rPr>
          <w:rFonts w:cstheme="minorHAnsi"/>
          <w:szCs w:val="24"/>
          <w:lang w:val="en-US"/>
        </w:rPr>
        <w:t xml:space="preserve">. </w:t>
      </w:r>
    </w:p>
    <w:p w14:paraId="38D1EB32" w14:textId="77777777" w:rsidR="00CA6745" w:rsidRPr="00A05B65" w:rsidRDefault="00CA6745" w:rsidP="00CA6745">
      <w:pPr>
        <w:pStyle w:val="ListParagraph"/>
        <w:rPr>
          <w:rFonts w:cstheme="minorHAnsi"/>
          <w:szCs w:val="24"/>
          <w:lang w:val="en-US"/>
        </w:rPr>
      </w:pPr>
    </w:p>
    <w:p w14:paraId="0C8A668E" w14:textId="07E74D8C" w:rsidR="009777D5" w:rsidRPr="00A05B65" w:rsidRDefault="009777D5" w:rsidP="009D2002">
      <w:pPr>
        <w:pStyle w:val="ListParagraph"/>
        <w:numPr>
          <w:ilvl w:val="0"/>
          <w:numId w:val="8"/>
        </w:numPr>
        <w:ind w:left="709" w:hanging="709"/>
        <w:jc w:val="both"/>
        <w:rPr>
          <w:rFonts w:cstheme="minorHAnsi"/>
          <w:szCs w:val="24"/>
          <w:lang w:val="en-US"/>
        </w:rPr>
      </w:pPr>
      <w:r w:rsidRPr="00A05B65">
        <w:rPr>
          <w:rFonts w:cstheme="minorHAnsi"/>
          <w:szCs w:val="24"/>
          <w:lang w:val="en-US"/>
        </w:rPr>
        <w:t xml:space="preserve">In addition to considering the circumstances of the </w:t>
      </w:r>
      <w:proofErr w:type="gramStart"/>
      <w:r w:rsidRPr="00A05B65">
        <w:rPr>
          <w:rFonts w:cstheme="minorHAnsi"/>
          <w:szCs w:val="24"/>
          <w:lang w:val="en-US"/>
        </w:rPr>
        <w:t>particular case</w:t>
      </w:r>
      <w:proofErr w:type="gramEnd"/>
      <w:r w:rsidRPr="00A05B65">
        <w:rPr>
          <w:rFonts w:cstheme="minorHAnsi"/>
          <w:szCs w:val="24"/>
          <w:lang w:val="en-US"/>
        </w:rPr>
        <w:t>, we must take into account the objective of the judicial discipline process which is to preserve public confidence in the integrity of the judiciary in general.</w:t>
      </w:r>
    </w:p>
    <w:p w14:paraId="5F53FA4B" w14:textId="77777777" w:rsidR="009777D5" w:rsidRPr="00A05B65" w:rsidRDefault="009777D5" w:rsidP="009D2002">
      <w:pPr>
        <w:pStyle w:val="ListParagraph"/>
        <w:jc w:val="both"/>
        <w:rPr>
          <w:rFonts w:cstheme="minorHAnsi"/>
          <w:szCs w:val="24"/>
          <w:lang w:val="en-US"/>
        </w:rPr>
      </w:pPr>
    </w:p>
    <w:p w14:paraId="1F47D514" w14:textId="77777777" w:rsidR="0093267D" w:rsidRPr="00A05B65" w:rsidRDefault="009777D5" w:rsidP="0093267D">
      <w:pPr>
        <w:pStyle w:val="ListParagraph"/>
        <w:numPr>
          <w:ilvl w:val="0"/>
          <w:numId w:val="8"/>
        </w:numPr>
        <w:ind w:left="709" w:hanging="709"/>
        <w:jc w:val="both"/>
        <w:rPr>
          <w:rFonts w:eastAsia="Times New Roman" w:cstheme="minorHAnsi"/>
          <w:szCs w:val="24"/>
          <w:lang w:eastAsia="en-CA"/>
        </w:rPr>
      </w:pPr>
      <w:r w:rsidRPr="00A05B65">
        <w:rPr>
          <w:rFonts w:cstheme="minorHAnsi"/>
          <w:szCs w:val="24"/>
          <w:lang w:val="en-US"/>
        </w:rPr>
        <w:t>T</w:t>
      </w:r>
      <w:r w:rsidR="00FD1AC1" w:rsidRPr="00A05B65">
        <w:rPr>
          <w:rFonts w:cstheme="minorHAnsi"/>
          <w:szCs w:val="24"/>
          <w:lang w:val="en-US"/>
        </w:rPr>
        <w:t>his</w:t>
      </w:r>
      <w:r w:rsidR="00547A92" w:rsidRPr="00A05B65">
        <w:rPr>
          <w:rFonts w:cstheme="minorHAnsi"/>
          <w:szCs w:val="24"/>
          <w:lang w:val="en-US"/>
        </w:rPr>
        <w:t xml:space="preserve"> Panel recommends</w:t>
      </w:r>
      <w:r w:rsidRPr="00A05B65">
        <w:rPr>
          <w:rFonts w:cstheme="minorHAnsi"/>
          <w:szCs w:val="24"/>
          <w:lang w:val="en-US"/>
        </w:rPr>
        <w:t xml:space="preserve"> to the Attorney General</w:t>
      </w:r>
      <w:r w:rsidR="00547A92" w:rsidRPr="00A05B65">
        <w:rPr>
          <w:rFonts w:cstheme="minorHAnsi"/>
          <w:szCs w:val="24"/>
          <w:lang w:val="en-US"/>
        </w:rPr>
        <w:t xml:space="preserve"> </w:t>
      </w:r>
      <w:r w:rsidR="00CA6745" w:rsidRPr="00A05B65">
        <w:rPr>
          <w:rFonts w:cstheme="minorHAnsi"/>
          <w:szCs w:val="24"/>
          <w:lang w:val="en-US"/>
        </w:rPr>
        <w:t>that Her Worship receive</w:t>
      </w:r>
      <w:r w:rsidR="009E6912" w:rsidRPr="00A05B65">
        <w:rPr>
          <w:rFonts w:cstheme="minorHAnsi"/>
          <w:szCs w:val="24"/>
          <w:lang w:val="en-US"/>
        </w:rPr>
        <w:t xml:space="preserve"> compensation of</w:t>
      </w:r>
      <w:r w:rsidR="00CA6745" w:rsidRPr="00A05B65">
        <w:rPr>
          <w:rFonts w:cstheme="minorHAnsi"/>
          <w:szCs w:val="24"/>
          <w:lang w:val="en-US"/>
        </w:rPr>
        <w:t xml:space="preserve"> $127,000 in legal fees </w:t>
      </w:r>
      <w:r w:rsidR="0093267D" w:rsidRPr="00A05B65">
        <w:rPr>
          <w:rFonts w:cstheme="minorHAnsi"/>
          <w:szCs w:val="24"/>
          <w:lang w:val="en-US"/>
        </w:rPr>
        <w:t>plus HST of $16,510.00 on the fees.</w:t>
      </w:r>
    </w:p>
    <w:p w14:paraId="21C62ABF" w14:textId="77777777" w:rsidR="0093267D" w:rsidRPr="00A05B65" w:rsidRDefault="0093267D" w:rsidP="0093267D">
      <w:pPr>
        <w:pStyle w:val="ListParagraph"/>
        <w:rPr>
          <w:rFonts w:cstheme="minorHAnsi"/>
          <w:szCs w:val="24"/>
          <w:lang w:val="en-US"/>
        </w:rPr>
      </w:pPr>
    </w:p>
    <w:p w14:paraId="20468C5A" w14:textId="6D206748" w:rsidR="0093267D" w:rsidRPr="00A05B65" w:rsidRDefault="0093267D" w:rsidP="0093267D">
      <w:pPr>
        <w:pStyle w:val="ListParagraph"/>
        <w:numPr>
          <w:ilvl w:val="0"/>
          <w:numId w:val="8"/>
        </w:numPr>
        <w:ind w:left="709" w:hanging="709"/>
        <w:jc w:val="both"/>
        <w:rPr>
          <w:rFonts w:eastAsia="Times New Roman" w:cstheme="minorHAnsi"/>
          <w:szCs w:val="24"/>
          <w:lang w:eastAsia="en-CA"/>
        </w:rPr>
      </w:pPr>
      <w:r w:rsidRPr="00A05B65">
        <w:rPr>
          <w:rFonts w:cstheme="minorHAnsi"/>
          <w:szCs w:val="24"/>
          <w:lang w:val="en-US"/>
        </w:rPr>
        <w:t xml:space="preserve">The Panel recommends compensation for disbursements in the amount of </w:t>
      </w:r>
      <w:r w:rsidR="00CA6745" w:rsidRPr="00A05B65">
        <w:rPr>
          <w:rFonts w:cstheme="minorHAnsi"/>
          <w:szCs w:val="24"/>
          <w:lang w:val="en-US"/>
        </w:rPr>
        <w:t>$8,329.51 in disbursements</w:t>
      </w:r>
      <w:r w:rsidR="009777D5" w:rsidRPr="00A05B65">
        <w:rPr>
          <w:rFonts w:cstheme="minorHAnsi"/>
          <w:szCs w:val="24"/>
          <w:lang w:val="en-US"/>
        </w:rPr>
        <w:t xml:space="preserve"> </w:t>
      </w:r>
      <w:r w:rsidRPr="00A05B65">
        <w:rPr>
          <w:rFonts w:cstheme="minorHAnsi"/>
          <w:szCs w:val="24"/>
          <w:lang w:val="en-US"/>
        </w:rPr>
        <w:t xml:space="preserve">inclusive of </w:t>
      </w:r>
      <w:r w:rsidR="009777D5" w:rsidRPr="00A05B65">
        <w:rPr>
          <w:rFonts w:cstheme="minorHAnsi"/>
          <w:szCs w:val="24"/>
          <w:lang w:val="en-US"/>
        </w:rPr>
        <w:t>HST</w:t>
      </w:r>
      <w:r w:rsidRPr="00A05B65">
        <w:rPr>
          <w:rFonts w:cstheme="minorHAnsi"/>
          <w:szCs w:val="24"/>
          <w:lang w:val="en-US"/>
        </w:rPr>
        <w:t xml:space="preserve">. </w:t>
      </w:r>
    </w:p>
    <w:p w14:paraId="05846829" w14:textId="77777777" w:rsidR="0093267D" w:rsidRPr="00A05B65" w:rsidRDefault="0093267D" w:rsidP="0093267D">
      <w:pPr>
        <w:pStyle w:val="ListParagraph"/>
        <w:rPr>
          <w:rFonts w:eastAsia="Times New Roman" w:cstheme="minorHAnsi"/>
          <w:szCs w:val="24"/>
          <w:lang w:eastAsia="en-CA"/>
        </w:rPr>
      </w:pPr>
    </w:p>
    <w:p w14:paraId="27B5D3A0" w14:textId="5AF81FA9" w:rsidR="0093267D" w:rsidRPr="00A05B65" w:rsidRDefault="0093267D" w:rsidP="0093267D">
      <w:pPr>
        <w:pStyle w:val="ListParagraph"/>
        <w:numPr>
          <w:ilvl w:val="0"/>
          <w:numId w:val="8"/>
        </w:numPr>
        <w:jc w:val="both"/>
        <w:rPr>
          <w:rFonts w:eastAsia="Times New Roman" w:cstheme="minorHAnsi"/>
          <w:szCs w:val="24"/>
          <w:lang w:eastAsia="en-CA"/>
        </w:rPr>
      </w:pPr>
      <w:r w:rsidRPr="00A05B65">
        <w:rPr>
          <w:rFonts w:eastAsia="Times New Roman" w:cstheme="minorHAnsi"/>
          <w:szCs w:val="24"/>
          <w:lang w:eastAsia="en-CA"/>
        </w:rPr>
        <w:t>The total amount recommended is $151,839.51.</w:t>
      </w:r>
    </w:p>
    <w:p w14:paraId="4D831FF4" w14:textId="77777777" w:rsidR="0093267D" w:rsidRPr="00A05B65" w:rsidRDefault="0093267D" w:rsidP="0093267D">
      <w:pPr>
        <w:pStyle w:val="ListParagraph"/>
        <w:rPr>
          <w:rFonts w:eastAsia="Times New Roman" w:cstheme="minorHAnsi"/>
          <w:szCs w:val="24"/>
          <w:lang w:eastAsia="en-CA"/>
        </w:rPr>
      </w:pPr>
    </w:p>
    <w:p w14:paraId="56862A0E" w14:textId="1EC9212C" w:rsidR="006F43EA" w:rsidRPr="00A05B65" w:rsidRDefault="006F43EA" w:rsidP="0093267D">
      <w:pPr>
        <w:jc w:val="both"/>
        <w:rPr>
          <w:rFonts w:eastAsia="Times New Roman" w:cstheme="minorHAnsi"/>
          <w:szCs w:val="24"/>
          <w:lang w:eastAsia="en-CA"/>
        </w:rPr>
      </w:pPr>
      <w:r w:rsidRPr="00A05B65">
        <w:rPr>
          <w:rFonts w:eastAsia="Times New Roman" w:cstheme="minorHAnsi"/>
          <w:szCs w:val="24"/>
          <w:lang w:eastAsia="en-CA"/>
        </w:rPr>
        <w:t xml:space="preserve">Dated at the city of Toronto in the Province of Ontario, </w:t>
      </w:r>
      <w:r w:rsidR="009777D5" w:rsidRPr="00A05B65">
        <w:rPr>
          <w:rFonts w:eastAsia="Times New Roman" w:cstheme="minorHAnsi"/>
          <w:szCs w:val="24"/>
          <w:lang w:eastAsia="en-CA"/>
        </w:rPr>
        <w:t xml:space="preserve">October </w:t>
      </w:r>
      <w:r w:rsidR="00A05B65" w:rsidRPr="00A05B65">
        <w:rPr>
          <w:rFonts w:eastAsia="Times New Roman" w:cstheme="minorHAnsi"/>
          <w:szCs w:val="24"/>
          <w:lang w:eastAsia="en-CA"/>
        </w:rPr>
        <w:t>5</w:t>
      </w:r>
      <w:r w:rsidR="008B54AC" w:rsidRPr="00A05B65">
        <w:rPr>
          <w:rFonts w:eastAsia="Times New Roman" w:cstheme="minorHAnsi"/>
          <w:szCs w:val="24"/>
          <w:lang w:eastAsia="en-CA"/>
        </w:rPr>
        <w:t xml:space="preserve">, </w:t>
      </w:r>
      <w:r w:rsidRPr="00A05B65">
        <w:rPr>
          <w:rFonts w:eastAsia="Times New Roman" w:cstheme="minorHAnsi"/>
          <w:szCs w:val="24"/>
          <w:lang w:eastAsia="en-CA"/>
        </w:rPr>
        <w:t>20</w:t>
      </w:r>
      <w:r w:rsidR="001F2FA1" w:rsidRPr="00A05B65">
        <w:rPr>
          <w:rFonts w:eastAsia="Times New Roman" w:cstheme="minorHAnsi"/>
          <w:szCs w:val="24"/>
          <w:lang w:eastAsia="en-CA"/>
        </w:rPr>
        <w:t>20</w:t>
      </w:r>
      <w:r w:rsidRPr="00A05B65">
        <w:rPr>
          <w:rFonts w:eastAsia="Times New Roman" w:cstheme="minorHAnsi"/>
          <w:szCs w:val="24"/>
          <w:lang w:eastAsia="en-CA"/>
        </w:rPr>
        <w:t xml:space="preserve">. </w:t>
      </w:r>
    </w:p>
    <w:p w14:paraId="74083A78" w14:textId="77777777" w:rsidR="006F43EA" w:rsidRPr="00A05B65" w:rsidRDefault="006F43EA" w:rsidP="00E27DD6">
      <w:pPr>
        <w:spacing w:after="0" w:line="240" w:lineRule="auto"/>
        <w:ind w:right="-446" w:hanging="360"/>
        <w:rPr>
          <w:rFonts w:eastAsia="Times New Roman" w:cstheme="minorHAnsi"/>
          <w:szCs w:val="24"/>
          <w:lang w:eastAsia="en-CA"/>
        </w:rPr>
      </w:pPr>
    </w:p>
    <w:p w14:paraId="7AB7F032" w14:textId="77777777" w:rsidR="006F43EA" w:rsidRPr="00A05B65" w:rsidRDefault="006F43EA" w:rsidP="00E27DD6">
      <w:pPr>
        <w:spacing w:after="0" w:line="240" w:lineRule="auto"/>
        <w:ind w:right="-446"/>
        <w:rPr>
          <w:rFonts w:eastAsia="Times New Roman" w:cstheme="minorHAnsi"/>
          <w:szCs w:val="24"/>
          <w:lang w:eastAsia="en-CA"/>
        </w:rPr>
      </w:pPr>
      <w:r w:rsidRPr="00A05B65">
        <w:rPr>
          <w:rFonts w:eastAsia="Times New Roman" w:cstheme="minorHAnsi"/>
          <w:szCs w:val="24"/>
          <w:lang w:eastAsia="en-CA"/>
        </w:rPr>
        <w:t>HEARING PANEL:</w:t>
      </w:r>
    </w:p>
    <w:p w14:paraId="7D86AFDD" w14:textId="77777777" w:rsidR="006F43EA" w:rsidRPr="00A05B65" w:rsidRDefault="006F43EA" w:rsidP="00E27DD6">
      <w:pPr>
        <w:spacing w:before="240" w:after="240" w:line="240" w:lineRule="auto"/>
        <w:ind w:right="-448"/>
        <w:rPr>
          <w:rFonts w:eastAsia="Times New Roman" w:cstheme="minorHAnsi"/>
          <w:szCs w:val="24"/>
          <w:lang w:eastAsia="en-CA"/>
        </w:rPr>
      </w:pPr>
      <w:r w:rsidRPr="00A05B65">
        <w:rPr>
          <w:rFonts w:eastAsia="Times New Roman" w:cstheme="minorHAnsi"/>
          <w:szCs w:val="24"/>
          <w:lang w:eastAsia="en-CA"/>
        </w:rPr>
        <w:t xml:space="preserve">The Honourable Justice </w:t>
      </w:r>
      <w:r w:rsidR="00A84AD4" w:rsidRPr="00A05B65">
        <w:rPr>
          <w:rFonts w:eastAsia="Times New Roman" w:cstheme="minorHAnsi"/>
          <w:szCs w:val="24"/>
          <w:lang w:eastAsia="en-CA"/>
        </w:rPr>
        <w:t>Martin Lambert</w:t>
      </w:r>
      <w:r w:rsidR="005F158E" w:rsidRPr="00A05B65">
        <w:rPr>
          <w:rFonts w:eastAsia="Times New Roman" w:cstheme="minorHAnsi"/>
          <w:szCs w:val="24"/>
          <w:lang w:eastAsia="en-CA"/>
        </w:rPr>
        <w:t>,</w:t>
      </w:r>
      <w:r w:rsidRPr="00A05B65">
        <w:rPr>
          <w:rFonts w:eastAsia="Times New Roman" w:cstheme="minorHAnsi"/>
          <w:szCs w:val="24"/>
          <w:lang w:eastAsia="en-CA"/>
        </w:rPr>
        <w:t xml:space="preserve"> Chair</w:t>
      </w:r>
    </w:p>
    <w:p w14:paraId="33159B4F" w14:textId="77777777" w:rsidR="006F43EA" w:rsidRPr="00A05B65" w:rsidRDefault="00A84AD4" w:rsidP="00E27DD6">
      <w:pPr>
        <w:spacing w:before="240" w:after="240" w:line="240" w:lineRule="auto"/>
        <w:ind w:right="-448"/>
        <w:rPr>
          <w:rFonts w:eastAsia="Times New Roman" w:cstheme="minorHAnsi"/>
          <w:szCs w:val="24"/>
          <w:lang w:eastAsia="en-CA"/>
        </w:rPr>
      </w:pPr>
      <w:r w:rsidRPr="00A05B65">
        <w:rPr>
          <w:rFonts w:eastAsia="Times New Roman" w:cstheme="minorHAnsi"/>
          <w:szCs w:val="24"/>
          <w:lang w:eastAsia="en-CA"/>
        </w:rPr>
        <w:t>Her</w:t>
      </w:r>
      <w:r w:rsidR="006F43EA" w:rsidRPr="00A05B65">
        <w:rPr>
          <w:rFonts w:eastAsia="Times New Roman" w:cstheme="minorHAnsi"/>
          <w:szCs w:val="24"/>
          <w:lang w:eastAsia="en-CA"/>
        </w:rPr>
        <w:t xml:space="preserve"> Worship </w:t>
      </w:r>
      <w:r w:rsidR="00C94C29" w:rsidRPr="00A05B65">
        <w:rPr>
          <w:rFonts w:eastAsia="Times New Roman" w:cstheme="minorHAnsi"/>
          <w:szCs w:val="24"/>
          <w:lang w:eastAsia="en-CA"/>
        </w:rPr>
        <w:t>Kristine Diaz</w:t>
      </w:r>
      <w:r w:rsidR="005F158E" w:rsidRPr="00A05B65">
        <w:rPr>
          <w:rFonts w:eastAsia="Times New Roman" w:cstheme="minorHAnsi"/>
          <w:szCs w:val="24"/>
          <w:lang w:eastAsia="en-CA"/>
        </w:rPr>
        <w:t>, Justice of the Peace Member</w:t>
      </w:r>
    </w:p>
    <w:p w14:paraId="138002A5" w14:textId="13C7B41E" w:rsidR="00D221AF" w:rsidRDefault="006F43EA" w:rsidP="00A05B65">
      <w:pPr>
        <w:spacing w:before="240" w:after="240" w:line="240" w:lineRule="auto"/>
        <w:ind w:right="-448"/>
        <w:rPr>
          <w:rFonts w:eastAsia="Times New Roman" w:cstheme="minorHAnsi"/>
          <w:b/>
          <w:sz w:val="48"/>
          <w:szCs w:val="48"/>
          <w:lang w:eastAsia="en-CA"/>
        </w:rPr>
      </w:pPr>
      <w:r w:rsidRPr="00A05B65">
        <w:rPr>
          <w:rFonts w:eastAsia="Times New Roman" w:cstheme="minorHAnsi"/>
          <w:szCs w:val="24"/>
          <w:lang w:eastAsia="en-CA"/>
        </w:rPr>
        <w:t>Ms.</w:t>
      </w:r>
      <w:r w:rsidR="00A84AD4" w:rsidRPr="00A05B65">
        <w:rPr>
          <w:rFonts w:eastAsia="Times New Roman" w:cstheme="minorHAnsi"/>
          <w:szCs w:val="24"/>
          <w:lang w:eastAsia="en-CA"/>
        </w:rPr>
        <w:t xml:space="preserve"> Leonore Foster</w:t>
      </w:r>
      <w:r w:rsidRPr="00A05B65">
        <w:rPr>
          <w:rFonts w:eastAsia="Times New Roman" w:cstheme="minorHAnsi"/>
          <w:szCs w:val="24"/>
          <w:lang w:eastAsia="en-CA"/>
        </w:rPr>
        <w:t xml:space="preserve">, </w:t>
      </w:r>
      <w:r w:rsidR="00962266" w:rsidRPr="00A05B65">
        <w:rPr>
          <w:rFonts w:eastAsia="Times New Roman" w:cstheme="minorHAnsi"/>
          <w:szCs w:val="24"/>
          <w:lang w:eastAsia="en-CA"/>
        </w:rPr>
        <w:t>Community</w:t>
      </w:r>
      <w:r w:rsidR="005F158E" w:rsidRPr="00A05B65">
        <w:rPr>
          <w:rFonts w:eastAsia="Times New Roman" w:cstheme="minorHAnsi"/>
          <w:szCs w:val="24"/>
          <w:lang w:eastAsia="en-CA"/>
        </w:rPr>
        <w:t xml:space="preserve"> Member</w:t>
      </w:r>
    </w:p>
    <w:sectPr w:rsidR="00D221AF"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DFD0" w14:textId="77777777" w:rsidR="00E451BB" w:rsidRDefault="00E451BB" w:rsidP="00F72078">
      <w:pPr>
        <w:spacing w:after="0" w:line="240" w:lineRule="auto"/>
      </w:pPr>
      <w:r>
        <w:separator/>
      </w:r>
    </w:p>
  </w:endnote>
  <w:endnote w:type="continuationSeparator" w:id="0">
    <w:p w14:paraId="203EACE7" w14:textId="77777777" w:rsidR="00E451BB" w:rsidRDefault="00E451B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E12" w14:textId="77777777" w:rsidR="00B92EF1" w:rsidRDefault="00B92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19486"/>
      <w:docPartObj>
        <w:docPartGallery w:val="Page Numbers (Bottom of Page)"/>
        <w:docPartUnique/>
      </w:docPartObj>
    </w:sdtPr>
    <w:sdtEndPr>
      <w:rPr>
        <w:noProof/>
      </w:rPr>
    </w:sdtEndPr>
    <w:sdtContent>
      <w:p w14:paraId="77F99FD2" w14:textId="77777777" w:rsidR="00EA403F" w:rsidRDefault="00EA40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7521A4" w14:textId="77777777" w:rsidR="00EA403F" w:rsidRDefault="00EA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FBE6" w14:textId="77777777" w:rsidR="00B92EF1" w:rsidRDefault="00B9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AB49" w14:textId="77777777" w:rsidR="00E451BB" w:rsidRDefault="00E451BB" w:rsidP="00F72078">
      <w:pPr>
        <w:spacing w:after="0" w:line="240" w:lineRule="auto"/>
      </w:pPr>
      <w:r>
        <w:separator/>
      </w:r>
    </w:p>
  </w:footnote>
  <w:footnote w:type="continuationSeparator" w:id="0">
    <w:p w14:paraId="04CF9B42" w14:textId="77777777" w:rsidR="00E451BB" w:rsidRDefault="00E451BB" w:rsidP="00F72078">
      <w:pPr>
        <w:spacing w:after="0" w:line="240" w:lineRule="auto"/>
      </w:pPr>
      <w:r>
        <w:continuationSeparator/>
      </w:r>
    </w:p>
  </w:footnote>
  <w:footnote w:id="1">
    <w:p w14:paraId="54738152" w14:textId="77777777" w:rsidR="002461EA" w:rsidRPr="002461EA" w:rsidRDefault="002461EA" w:rsidP="002461EA">
      <w:pPr>
        <w:rPr>
          <w:rFonts w:ascii="Times New Roman" w:eastAsia="Times New Roman" w:hAnsi="Times New Roman" w:cs="Times New Roman"/>
          <w:szCs w:val="24"/>
          <w:lang w:val="en" w:eastAsia="en-CA"/>
        </w:rPr>
      </w:pPr>
      <w:r>
        <w:rPr>
          <w:rStyle w:val="FootnoteReference"/>
        </w:rPr>
        <w:footnoteRef/>
      </w:r>
      <w:r>
        <w:t xml:space="preserve"> </w:t>
      </w:r>
      <w:r w:rsidRPr="002461EA">
        <w:rPr>
          <w:rFonts w:ascii="Times New Roman" w:eastAsia="Times New Roman" w:hAnsi="Times New Roman" w:cs="Times New Roman"/>
          <w:i/>
          <w:iCs/>
          <w:szCs w:val="24"/>
          <w:lang w:val="en" w:eastAsia="en-CA"/>
        </w:rPr>
        <w:t>Massiah</w:t>
      </w:r>
      <w:r w:rsidRPr="002461EA">
        <w:rPr>
          <w:rFonts w:ascii="Times New Roman" w:eastAsia="Times New Roman" w:hAnsi="Times New Roman" w:cs="Times New Roman"/>
          <w:szCs w:val="24"/>
          <w:lang w:val="en" w:eastAsia="en-CA"/>
        </w:rPr>
        <w:t xml:space="preserve"> at paras.56 and 60.</w:t>
      </w:r>
    </w:p>
    <w:p w14:paraId="35B83396" w14:textId="6C0D504D" w:rsidR="002461EA" w:rsidRPr="002461EA" w:rsidRDefault="002461E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CE9B" w14:textId="77777777" w:rsidR="00B92EF1" w:rsidRDefault="00B92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4E79" w14:textId="77777777" w:rsidR="00B92EF1" w:rsidRDefault="00B92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C8D8" w14:textId="77777777" w:rsidR="00B92EF1" w:rsidRDefault="00B9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67FB8"/>
    <w:multiLevelType w:val="hybridMultilevel"/>
    <w:tmpl w:val="F2E872FC"/>
    <w:lvl w:ilvl="0" w:tplc="10090001">
      <w:start w:val="1"/>
      <w:numFmt w:val="bullet"/>
      <w:lvlText w:val=""/>
      <w:lvlJc w:val="left"/>
      <w:pPr>
        <w:ind w:left="2345" w:hanging="360"/>
      </w:pPr>
      <w:rPr>
        <w:rFonts w:ascii="Symbol" w:hAnsi="Symbol" w:hint="default"/>
      </w:rPr>
    </w:lvl>
    <w:lvl w:ilvl="1" w:tplc="10090003" w:tentative="1">
      <w:start w:val="1"/>
      <w:numFmt w:val="bullet"/>
      <w:lvlText w:val="o"/>
      <w:lvlJc w:val="left"/>
      <w:pPr>
        <w:ind w:left="3065" w:hanging="360"/>
      </w:pPr>
      <w:rPr>
        <w:rFonts w:ascii="Courier New" w:hAnsi="Courier New" w:cs="Courier New" w:hint="default"/>
      </w:rPr>
    </w:lvl>
    <w:lvl w:ilvl="2" w:tplc="10090005" w:tentative="1">
      <w:start w:val="1"/>
      <w:numFmt w:val="bullet"/>
      <w:lvlText w:val=""/>
      <w:lvlJc w:val="left"/>
      <w:pPr>
        <w:ind w:left="3785" w:hanging="360"/>
      </w:pPr>
      <w:rPr>
        <w:rFonts w:ascii="Wingdings" w:hAnsi="Wingdings" w:hint="default"/>
      </w:rPr>
    </w:lvl>
    <w:lvl w:ilvl="3" w:tplc="10090001" w:tentative="1">
      <w:start w:val="1"/>
      <w:numFmt w:val="bullet"/>
      <w:lvlText w:val=""/>
      <w:lvlJc w:val="left"/>
      <w:pPr>
        <w:ind w:left="4505" w:hanging="360"/>
      </w:pPr>
      <w:rPr>
        <w:rFonts w:ascii="Symbol" w:hAnsi="Symbol" w:hint="default"/>
      </w:rPr>
    </w:lvl>
    <w:lvl w:ilvl="4" w:tplc="10090003" w:tentative="1">
      <w:start w:val="1"/>
      <w:numFmt w:val="bullet"/>
      <w:lvlText w:val="o"/>
      <w:lvlJc w:val="left"/>
      <w:pPr>
        <w:ind w:left="5225" w:hanging="360"/>
      </w:pPr>
      <w:rPr>
        <w:rFonts w:ascii="Courier New" w:hAnsi="Courier New" w:cs="Courier New" w:hint="default"/>
      </w:rPr>
    </w:lvl>
    <w:lvl w:ilvl="5" w:tplc="10090005" w:tentative="1">
      <w:start w:val="1"/>
      <w:numFmt w:val="bullet"/>
      <w:lvlText w:val=""/>
      <w:lvlJc w:val="left"/>
      <w:pPr>
        <w:ind w:left="5945" w:hanging="360"/>
      </w:pPr>
      <w:rPr>
        <w:rFonts w:ascii="Wingdings" w:hAnsi="Wingdings" w:hint="default"/>
      </w:rPr>
    </w:lvl>
    <w:lvl w:ilvl="6" w:tplc="10090001" w:tentative="1">
      <w:start w:val="1"/>
      <w:numFmt w:val="bullet"/>
      <w:lvlText w:val=""/>
      <w:lvlJc w:val="left"/>
      <w:pPr>
        <w:ind w:left="6665" w:hanging="360"/>
      </w:pPr>
      <w:rPr>
        <w:rFonts w:ascii="Symbol" w:hAnsi="Symbol" w:hint="default"/>
      </w:rPr>
    </w:lvl>
    <w:lvl w:ilvl="7" w:tplc="10090003" w:tentative="1">
      <w:start w:val="1"/>
      <w:numFmt w:val="bullet"/>
      <w:lvlText w:val="o"/>
      <w:lvlJc w:val="left"/>
      <w:pPr>
        <w:ind w:left="7385" w:hanging="360"/>
      </w:pPr>
      <w:rPr>
        <w:rFonts w:ascii="Courier New" w:hAnsi="Courier New" w:cs="Courier New" w:hint="default"/>
      </w:rPr>
    </w:lvl>
    <w:lvl w:ilvl="8" w:tplc="10090005" w:tentative="1">
      <w:start w:val="1"/>
      <w:numFmt w:val="bullet"/>
      <w:lvlText w:val=""/>
      <w:lvlJc w:val="left"/>
      <w:pPr>
        <w:ind w:left="8105" w:hanging="360"/>
      </w:pPr>
      <w:rPr>
        <w:rFonts w:ascii="Wingdings" w:hAnsi="Wingdings" w:hint="default"/>
      </w:rPr>
    </w:lvl>
  </w:abstractNum>
  <w:abstractNum w:abstractNumId="2"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C5061B"/>
    <w:multiLevelType w:val="hybridMultilevel"/>
    <w:tmpl w:val="FD761E24"/>
    <w:lvl w:ilvl="0" w:tplc="10090001">
      <w:start w:val="1"/>
      <w:numFmt w:val="bullet"/>
      <w:lvlText w:val=""/>
      <w:lvlJc w:val="left"/>
      <w:pPr>
        <w:ind w:left="1790" w:hanging="360"/>
      </w:pPr>
      <w:rPr>
        <w:rFonts w:ascii="Symbol" w:hAnsi="Symbol" w:hint="default"/>
      </w:rPr>
    </w:lvl>
    <w:lvl w:ilvl="1" w:tplc="10090003">
      <w:start w:val="1"/>
      <w:numFmt w:val="bullet"/>
      <w:lvlText w:val="o"/>
      <w:lvlJc w:val="left"/>
      <w:pPr>
        <w:ind w:left="2510" w:hanging="360"/>
      </w:pPr>
      <w:rPr>
        <w:rFonts w:ascii="Courier New" w:hAnsi="Courier New" w:cs="Courier New" w:hint="default"/>
      </w:rPr>
    </w:lvl>
    <w:lvl w:ilvl="2" w:tplc="10090005" w:tentative="1">
      <w:start w:val="1"/>
      <w:numFmt w:val="bullet"/>
      <w:lvlText w:val=""/>
      <w:lvlJc w:val="left"/>
      <w:pPr>
        <w:ind w:left="3230" w:hanging="360"/>
      </w:pPr>
      <w:rPr>
        <w:rFonts w:ascii="Wingdings" w:hAnsi="Wingdings" w:hint="default"/>
      </w:rPr>
    </w:lvl>
    <w:lvl w:ilvl="3" w:tplc="10090001" w:tentative="1">
      <w:start w:val="1"/>
      <w:numFmt w:val="bullet"/>
      <w:lvlText w:val=""/>
      <w:lvlJc w:val="left"/>
      <w:pPr>
        <w:ind w:left="3950" w:hanging="360"/>
      </w:pPr>
      <w:rPr>
        <w:rFonts w:ascii="Symbol" w:hAnsi="Symbol" w:hint="default"/>
      </w:rPr>
    </w:lvl>
    <w:lvl w:ilvl="4" w:tplc="10090003" w:tentative="1">
      <w:start w:val="1"/>
      <w:numFmt w:val="bullet"/>
      <w:lvlText w:val="o"/>
      <w:lvlJc w:val="left"/>
      <w:pPr>
        <w:ind w:left="4670" w:hanging="360"/>
      </w:pPr>
      <w:rPr>
        <w:rFonts w:ascii="Courier New" w:hAnsi="Courier New" w:cs="Courier New" w:hint="default"/>
      </w:rPr>
    </w:lvl>
    <w:lvl w:ilvl="5" w:tplc="10090005" w:tentative="1">
      <w:start w:val="1"/>
      <w:numFmt w:val="bullet"/>
      <w:lvlText w:val=""/>
      <w:lvlJc w:val="left"/>
      <w:pPr>
        <w:ind w:left="5390" w:hanging="360"/>
      </w:pPr>
      <w:rPr>
        <w:rFonts w:ascii="Wingdings" w:hAnsi="Wingdings" w:hint="default"/>
      </w:rPr>
    </w:lvl>
    <w:lvl w:ilvl="6" w:tplc="10090001" w:tentative="1">
      <w:start w:val="1"/>
      <w:numFmt w:val="bullet"/>
      <w:lvlText w:val=""/>
      <w:lvlJc w:val="left"/>
      <w:pPr>
        <w:ind w:left="6110" w:hanging="360"/>
      </w:pPr>
      <w:rPr>
        <w:rFonts w:ascii="Symbol" w:hAnsi="Symbol" w:hint="default"/>
      </w:rPr>
    </w:lvl>
    <w:lvl w:ilvl="7" w:tplc="10090003" w:tentative="1">
      <w:start w:val="1"/>
      <w:numFmt w:val="bullet"/>
      <w:lvlText w:val="o"/>
      <w:lvlJc w:val="left"/>
      <w:pPr>
        <w:ind w:left="6830" w:hanging="360"/>
      </w:pPr>
      <w:rPr>
        <w:rFonts w:ascii="Courier New" w:hAnsi="Courier New" w:cs="Courier New" w:hint="default"/>
      </w:rPr>
    </w:lvl>
    <w:lvl w:ilvl="8" w:tplc="10090005" w:tentative="1">
      <w:start w:val="1"/>
      <w:numFmt w:val="bullet"/>
      <w:lvlText w:val=""/>
      <w:lvlJc w:val="left"/>
      <w:pPr>
        <w:ind w:left="7550" w:hanging="360"/>
      </w:pPr>
      <w:rPr>
        <w:rFonts w:ascii="Wingdings" w:hAnsi="Wingdings" w:hint="default"/>
      </w:rPr>
    </w:lvl>
  </w:abstractNum>
  <w:abstractNum w:abstractNumId="6"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8" w15:restartNumberingAfterBreak="0">
    <w:nsid w:val="2C213778"/>
    <w:multiLevelType w:val="hybridMultilevel"/>
    <w:tmpl w:val="74765DDA"/>
    <w:lvl w:ilvl="0" w:tplc="10090001">
      <w:start w:val="1"/>
      <w:numFmt w:val="bullet"/>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9" w15:restartNumberingAfterBreak="0">
    <w:nsid w:val="319B3A04"/>
    <w:multiLevelType w:val="hybridMultilevel"/>
    <w:tmpl w:val="EA9E627E"/>
    <w:lvl w:ilvl="0" w:tplc="C9009464">
      <w:start w:val="1"/>
      <w:numFmt w:val="lowerRoman"/>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0"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D733806"/>
    <w:multiLevelType w:val="hybridMultilevel"/>
    <w:tmpl w:val="1CEE19EC"/>
    <w:lvl w:ilvl="0" w:tplc="C90094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001C0D"/>
    <w:multiLevelType w:val="hybridMultilevel"/>
    <w:tmpl w:val="480A142C"/>
    <w:lvl w:ilvl="0" w:tplc="D4C62FC0">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6"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6A771F03"/>
    <w:multiLevelType w:val="hybridMultilevel"/>
    <w:tmpl w:val="E3C8FD5C"/>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0"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1"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751ADF"/>
    <w:multiLevelType w:val="hybridMultilevel"/>
    <w:tmpl w:val="FBB4AB72"/>
    <w:lvl w:ilvl="0" w:tplc="151075AC">
      <w:start w:val="1"/>
      <w:numFmt w:val="decimal"/>
      <w:lvlText w:val="[%1]"/>
      <w:lvlJc w:val="left"/>
      <w:pPr>
        <w:ind w:left="360" w:hanging="360"/>
      </w:pPr>
      <w:rPr>
        <w:rFonts w:hint="default"/>
        <w:b w:val="0"/>
        <w:i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AC53922"/>
    <w:multiLevelType w:val="hybridMultilevel"/>
    <w:tmpl w:val="126C301A"/>
    <w:lvl w:ilvl="0" w:tplc="4BB267AE">
      <w:start w:val="88"/>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8"/>
  </w:num>
  <w:num w:numId="5">
    <w:abstractNumId w:val="21"/>
  </w:num>
  <w:num w:numId="6">
    <w:abstractNumId w:val="4"/>
  </w:num>
  <w:num w:numId="7">
    <w:abstractNumId w:val="16"/>
  </w:num>
  <w:num w:numId="8">
    <w:abstractNumId w:val="23"/>
  </w:num>
  <w:num w:numId="9">
    <w:abstractNumId w:val="7"/>
  </w:num>
  <w:num w:numId="10">
    <w:abstractNumId w:val="2"/>
  </w:num>
  <w:num w:numId="11">
    <w:abstractNumId w:val="11"/>
  </w:num>
  <w:num w:numId="12">
    <w:abstractNumId w:val="0"/>
  </w:num>
  <w:num w:numId="13">
    <w:abstractNumId w:val="17"/>
  </w:num>
  <w:num w:numId="14">
    <w:abstractNumId w:val="13"/>
  </w:num>
  <w:num w:numId="15">
    <w:abstractNumId w:val="10"/>
  </w:num>
  <w:num w:numId="16">
    <w:abstractNumId w:val="22"/>
  </w:num>
  <w:num w:numId="17">
    <w:abstractNumId w:val="6"/>
  </w:num>
  <w:num w:numId="18">
    <w:abstractNumId w:val="20"/>
  </w:num>
  <w:num w:numId="19">
    <w:abstractNumId w:val="12"/>
  </w:num>
  <w:num w:numId="20">
    <w:abstractNumId w:val="9"/>
  </w:num>
  <w:num w:numId="21">
    <w:abstractNumId w:val="24"/>
  </w:num>
  <w:num w:numId="22">
    <w:abstractNumId w:val="19"/>
  </w:num>
  <w:num w:numId="23">
    <w:abstractNumId w:val="5"/>
  </w:num>
  <w:num w:numId="24">
    <w:abstractNumId w:val="14"/>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27E4"/>
    <w:rsid w:val="00032BB1"/>
    <w:rsid w:val="00062FFF"/>
    <w:rsid w:val="00063612"/>
    <w:rsid w:val="00070B21"/>
    <w:rsid w:val="00071AAF"/>
    <w:rsid w:val="00073639"/>
    <w:rsid w:val="00075DFF"/>
    <w:rsid w:val="00075E26"/>
    <w:rsid w:val="00083E49"/>
    <w:rsid w:val="000A0119"/>
    <w:rsid w:val="000A0793"/>
    <w:rsid w:val="000C3496"/>
    <w:rsid w:val="000F098E"/>
    <w:rsid w:val="000F1350"/>
    <w:rsid w:val="00105EEC"/>
    <w:rsid w:val="00117088"/>
    <w:rsid w:val="001208D7"/>
    <w:rsid w:val="001629BA"/>
    <w:rsid w:val="001667B8"/>
    <w:rsid w:val="00182F5B"/>
    <w:rsid w:val="00185F1D"/>
    <w:rsid w:val="001A3523"/>
    <w:rsid w:val="001A5DD5"/>
    <w:rsid w:val="001A7029"/>
    <w:rsid w:val="001B3B68"/>
    <w:rsid w:val="001C37B4"/>
    <w:rsid w:val="001E5D13"/>
    <w:rsid w:val="001F129E"/>
    <w:rsid w:val="001F2FA1"/>
    <w:rsid w:val="001F31F6"/>
    <w:rsid w:val="00206C32"/>
    <w:rsid w:val="0021650F"/>
    <w:rsid w:val="00225BE4"/>
    <w:rsid w:val="002367EB"/>
    <w:rsid w:val="00236BB1"/>
    <w:rsid w:val="002461EA"/>
    <w:rsid w:val="002526D6"/>
    <w:rsid w:val="002658C3"/>
    <w:rsid w:val="0026774A"/>
    <w:rsid w:val="0028716E"/>
    <w:rsid w:val="00291ACC"/>
    <w:rsid w:val="00294F2D"/>
    <w:rsid w:val="00295752"/>
    <w:rsid w:val="002A48D9"/>
    <w:rsid w:val="002B222B"/>
    <w:rsid w:val="002B78E7"/>
    <w:rsid w:val="002C4241"/>
    <w:rsid w:val="002E0CB7"/>
    <w:rsid w:val="002E161B"/>
    <w:rsid w:val="002E6FF6"/>
    <w:rsid w:val="00300E7F"/>
    <w:rsid w:val="00307F51"/>
    <w:rsid w:val="00311DA1"/>
    <w:rsid w:val="00317F1F"/>
    <w:rsid w:val="0032714B"/>
    <w:rsid w:val="003428A5"/>
    <w:rsid w:val="00351AEE"/>
    <w:rsid w:val="003533B0"/>
    <w:rsid w:val="003621E6"/>
    <w:rsid w:val="0036413B"/>
    <w:rsid w:val="003664A3"/>
    <w:rsid w:val="00366A95"/>
    <w:rsid w:val="00371A2B"/>
    <w:rsid w:val="00372402"/>
    <w:rsid w:val="003875DA"/>
    <w:rsid w:val="003959D1"/>
    <w:rsid w:val="00396007"/>
    <w:rsid w:val="003A4B73"/>
    <w:rsid w:val="003A60CA"/>
    <w:rsid w:val="003F2AAB"/>
    <w:rsid w:val="003F3702"/>
    <w:rsid w:val="003F6FE0"/>
    <w:rsid w:val="00404C1A"/>
    <w:rsid w:val="004064E2"/>
    <w:rsid w:val="00481870"/>
    <w:rsid w:val="00481CFA"/>
    <w:rsid w:val="00487378"/>
    <w:rsid w:val="00495C2A"/>
    <w:rsid w:val="004A12F1"/>
    <w:rsid w:val="004A2238"/>
    <w:rsid w:val="004A392D"/>
    <w:rsid w:val="004B347D"/>
    <w:rsid w:val="004B35C4"/>
    <w:rsid w:val="004B5470"/>
    <w:rsid w:val="004B6594"/>
    <w:rsid w:val="004B69F7"/>
    <w:rsid w:val="004C7E48"/>
    <w:rsid w:val="004D3433"/>
    <w:rsid w:val="004D408C"/>
    <w:rsid w:val="004D6E72"/>
    <w:rsid w:val="004E4343"/>
    <w:rsid w:val="004F1B03"/>
    <w:rsid w:val="004F20C3"/>
    <w:rsid w:val="0050236A"/>
    <w:rsid w:val="005061B2"/>
    <w:rsid w:val="00531BE6"/>
    <w:rsid w:val="005372C7"/>
    <w:rsid w:val="00540A9A"/>
    <w:rsid w:val="0054199C"/>
    <w:rsid w:val="0054570A"/>
    <w:rsid w:val="00547A92"/>
    <w:rsid w:val="00551644"/>
    <w:rsid w:val="00562F0C"/>
    <w:rsid w:val="005711B9"/>
    <w:rsid w:val="0057735C"/>
    <w:rsid w:val="0058511B"/>
    <w:rsid w:val="005903B4"/>
    <w:rsid w:val="0059134B"/>
    <w:rsid w:val="005C5FA3"/>
    <w:rsid w:val="005D0F4F"/>
    <w:rsid w:val="005D4972"/>
    <w:rsid w:val="005F158E"/>
    <w:rsid w:val="006071F4"/>
    <w:rsid w:val="00611F4D"/>
    <w:rsid w:val="006123A9"/>
    <w:rsid w:val="00622002"/>
    <w:rsid w:val="00624B02"/>
    <w:rsid w:val="006264D7"/>
    <w:rsid w:val="00627183"/>
    <w:rsid w:val="0064778A"/>
    <w:rsid w:val="0065577C"/>
    <w:rsid w:val="00664EC4"/>
    <w:rsid w:val="00695E04"/>
    <w:rsid w:val="006C7751"/>
    <w:rsid w:val="006D07BA"/>
    <w:rsid w:val="006D72AA"/>
    <w:rsid w:val="006F43EA"/>
    <w:rsid w:val="006F5B39"/>
    <w:rsid w:val="007023D1"/>
    <w:rsid w:val="007115CE"/>
    <w:rsid w:val="007132B1"/>
    <w:rsid w:val="007171E0"/>
    <w:rsid w:val="00717CA7"/>
    <w:rsid w:val="007255F3"/>
    <w:rsid w:val="0072656D"/>
    <w:rsid w:val="007320E1"/>
    <w:rsid w:val="007350CC"/>
    <w:rsid w:val="00742FF2"/>
    <w:rsid w:val="00751BC2"/>
    <w:rsid w:val="00755180"/>
    <w:rsid w:val="007670DB"/>
    <w:rsid w:val="00767151"/>
    <w:rsid w:val="007707B1"/>
    <w:rsid w:val="007713E8"/>
    <w:rsid w:val="0077571E"/>
    <w:rsid w:val="00776482"/>
    <w:rsid w:val="00783A1E"/>
    <w:rsid w:val="007840B9"/>
    <w:rsid w:val="0079141E"/>
    <w:rsid w:val="00794C32"/>
    <w:rsid w:val="007A3266"/>
    <w:rsid w:val="007B1B4C"/>
    <w:rsid w:val="007C3A83"/>
    <w:rsid w:val="007D17F3"/>
    <w:rsid w:val="007D6DDD"/>
    <w:rsid w:val="007D7800"/>
    <w:rsid w:val="008007EB"/>
    <w:rsid w:val="00803C6E"/>
    <w:rsid w:val="00812AC6"/>
    <w:rsid w:val="008136EF"/>
    <w:rsid w:val="008139B3"/>
    <w:rsid w:val="00824AB7"/>
    <w:rsid w:val="00831EDF"/>
    <w:rsid w:val="00840173"/>
    <w:rsid w:val="0084490E"/>
    <w:rsid w:val="00856E2A"/>
    <w:rsid w:val="00856EDF"/>
    <w:rsid w:val="00872A8A"/>
    <w:rsid w:val="008815E8"/>
    <w:rsid w:val="008B11C7"/>
    <w:rsid w:val="008B3DD0"/>
    <w:rsid w:val="008B54AC"/>
    <w:rsid w:val="008F21D1"/>
    <w:rsid w:val="00910E62"/>
    <w:rsid w:val="00914A64"/>
    <w:rsid w:val="0093267D"/>
    <w:rsid w:val="00936A30"/>
    <w:rsid w:val="009416DE"/>
    <w:rsid w:val="00962266"/>
    <w:rsid w:val="00972CDD"/>
    <w:rsid w:val="009777D5"/>
    <w:rsid w:val="009851CC"/>
    <w:rsid w:val="0098544B"/>
    <w:rsid w:val="009A3151"/>
    <w:rsid w:val="009A3F9F"/>
    <w:rsid w:val="009A7265"/>
    <w:rsid w:val="009B1D63"/>
    <w:rsid w:val="009B5C4B"/>
    <w:rsid w:val="009B65DE"/>
    <w:rsid w:val="009C16E5"/>
    <w:rsid w:val="009D2002"/>
    <w:rsid w:val="009E3F00"/>
    <w:rsid w:val="009E4C3A"/>
    <w:rsid w:val="009E6912"/>
    <w:rsid w:val="009F430C"/>
    <w:rsid w:val="00A00FEC"/>
    <w:rsid w:val="00A01483"/>
    <w:rsid w:val="00A05B65"/>
    <w:rsid w:val="00A4736E"/>
    <w:rsid w:val="00A50352"/>
    <w:rsid w:val="00A700E9"/>
    <w:rsid w:val="00A74A0B"/>
    <w:rsid w:val="00A81D58"/>
    <w:rsid w:val="00A84AD4"/>
    <w:rsid w:val="00A87579"/>
    <w:rsid w:val="00A904B5"/>
    <w:rsid w:val="00A96359"/>
    <w:rsid w:val="00A963FC"/>
    <w:rsid w:val="00AA31FD"/>
    <w:rsid w:val="00AB70FE"/>
    <w:rsid w:val="00AC70C7"/>
    <w:rsid w:val="00AD6A40"/>
    <w:rsid w:val="00AD71CE"/>
    <w:rsid w:val="00AF64F9"/>
    <w:rsid w:val="00AF6841"/>
    <w:rsid w:val="00B06C62"/>
    <w:rsid w:val="00B25C18"/>
    <w:rsid w:val="00B266A9"/>
    <w:rsid w:val="00B3338E"/>
    <w:rsid w:val="00B4108E"/>
    <w:rsid w:val="00B467A7"/>
    <w:rsid w:val="00B633FB"/>
    <w:rsid w:val="00B72C64"/>
    <w:rsid w:val="00B76729"/>
    <w:rsid w:val="00B92728"/>
    <w:rsid w:val="00B92EF1"/>
    <w:rsid w:val="00B93223"/>
    <w:rsid w:val="00B9658C"/>
    <w:rsid w:val="00B97AB2"/>
    <w:rsid w:val="00BB7C28"/>
    <w:rsid w:val="00BD1E2A"/>
    <w:rsid w:val="00BD34C2"/>
    <w:rsid w:val="00BD392C"/>
    <w:rsid w:val="00BD5D0D"/>
    <w:rsid w:val="00BE0147"/>
    <w:rsid w:val="00BF32E3"/>
    <w:rsid w:val="00BF5023"/>
    <w:rsid w:val="00C029AC"/>
    <w:rsid w:val="00C0317C"/>
    <w:rsid w:val="00C072CC"/>
    <w:rsid w:val="00C15256"/>
    <w:rsid w:val="00C16F35"/>
    <w:rsid w:val="00C442F5"/>
    <w:rsid w:val="00C44D01"/>
    <w:rsid w:val="00C47126"/>
    <w:rsid w:val="00C52E3C"/>
    <w:rsid w:val="00C538ED"/>
    <w:rsid w:val="00C628CC"/>
    <w:rsid w:val="00C8691B"/>
    <w:rsid w:val="00C93AB7"/>
    <w:rsid w:val="00C94C29"/>
    <w:rsid w:val="00CA0F99"/>
    <w:rsid w:val="00CA422A"/>
    <w:rsid w:val="00CA6745"/>
    <w:rsid w:val="00CC034D"/>
    <w:rsid w:val="00CC09D2"/>
    <w:rsid w:val="00CC2971"/>
    <w:rsid w:val="00CC348D"/>
    <w:rsid w:val="00CD7745"/>
    <w:rsid w:val="00CE7D10"/>
    <w:rsid w:val="00CF6FDF"/>
    <w:rsid w:val="00D079D7"/>
    <w:rsid w:val="00D17737"/>
    <w:rsid w:val="00D221AF"/>
    <w:rsid w:val="00D61490"/>
    <w:rsid w:val="00D65B91"/>
    <w:rsid w:val="00D7273D"/>
    <w:rsid w:val="00D76002"/>
    <w:rsid w:val="00D83F89"/>
    <w:rsid w:val="00D852FE"/>
    <w:rsid w:val="00D92E0A"/>
    <w:rsid w:val="00DC4486"/>
    <w:rsid w:val="00DD1284"/>
    <w:rsid w:val="00DD567B"/>
    <w:rsid w:val="00DE53BB"/>
    <w:rsid w:val="00E064D1"/>
    <w:rsid w:val="00E208E7"/>
    <w:rsid w:val="00E24286"/>
    <w:rsid w:val="00E2560D"/>
    <w:rsid w:val="00E27DD6"/>
    <w:rsid w:val="00E451BB"/>
    <w:rsid w:val="00E7753B"/>
    <w:rsid w:val="00E8237E"/>
    <w:rsid w:val="00E85602"/>
    <w:rsid w:val="00E90A1E"/>
    <w:rsid w:val="00E90C5A"/>
    <w:rsid w:val="00E947CF"/>
    <w:rsid w:val="00EA154F"/>
    <w:rsid w:val="00EA403F"/>
    <w:rsid w:val="00EA6BF8"/>
    <w:rsid w:val="00EB1E39"/>
    <w:rsid w:val="00EB554A"/>
    <w:rsid w:val="00EB6A93"/>
    <w:rsid w:val="00EC0E35"/>
    <w:rsid w:val="00EC2037"/>
    <w:rsid w:val="00EC30CA"/>
    <w:rsid w:val="00EC6D4A"/>
    <w:rsid w:val="00ED097F"/>
    <w:rsid w:val="00ED7117"/>
    <w:rsid w:val="00EE3458"/>
    <w:rsid w:val="00EE645A"/>
    <w:rsid w:val="00EF226B"/>
    <w:rsid w:val="00EF73AD"/>
    <w:rsid w:val="00F0537D"/>
    <w:rsid w:val="00F0765C"/>
    <w:rsid w:val="00F17B57"/>
    <w:rsid w:val="00F27A26"/>
    <w:rsid w:val="00F41519"/>
    <w:rsid w:val="00F42F3E"/>
    <w:rsid w:val="00F61F85"/>
    <w:rsid w:val="00F71793"/>
    <w:rsid w:val="00F72078"/>
    <w:rsid w:val="00F73523"/>
    <w:rsid w:val="00F85186"/>
    <w:rsid w:val="00F935FB"/>
    <w:rsid w:val="00F94F37"/>
    <w:rsid w:val="00F95438"/>
    <w:rsid w:val="00F97D8E"/>
    <w:rsid w:val="00FA2542"/>
    <w:rsid w:val="00FA2E9B"/>
    <w:rsid w:val="00FA62DB"/>
    <w:rsid w:val="00FB11EB"/>
    <w:rsid w:val="00FB1F5D"/>
    <w:rsid w:val="00FB261C"/>
    <w:rsid w:val="00FB2CC7"/>
    <w:rsid w:val="00FB3D19"/>
    <w:rsid w:val="00FC085F"/>
    <w:rsid w:val="00FD19EF"/>
    <w:rsid w:val="00FD1AC1"/>
    <w:rsid w:val="00FD3F16"/>
    <w:rsid w:val="00FE01D7"/>
    <w:rsid w:val="00FE363E"/>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8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 w:type="character" w:styleId="Hyperlink">
    <w:name w:val="Hyperlink"/>
    <w:basedOn w:val="DefaultParagraphFont"/>
    <w:uiPriority w:val="99"/>
    <w:unhideWhenUsed/>
    <w:rsid w:val="00481870"/>
    <w:rPr>
      <w:color w:val="5F5F5F" w:themeColor="hyperlink"/>
      <w:u w:val="single"/>
    </w:rPr>
  </w:style>
  <w:style w:type="character" w:styleId="UnresolvedMention">
    <w:name w:val="Unresolved Mention"/>
    <w:basedOn w:val="DefaultParagraphFont"/>
    <w:uiPriority w:val="99"/>
    <w:semiHidden/>
    <w:unhideWhenUsed/>
    <w:rsid w:val="00481870"/>
    <w:rPr>
      <w:color w:val="605E5C"/>
      <w:shd w:val="clear" w:color="auto" w:fill="E1DFDD"/>
    </w:rPr>
  </w:style>
  <w:style w:type="paragraph" w:customStyle="1" w:styleId="mainparagraph0">
    <w:name w:val="mainparagraph"/>
    <w:basedOn w:val="Normal"/>
    <w:rsid w:val="000327E4"/>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section">
    <w:name w:val="subsection"/>
    <w:basedOn w:val="Normal"/>
    <w:rsid w:val="00294F2D"/>
    <w:pPr>
      <w:spacing w:after="0" w:line="240" w:lineRule="auto"/>
    </w:pPr>
    <w:rPr>
      <w:rFonts w:ascii="inherit" w:eastAsia="Times New Roman" w:hAnsi="inherit"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823">
      <w:bodyDiv w:val="1"/>
      <w:marLeft w:val="0"/>
      <w:marRight w:val="0"/>
      <w:marTop w:val="0"/>
      <w:marBottom w:val="0"/>
      <w:divBdr>
        <w:top w:val="none" w:sz="0" w:space="0" w:color="auto"/>
        <w:left w:val="none" w:sz="0" w:space="0" w:color="auto"/>
        <w:bottom w:val="none" w:sz="0" w:space="0" w:color="auto"/>
        <w:right w:val="none" w:sz="0" w:space="0" w:color="auto"/>
      </w:divBdr>
      <w:divsChild>
        <w:div w:id="97259484">
          <w:marLeft w:val="0"/>
          <w:marRight w:val="0"/>
          <w:marTop w:val="0"/>
          <w:marBottom w:val="0"/>
          <w:divBdr>
            <w:top w:val="none" w:sz="0" w:space="0" w:color="auto"/>
            <w:left w:val="none" w:sz="0" w:space="0" w:color="auto"/>
            <w:bottom w:val="none" w:sz="0" w:space="0" w:color="auto"/>
            <w:right w:val="none" w:sz="0" w:space="0" w:color="auto"/>
          </w:divBdr>
        </w:div>
      </w:divsChild>
    </w:div>
    <w:div w:id="1564567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086">
          <w:marLeft w:val="0"/>
          <w:marRight w:val="0"/>
          <w:marTop w:val="0"/>
          <w:marBottom w:val="0"/>
          <w:divBdr>
            <w:top w:val="none" w:sz="0" w:space="0" w:color="auto"/>
            <w:left w:val="none" w:sz="0" w:space="0" w:color="auto"/>
            <w:bottom w:val="none" w:sz="0" w:space="0" w:color="auto"/>
            <w:right w:val="none" w:sz="0" w:space="0" w:color="auto"/>
          </w:divBdr>
        </w:div>
      </w:divsChild>
    </w:div>
    <w:div w:id="163594770">
      <w:bodyDiv w:val="1"/>
      <w:marLeft w:val="0"/>
      <w:marRight w:val="0"/>
      <w:marTop w:val="0"/>
      <w:marBottom w:val="0"/>
      <w:divBdr>
        <w:top w:val="none" w:sz="0" w:space="0" w:color="auto"/>
        <w:left w:val="none" w:sz="0" w:space="0" w:color="auto"/>
        <w:bottom w:val="none" w:sz="0" w:space="0" w:color="auto"/>
        <w:right w:val="none" w:sz="0" w:space="0" w:color="auto"/>
      </w:divBdr>
      <w:divsChild>
        <w:div w:id="713389421">
          <w:marLeft w:val="0"/>
          <w:marRight w:val="0"/>
          <w:marTop w:val="0"/>
          <w:marBottom w:val="0"/>
          <w:divBdr>
            <w:top w:val="none" w:sz="0" w:space="0" w:color="auto"/>
            <w:left w:val="none" w:sz="0" w:space="0" w:color="auto"/>
            <w:bottom w:val="none" w:sz="0" w:space="0" w:color="auto"/>
            <w:right w:val="none" w:sz="0" w:space="0" w:color="auto"/>
          </w:divBdr>
        </w:div>
      </w:divsChild>
    </w:div>
    <w:div w:id="221212835">
      <w:bodyDiv w:val="1"/>
      <w:marLeft w:val="0"/>
      <w:marRight w:val="0"/>
      <w:marTop w:val="0"/>
      <w:marBottom w:val="0"/>
      <w:divBdr>
        <w:top w:val="none" w:sz="0" w:space="0" w:color="auto"/>
        <w:left w:val="none" w:sz="0" w:space="0" w:color="auto"/>
        <w:bottom w:val="none" w:sz="0" w:space="0" w:color="auto"/>
        <w:right w:val="none" w:sz="0" w:space="0" w:color="auto"/>
      </w:divBdr>
    </w:div>
    <w:div w:id="239411467">
      <w:bodyDiv w:val="1"/>
      <w:marLeft w:val="0"/>
      <w:marRight w:val="0"/>
      <w:marTop w:val="0"/>
      <w:marBottom w:val="0"/>
      <w:divBdr>
        <w:top w:val="none" w:sz="0" w:space="0" w:color="auto"/>
        <w:left w:val="none" w:sz="0" w:space="0" w:color="auto"/>
        <w:bottom w:val="none" w:sz="0" w:space="0" w:color="auto"/>
        <w:right w:val="none" w:sz="0" w:space="0" w:color="auto"/>
      </w:divBdr>
    </w:div>
    <w:div w:id="637107298">
      <w:bodyDiv w:val="1"/>
      <w:marLeft w:val="0"/>
      <w:marRight w:val="0"/>
      <w:marTop w:val="0"/>
      <w:marBottom w:val="0"/>
      <w:divBdr>
        <w:top w:val="none" w:sz="0" w:space="0" w:color="auto"/>
        <w:left w:val="none" w:sz="0" w:space="0" w:color="auto"/>
        <w:bottom w:val="none" w:sz="0" w:space="0" w:color="auto"/>
        <w:right w:val="none" w:sz="0" w:space="0" w:color="auto"/>
      </w:divBdr>
      <w:divsChild>
        <w:div w:id="73673945">
          <w:marLeft w:val="0"/>
          <w:marRight w:val="0"/>
          <w:marTop w:val="0"/>
          <w:marBottom w:val="0"/>
          <w:divBdr>
            <w:top w:val="none" w:sz="0" w:space="0" w:color="auto"/>
            <w:left w:val="none" w:sz="0" w:space="0" w:color="auto"/>
            <w:bottom w:val="none" w:sz="0" w:space="0" w:color="auto"/>
            <w:right w:val="none" w:sz="0" w:space="0" w:color="auto"/>
          </w:divBdr>
        </w:div>
      </w:divsChild>
    </w:div>
    <w:div w:id="741755263">
      <w:bodyDiv w:val="1"/>
      <w:marLeft w:val="0"/>
      <w:marRight w:val="0"/>
      <w:marTop w:val="0"/>
      <w:marBottom w:val="0"/>
      <w:divBdr>
        <w:top w:val="none" w:sz="0" w:space="0" w:color="auto"/>
        <w:left w:val="none" w:sz="0" w:space="0" w:color="auto"/>
        <w:bottom w:val="none" w:sz="0" w:space="0" w:color="auto"/>
        <w:right w:val="none" w:sz="0" w:space="0" w:color="auto"/>
      </w:divBdr>
    </w:div>
    <w:div w:id="8420865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487">
          <w:marLeft w:val="0"/>
          <w:marRight w:val="0"/>
          <w:marTop w:val="0"/>
          <w:marBottom w:val="0"/>
          <w:divBdr>
            <w:top w:val="none" w:sz="0" w:space="0" w:color="auto"/>
            <w:left w:val="none" w:sz="0" w:space="0" w:color="auto"/>
            <w:bottom w:val="none" w:sz="0" w:space="0" w:color="auto"/>
            <w:right w:val="none" w:sz="0" w:space="0" w:color="auto"/>
          </w:divBdr>
          <w:divsChild>
            <w:div w:id="438372926">
              <w:marLeft w:val="0"/>
              <w:marRight w:val="0"/>
              <w:marTop w:val="0"/>
              <w:marBottom w:val="0"/>
              <w:divBdr>
                <w:top w:val="none" w:sz="0" w:space="0" w:color="auto"/>
                <w:left w:val="none" w:sz="0" w:space="0" w:color="auto"/>
                <w:bottom w:val="none" w:sz="0" w:space="0" w:color="auto"/>
                <w:right w:val="none" w:sz="0" w:space="0" w:color="auto"/>
              </w:divBdr>
              <w:divsChild>
                <w:div w:id="771975152">
                  <w:marLeft w:val="0"/>
                  <w:marRight w:val="0"/>
                  <w:marTop w:val="0"/>
                  <w:marBottom w:val="0"/>
                  <w:divBdr>
                    <w:top w:val="none" w:sz="0" w:space="0" w:color="auto"/>
                    <w:left w:val="none" w:sz="0" w:space="0" w:color="auto"/>
                    <w:bottom w:val="none" w:sz="0" w:space="0" w:color="auto"/>
                    <w:right w:val="none" w:sz="0" w:space="0" w:color="auto"/>
                  </w:divBdr>
                  <w:divsChild>
                    <w:div w:id="749039345">
                      <w:marLeft w:val="0"/>
                      <w:marRight w:val="0"/>
                      <w:marTop w:val="0"/>
                      <w:marBottom w:val="0"/>
                      <w:divBdr>
                        <w:top w:val="none" w:sz="0" w:space="0" w:color="auto"/>
                        <w:left w:val="none" w:sz="0" w:space="0" w:color="auto"/>
                        <w:bottom w:val="none" w:sz="0" w:space="0" w:color="auto"/>
                        <w:right w:val="none" w:sz="0" w:space="0" w:color="auto"/>
                      </w:divBdr>
                      <w:divsChild>
                        <w:div w:id="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385336">
      <w:bodyDiv w:val="1"/>
      <w:marLeft w:val="0"/>
      <w:marRight w:val="0"/>
      <w:marTop w:val="0"/>
      <w:marBottom w:val="0"/>
      <w:divBdr>
        <w:top w:val="none" w:sz="0" w:space="0" w:color="auto"/>
        <w:left w:val="none" w:sz="0" w:space="0" w:color="auto"/>
        <w:bottom w:val="none" w:sz="0" w:space="0" w:color="auto"/>
        <w:right w:val="none" w:sz="0" w:space="0" w:color="auto"/>
      </w:divBdr>
      <w:divsChild>
        <w:div w:id="1695110442">
          <w:marLeft w:val="0"/>
          <w:marRight w:val="0"/>
          <w:marTop w:val="0"/>
          <w:marBottom w:val="0"/>
          <w:divBdr>
            <w:top w:val="none" w:sz="0" w:space="0" w:color="auto"/>
            <w:left w:val="none" w:sz="0" w:space="0" w:color="auto"/>
            <w:bottom w:val="none" w:sz="0" w:space="0" w:color="auto"/>
            <w:right w:val="none" w:sz="0" w:space="0" w:color="auto"/>
          </w:divBdr>
        </w:div>
      </w:divsChild>
    </w:div>
    <w:div w:id="1662074109">
      <w:bodyDiv w:val="1"/>
      <w:marLeft w:val="0"/>
      <w:marRight w:val="0"/>
      <w:marTop w:val="0"/>
      <w:marBottom w:val="0"/>
      <w:divBdr>
        <w:top w:val="none" w:sz="0" w:space="0" w:color="auto"/>
        <w:left w:val="none" w:sz="0" w:space="0" w:color="auto"/>
        <w:bottom w:val="none" w:sz="0" w:space="0" w:color="auto"/>
        <w:right w:val="none" w:sz="0" w:space="0" w:color="auto"/>
      </w:divBdr>
      <w:divsChild>
        <w:div w:id="1556816504">
          <w:marLeft w:val="0"/>
          <w:marRight w:val="0"/>
          <w:marTop w:val="0"/>
          <w:marBottom w:val="0"/>
          <w:divBdr>
            <w:top w:val="none" w:sz="0" w:space="0" w:color="auto"/>
            <w:left w:val="none" w:sz="0" w:space="0" w:color="auto"/>
            <w:bottom w:val="none" w:sz="0" w:space="0" w:color="auto"/>
            <w:right w:val="none" w:sz="0" w:space="0" w:color="auto"/>
          </w:divBdr>
        </w:div>
      </w:divsChild>
    </w:div>
    <w:div w:id="1842886432">
      <w:bodyDiv w:val="1"/>
      <w:marLeft w:val="0"/>
      <w:marRight w:val="0"/>
      <w:marTop w:val="0"/>
      <w:marBottom w:val="0"/>
      <w:divBdr>
        <w:top w:val="none" w:sz="0" w:space="0" w:color="auto"/>
        <w:left w:val="none" w:sz="0" w:space="0" w:color="auto"/>
        <w:bottom w:val="none" w:sz="0" w:space="0" w:color="auto"/>
        <w:right w:val="none" w:sz="0" w:space="0" w:color="auto"/>
      </w:divBdr>
      <w:divsChild>
        <w:div w:id="588081869">
          <w:marLeft w:val="0"/>
          <w:marRight w:val="0"/>
          <w:marTop w:val="0"/>
          <w:marBottom w:val="0"/>
          <w:divBdr>
            <w:top w:val="none" w:sz="0" w:space="0" w:color="auto"/>
            <w:left w:val="none" w:sz="0" w:space="0" w:color="auto"/>
            <w:bottom w:val="none" w:sz="0" w:space="0" w:color="auto"/>
            <w:right w:val="none" w:sz="0" w:space="0" w:color="auto"/>
          </w:divBdr>
        </w:div>
      </w:divsChild>
    </w:div>
    <w:div w:id="19126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BFE9-CC69-48F8-816A-EE211510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9499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2020-10-06T17:56:00Z</dcterms:created>
  <dcterms:modified xsi:type="dcterms:W3CDTF">2020-10-06T17:56:00Z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Kristine.Diaz@ocj-cjo.ca</vt:lpwstr>
  </property>
  <property fmtid="{D5CDD505-2E9C-101B-9397-08002B2CF9AE}" pid="5" name="MSIP_Label_034a106e-6316-442c-ad35-738afd673d2b_SetDate">
    <vt:lpwstr>2020-09-28T16:43:05.2064279Z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a301616c-8f69-4e3d-9f55-b2b36e24187c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