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C471B" w14:textId="785388EE" w:rsidR="004D1198" w:rsidRPr="0068049A" w:rsidRDefault="0068049A" w:rsidP="0039534D">
      <w:pPr>
        <w:spacing w:line="480" w:lineRule="auto"/>
        <w:jc w:val="center"/>
        <w:rPr>
          <w:rFonts w:asciiTheme="minorHAnsi" w:hAnsiTheme="minorHAnsi" w:cstheme="minorHAnsi"/>
          <w:b/>
          <w:sz w:val="44"/>
          <w:szCs w:val="44"/>
          <w:lang w:val="fr-CA"/>
        </w:rPr>
      </w:pPr>
      <w:bookmarkStart w:id="0" w:name="_GoBack"/>
      <w:bookmarkEnd w:id="0"/>
      <w:r w:rsidRPr="003231BB">
        <w:rPr>
          <w:rFonts w:ascii="Arial" w:hAnsi="Arial" w:cs="Arial"/>
          <w:b/>
          <w:sz w:val="44"/>
          <w:szCs w:val="44"/>
          <w:lang w:val="fr-CA"/>
        </w:rPr>
        <w:t>Conseil d’évaluation des juges de paix</w:t>
      </w:r>
      <w:r w:rsidR="0039534D" w:rsidRPr="0068049A">
        <w:rPr>
          <w:rFonts w:asciiTheme="minorHAnsi" w:hAnsiTheme="minorHAnsi" w:cstheme="minorHAnsi"/>
          <w:b/>
          <w:sz w:val="44"/>
          <w:szCs w:val="44"/>
          <w:lang w:val="fr-CA"/>
        </w:rPr>
        <w:br w:type="textWrapping" w:clear="all"/>
      </w:r>
      <w:r w:rsidRPr="0068049A">
        <w:rPr>
          <w:rFonts w:asciiTheme="minorHAnsi" w:hAnsiTheme="minorHAnsi" w:cstheme="minorHAnsi"/>
          <w:b/>
          <w:sz w:val="32"/>
          <w:szCs w:val="32"/>
          <w:lang w:val="fr-CA"/>
        </w:rPr>
        <w:t xml:space="preserve">DANS L’AFFAIRE D’UNE AUDIENCE EN VERTU DE L'ARTICLE 11.1 DE LA </w:t>
      </w:r>
      <w:r w:rsidRPr="0068049A">
        <w:rPr>
          <w:rFonts w:asciiTheme="minorHAnsi" w:hAnsiTheme="minorHAnsi" w:cstheme="minorHAnsi"/>
          <w:b/>
          <w:i/>
          <w:sz w:val="32"/>
          <w:szCs w:val="32"/>
          <w:lang w:val="fr-CA"/>
        </w:rPr>
        <w:t>LOI SUR LES JUGES DE PAIX</w:t>
      </w:r>
      <w:r w:rsidRPr="0068049A">
        <w:rPr>
          <w:rFonts w:asciiTheme="minorHAnsi" w:hAnsiTheme="minorHAnsi" w:cstheme="minorHAnsi"/>
          <w:b/>
          <w:sz w:val="32"/>
          <w:szCs w:val="32"/>
          <w:lang w:val="fr-CA"/>
        </w:rPr>
        <w:t>, L.R.O. 1990, ch. J.4, DANS SA VERSION MODIFIÉE</w:t>
      </w:r>
      <w:r w:rsidR="004D1198" w:rsidRPr="0068049A">
        <w:rPr>
          <w:rFonts w:asciiTheme="minorHAnsi" w:hAnsiTheme="minorHAnsi" w:cstheme="minorHAnsi"/>
          <w:b/>
          <w:sz w:val="32"/>
          <w:szCs w:val="32"/>
          <w:lang w:val="fr-CA"/>
        </w:rPr>
        <w:t>,</w:t>
      </w:r>
    </w:p>
    <w:p w14:paraId="79C54A28" w14:textId="77777777" w:rsidR="0068049A" w:rsidRPr="003231BB" w:rsidRDefault="0068049A" w:rsidP="0068049A">
      <w:pPr>
        <w:jc w:val="center"/>
        <w:rPr>
          <w:rFonts w:ascii="Arial" w:hAnsi="Arial" w:cs="Arial"/>
          <w:b/>
          <w:sz w:val="32"/>
          <w:szCs w:val="32"/>
          <w:lang w:val="fr-CA"/>
        </w:rPr>
      </w:pPr>
      <w:r w:rsidRPr="003231BB">
        <w:rPr>
          <w:rFonts w:ascii="Arial" w:hAnsi="Arial" w:cs="Arial"/>
          <w:b/>
          <w:sz w:val="32"/>
          <w:szCs w:val="32"/>
          <w:lang w:val="fr-CA"/>
        </w:rPr>
        <w:t xml:space="preserve">En ce qui concerne une plainte au sujet de la conduite du </w:t>
      </w:r>
    </w:p>
    <w:p w14:paraId="7065003C" w14:textId="0ED1E7C6" w:rsidR="004D1198" w:rsidRPr="0068049A" w:rsidRDefault="0068049A" w:rsidP="0068049A">
      <w:pPr>
        <w:spacing w:after="840"/>
        <w:jc w:val="center"/>
        <w:rPr>
          <w:rFonts w:asciiTheme="minorHAnsi" w:hAnsiTheme="minorHAnsi" w:cstheme="minorHAnsi"/>
          <w:b/>
          <w:sz w:val="32"/>
          <w:szCs w:val="32"/>
          <w:lang w:val="fr-CA"/>
        </w:rPr>
      </w:pPr>
      <w:proofErr w:type="gramStart"/>
      <w:r w:rsidRPr="003231BB">
        <w:rPr>
          <w:rFonts w:ascii="Arial" w:hAnsi="Arial" w:cs="Arial"/>
          <w:b/>
          <w:sz w:val="32"/>
          <w:lang w:val="fr-CA"/>
        </w:rPr>
        <w:t>juge</w:t>
      </w:r>
      <w:proofErr w:type="gramEnd"/>
      <w:r w:rsidRPr="003231BB">
        <w:rPr>
          <w:rFonts w:ascii="Arial" w:hAnsi="Arial" w:cs="Arial"/>
          <w:b/>
          <w:sz w:val="32"/>
          <w:lang w:val="fr-CA"/>
        </w:rPr>
        <w:t xml:space="preserve"> de paix </w:t>
      </w:r>
      <w:r w:rsidRPr="003231BB">
        <w:rPr>
          <w:rFonts w:ascii="Arial" w:hAnsi="Arial" w:cs="Arial"/>
          <w:b/>
          <w:sz w:val="32"/>
          <w:szCs w:val="32"/>
          <w:lang w:val="fr-CA"/>
        </w:rPr>
        <w:t>Paul Welsh</w:t>
      </w:r>
      <w:r w:rsidRPr="0068049A">
        <w:rPr>
          <w:rFonts w:asciiTheme="minorHAnsi" w:hAnsiTheme="minorHAnsi" w:cstheme="minorHAnsi"/>
          <w:b/>
          <w:sz w:val="32"/>
          <w:szCs w:val="32"/>
          <w:lang w:val="fr-CA"/>
        </w:rPr>
        <w:t xml:space="preserve"> </w:t>
      </w:r>
    </w:p>
    <w:p w14:paraId="6284A5E8" w14:textId="77777777" w:rsidR="0068049A" w:rsidRPr="003231BB" w:rsidRDefault="0068049A" w:rsidP="0068049A">
      <w:pPr>
        <w:spacing w:before="240" w:after="240"/>
        <w:ind w:left="1440" w:hanging="1440"/>
        <w:rPr>
          <w:rFonts w:asciiTheme="minorHAnsi" w:hAnsiTheme="minorHAnsi" w:cstheme="minorHAnsi"/>
          <w:sz w:val="26"/>
          <w:szCs w:val="26"/>
          <w:lang w:val="fr-CA"/>
        </w:rPr>
      </w:pPr>
      <w:r w:rsidRPr="003231BB">
        <w:rPr>
          <w:rFonts w:ascii="Arial" w:hAnsi="Arial" w:cs="Arial"/>
          <w:sz w:val="26"/>
          <w:szCs w:val="26"/>
          <w:lang w:val="fr-CA"/>
        </w:rPr>
        <w:t>Devant :</w:t>
      </w:r>
      <w:r w:rsidRPr="003231BB">
        <w:rPr>
          <w:rFonts w:ascii="Arial" w:hAnsi="Arial" w:cs="Arial"/>
          <w:sz w:val="26"/>
          <w:szCs w:val="26"/>
          <w:lang w:val="fr-CA"/>
        </w:rPr>
        <w:tab/>
        <w:t xml:space="preserve">L’honorable juge </w:t>
      </w:r>
      <w:r w:rsidRPr="003231BB">
        <w:rPr>
          <w:rFonts w:asciiTheme="minorHAnsi" w:hAnsiTheme="minorHAnsi" w:cstheme="minorHAnsi"/>
          <w:sz w:val="26"/>
          <w:szCs w:val="26"/>
          <w:lang w:val="fr-CA"/>
        </w:rPr>
        <w:t xml:space="preserve">Robert Wadden, </w:t>
      </w:r>
      <w:r w:rsidRPr="003231BB">
        <w:rPr>
          <w:rFonts w:ascii="Arial" w:hAnsi="Arial" w:cs="Arial"/>
          <w:sz w:val="26"/>
          <w:szCs w:val="26"/>
          <w:lang w:val="fr-CA"/>
        </w:rPr>
        <w:t>président</w:t>
      </w:r>
    </w:p>
    <w:p w14:paraId="15DDAA79" w14:textId="77777777" w:rsidR="0068049A" w:rsidRPr="003231BB" w:rsidRDefault="0068049A" w:rsidP="0068049A">
      <w:pPr>
        <w:spacing w:before="240" w:after="240"/>
        <w:ind w:left="720" w:firstLine="720"/>
        <w:rPr>
          <w:rFonts w:asciiTheme="minorHAnsi" w:hAnsiTheme="minorHAnsi" w:cstheme="minorHAnsi"/>
          <w:sz w:val="26"/>
          <w:szCs w:val="26"/>
          <w:lang w:val="fr-CA"/>
        </w:rPr>
      </w:pPr>
      <w:r w:rsidRPr="003231BB">
        <w:rPr>
          <w:rFonts w:ascii="Arial" w:hAnsi="Arial" w:cs="Arial"/>
          <w:sz w:val="26"/>
          <w:szCs w:val="26"/>
          <w:lang w:val="fr-CA"/>
        </w:rPr>
        <w:t xml:space="preserve">La juge de paix </w:t>
      </w:r>
      <w:r w:rsidRPr="003231BB">
        <w:rPr>
          <w:rFonts w:asciiTheme="minorHAnsi" w:hAnsiTheme="minorHAnsi" w:cstheme="minorHAnsi"/>
          <w:sz w:val="26"/>
          <w:szCs w:val="26"/>
          <w:lang w:val="fr-CA"/>
        </w:rPr>
        <w:t xml:space="preserve">Christine Smythe, </w:t>
      </w:r>
      <w:r w:rsidRPr="003231BB">
        <w:rPr>
          <w:rFonts w:ascii="Arial" w:hAnsi="Arial" w:cs="Arial"/>
          <w:sz w:val="26"/>
          <w:szCs w:val="26"/>
          <w:lang w:val="fr-CA"/>
        </w:rPr>
        <w:t>membre juge de paix</w:t>
      </w:r>
    </w:p>
    <w:p w14:paraId="043553D3" w14:textId="73E19ABA" w:rsidR="00B04EF9" w:rsidRPr="0068049A" w:rsidRDefault="0068049A" w:rsidP="0068049A">
      <w:pPr>
        <w:spacing w:before="240" w:after="1080"/>
        <w:ind w:left="720" w:firstLine="720"/>
        <w:rPr>
          <w:rFonts w:asciiTheme="minorHAnsi" w:hAnsiTheme="minorHAnsi" w:cstheme="minorHAnsi"/>
          <w:sz w:val="26"/>
          <w:szCs w:val="26"/>
          <w:lang w:val="fr-CA"/>
        </w:rPr>
      </w:pPr>
      <w:r w:rsidRPr="003231BB">
        <w:rPr>
          <w:rFonts w:ascii="Arial" w:hAnsi="Arial" w:cs="Arial"/>
          <w:sz w:val="26"/>
          <w:szCs w:val="26"/>
          <w:lang w:val="fr-CA"/>
        </w:rPr>
        <w:t xml:space="preserve">Madame </w:t>
      </w:r>
      <w:r w:rsidRPr="003231BB">
        <w:rPr>
          <w:rFonts w:asciiTheme="minorHAnsi" w:hAnsiTheme="minorHAnsi" w:cstheme="minorHAnsi"/>
          <w:sz w:val="26"/>
          <w:szCs w:val="26"/>
          <w:lang w:val="fr-CA"/>
        </w:rPr>
        <w:t xml:space="preserve">Lauren </w:t>
      </w:r>
      <w:proofErr w:type="spellStart"/>
      <w:r w:rsidRPr="003231BB">
        <w:rPr>
          <w:rFonts w:asciiTheme="minorHAnsi" w:hAnsiTheme="minorHAnsi" w:cstheme="minorHAnsi"/>
          <w:sz w:val="26"/>
          <w:szCs w:val="26"/>
          <w:lang w:val="fr-CA"/>
        </w:rPr>
        <w:t>Rakowski</w:t>
      </w:r>
      <w:proofErr w:type="spellEnd"/>
      <w:r w:rsidRPr="003231BB">
        <w:rPr>
          <w:rFonts w:asciiTheme="minorHAnsi" w:hAnsiTheme="minorHAnsi" w:cstheme="minorHAnsi"/>
          <w:sz w:val="26"/>
          <w:szCs w:val="26"/>
          <w:lang w:val="fr-CA"/>
        </w:rPr>
        <w:t xml:space="preserve">, </w:t>
      </w:r>
      <w:r w:rsidRPr="003231BB">
        <w:rPr>
          <w:rFonts w:ascii="Arial" w:hAnsi="Arial" w:cs="Arial"/>
          <w:sz w:val="26"/>
          <w:szCs w:val="26"/>
          <w:lang w:val="fr-CA"/>
        </w:rPr>
        <w:t>membre du public</w:t>
      </w:r>
    </w:p>
    <w:p w14:paraId="0CDD8858" w14:textId="393D684F" w:rsidR="004D1198" w:rsidRPr="0068049A" w:rsidRDefault="0068049A" w:rsidP="00D6677D">
      <w:pPr>
        <w:spacing w:after="840"/>
        <w:jc w:val="center"/>
        <w:rPr>
          <w:rFonts w:asciiTheme="minorHAnsi" w:hAnsiTheme="minorHAnsi" w:cstheme="minorHAnsi"/>
          <w:sz w:val="28"/>
          <w:szCs w:val="28"/>
          <w:lang w:val="fr-CA"/>
        </w:rPr>
      </w:pPr>
      <w:r w:rsidRPr="00EC7E34">
        <w:rPr>
          <w:rFonts w:asciiTheme="minorHAnsi" w:hAnsiTheme="minorHAnsi" w:cstheme="minorHAnsi"/>
          <w:b/>
          <w:sz w:val="28"/>
          <w:szCs w:val="28"/>
          <w:lang w:val="fr-CA"/>
        </w:rPr>
        <w:t>DÉCISION SUR LA DEMANDE DE RECOMMANDATION QUE LE JUGE DE PAIX SOIT INDEMNISÉ DES FRAIS POUR SERVICES JURIDIQUES ENGAGÉS RELATIVEMENT À L’AUDIENCE</w:t>
      </w:r>
    </w:p>
    <w:p w14:paraId="640A233C" w14:textId="77777777" w:rsidR="0068049A" w:rsidRPr="003231BB" w:rsidRDefault="0068049A" w:rsidP="0068049A">
      <w:pPr>
        <w:spacing w:before="240" w:after="240"/>
        <w:ind w:left="2160" w:hanging="2160"/>
        <w:rPr>
          <w:rFonts w:asciiTheme="minorHAnsi" w:hAnsiTheme="minorHAnsi" w:cstheme="minorHAnsi"/>
          <w:sz w:val="26"/>
          <w:szCs w:val="26"/>
          <w:lang w:val="fr-CA"/>
        </w:rPr>
      </w:pPr>
      <w:r w:rsidRPr="003231BB">
        <w:rPr>
          <w:rFonts w:asciiTheme="minorHAnsi" w:hAnsiTheme="minorHAnsi" w:cstheme="minorHAnsi"/>
          <w:b/>
          <w:sz w:val="26"/>
          <w:szCs w:val="26"/>
          <w:lang w:val="fr-CA"/>
        </w:rPr>
        <w:t>Avocats :</w:t>
      </w:r>
    </w:p>
    <w:p w14:paraId="73F6A7A9" w14:textId="77777777" w:rsidR="0068049A" w:rsidRPr="003231BB" w:rsidRDefault="0068049A" w:rsidP="0068049A">
      <w:pPr>
        <w:ind w:left="2160" w:hanging="2160"/>
        <w:rPr>
          <w:rFonts w:asciiTheme="minorHAnsi" w:hAnsiTheme="minorHAnsi" w:cstheme="minorHAnsi"/>
          <w:sz w:val="26"/>
          <w:szCs w:val="26"/>
          <w:lang w:val="fr-CA"/>
        </w:rPr>
      </w:pPr>
      <w:r w:rsidRPr="003231BB">
        <w:rPr>
          <w:rFonts w:asciiTheme="minorHAnsi" w:hAnsiTheme="minorHAnsi" w:cstheme="minorHAnsi"/>
          <w:sz w:val="26"/>
          <w:szCs w:val="26"/>
          <w:lang w:val="fr-CA"/>
        </w:rPr>
        <w:t xml:space="preserve">Me Matthew </w:t>
      </w:r>
      <w:proofErr w:type="spellStart"/>
      <w:r w:rsidRPr="003231BB">
        <w:rPr>
          <w:rFonts w:asciiTheme="minorHAnsi" w:hAnsiTheme="minorHAnsi" w:cstheme="minorHAnsi"/>
          <w:sz w:val="26"/>
          <w:szCs w:val="26"/>
          <w:lang w:val="fr-CA"/>
        </w:rPr>
        <w:t>Gourlay</w:t>
      </w:r>
      <w:proofErr w:type="spellEnd"/>
      <w:r w:rsidRPr="003231BB">
        <w:rPr>
          <w:rFonts w:asciiTheme="minorHAnsi" w:hAnsiTheme="minorHAnsi" w:cstheme="minorHAnsi"/>
          <w:sz w:val="26"/>
          <w:szCs w:val="26"/>
          <w:lang w:val="fr-CA"/>
        </w:rPr>
        <w:tab/>
      </w:r>
      <w:r w:rsidRPr="003231BB">
        <w:rPr>
          <w:rFonts w:asciiTheme="minorHAnsi" w:hAnsiTheme="minorHAnsi" w:cstheme="minorHAnsi"/>
          <w:sz w:val="26"/>
          <w:szCs w:val="26"/>
          <w:lang w:val="fr-CA"/>
        </w:rPr>
        <w:tab/>
      </w:r>
      <w:r w:rsidRPr="003231BB">
        <w:rPr>
          <w:rFonts w:asciiTheme="minorHAnsi" w:hAnsiTheme="minorHAnsi" w:cstheme="minorHAnsi"/>
          <w:sz w:val="26"/>
          <w:szCs w:val="26"/>
          <w:lang w:val="fr-CA"/>
        </w:rPr>
        <w:tab/>
        <w:t xml:space="preserve">   </w:t>
      </w:r>
      <w:r w:rsidRPr="003231BB">
        <w:rPr>
          <w:rFonts w:asciiTheme="minorHAnsi" w:hAnsiTheme="minorHAnsi" w:cstheme="minorHAnsi"/>
          <w:sz w:val="26"/>
          <w:szCs w:val="26"/>
          <w:lang w:val="fr-CA"/>
        </w:rPr>
        <w:tab/>
        <w:t xml:space="preserve">Me Eugene </w:t>
      </w:r>
      <w:proofErr w:type="spellStart"/>
      <w:r w:rsidRPr="003231BB">
        <w:rPr>
          <w:rFonts w:asciiTheme="minorHAnsi" w:hAnsiTheme="minorHAnsi" w:cstheme="minorHAnsi"/>
          <w:sz w:val="26"/>
          <w:szCs w:val="26"/>
          <w:lang w:val="fr-CA"/>
        </w:rPr>
        <w:t>Bhattacharya</w:t>
      </w:r>
      <w:proofErr w:type="spellEnd"/>
    </w:p>
    <w:p w14:paraId="588AE9B1" w14:textId="77777777" w:rsidR="0068049A" w:rsidRPr="003231BB" w:rsidRDefault="0068049A" w:rsidP="0068049A">
      <w:pPr>
        <w:ind w:left="2160" w:hanging="2160"/>
        <w:rPr>
          <w:rFonts w:asciiTheme="minorHAnsi" w:hAnsiTheme="minorHAnsi" w:cstheme="minorHAnsi"/>
          <w:sz w:val="26"/>
          <w:szCs w:val="26"/>
          <w:lang w:val="fr-CA"/>
        </w:rPr>
      </w:pPr>
      <w:r w:rsidRPr="003231BB">
        <w:rPr>
          <w:rFonts w:ascii="Arial" w:hAnsi="Arial" w:cs="Arial"/>
          <w:sz w:val="26"/>
          <w:szCs w:val="26"/>
          <w:lang w:val="fr-CA"/>
        </w:rPr>
        <w:t>Avocat chargé de présenter le dossier</w:t>
      </w:r>
      <w:r w:rsidRPr="003231BB">
        <w:rPr>
          <w:rFonts w:ascii="Arial" w:hAnsi="Arial" w:cs="Arial"/>
          <w:sz w:val="26"/>
          <w:szCs w:val="26"/>
          <w:lang w:val="fr-CA"/>
        </w:rPr>
        <w:tab/>
      </w:r>
      <w:r w:rsidRPr="003231BB">
        <w:rPr>
          <w:rFonts w:asciiTheme="minorHAnsi" w:hAnsiTheme="minorHAnsi" w:cstheme="minorHAnsi"/>
          <w:sz w:val="26"/>
          <w:szCs w:val="26"/>
          <w:lang w:val="fr-CA"/>
        </w:rPr>
        <w:t>Me Mary C. Waters Rodriguez</w:t>
      </w:r>
      <w:r w:rsidRPr="003231BB">
        <w:rPr>
          <w:rFonts w:asciiTheme="minorHAnsi" w:hAnsiTheme="minorHAnsi" w:cstheme="minorHAnsi"/>
          <w:sz w:val="26"/>
          <w:szCs w:val="26"/>
          <w:lang w:val="fr-CA"/>
        </w:rPr>
        <w:tab/>
      </w:r>
    </w:p>
    <w:p w14:paraId="1CD8FA69" w14:textId="4E21CA18" w:rsidR="004D1198" w:rsidRPr="0068049A" w:rsidRDefault="0068049A" w:rsidP="0068049A">
      <w:pPr>
        <w:ind w:left="4253"/>
        <w:rPr>
          <w:rFonts w:asciiTheme="minorHAnsi" w:hAnsiTheme="minorHAnsi" w:cstheme="minorHAnsi"/>
          <w:sz w:val="26"/>
          <w:szCs w:val="26"/>
          <w:lang w:val="fr-CA"/>
        </w:rPr>
      </w:pPr>
      <w:r w:rsidRPr="003231BB">
        <w:rPr>
          <w:rFonts w:asciiTheme="minorHAnsi" w:hAnsiTheme="minorHAnsi" w:cstheme="minorHAnsi"/>
          <w:sz w:val="26"/>
          <w:szCs w:val="26"/>
          <w:lang w:val="fr-CA"/>
        </w:rPr>
        <w:tab/>
      </w:r>
      <w:r w:rsidRPr="003231BB">
        <w:rPr>
          <w:rFonts w:asciiTheme="minorHAnsi" w:hAnsiTheme="minorHAnsi" w:cstheme="minorHAnsi"/>
          <w:sz w:val="26"/>
          <w:szCs w:val="26"/>
          <w:lang w:val="fr-CA"/>
        </w:rPr>
        <w:tab/>
        <w:t>Avocats du juge de paix</w:t>
      </w:r>
    </w:p>
    <w:p w14:paraId="4B0B418C" w14:textId="6691FBD3" w:rsidR="009007DA" w:rsidRPr="0068049A" w:rsidRDefault="000F363F" w:rsidP="0075320B">
      <w:pPr>
        <w:spacing w:after="200" w:line="276" w:lineRule="auto"/>
        <w:ind w:left="4253"/>
        <w:rPr>
          <w:rFonts w:asciiTheme="minorHAnsi" w:hAnsiTheme="minorHAnsi" w:cstheme="minorHAnsi"/>
          <w:b/>
          <w:lang w:val="fr-CA"/>
        </w:rPr>
      </w:pPr>
      <w:r w:rsidRPr="0068049A">
        <w:rPr>
          <w:rFonts w:asciiTheme="minorHAnsi" w:hAnsiTheme="minorHAnsi" w:cstheme="minorHAnsi"/>
          <w:b/>
          <w:lang w:val="fr-CA"/>
        </w:rPr>
        <w:br w:type="page"/>
      </w:r>
    </w:p>
    <w:p w14:paraId="29D049C1" w14:textId="7C933EDF" w:rsidR="000C65BE" w:rsidRPr="0068049A" w:rsidRDefault="0068049A" w:rsidP="0075320B">
      <w:pPr>
        <w:pStyle w:val="ListParagraph"/>
        <w:numPr>
          <w:ilvl w:val="0"/>
          <w:numId w:val="8"/>
        </w:numPr>
        <w:spacing w:after="200" w:line="276" w:lineRule="auto"/>
        <w:ind w:left="567" w:hanging="567"/>
        <w:jc w:val="both"/>
        <w:rPr>
          <w:rFonts w:asciiTheme="majorHAnsi" w:hAnsiTheme="majorHAnsi" w:cstheme="majorHAnsi"/>
          <w:lang w:val="fr-CA"/>
        </w:rPr>
      </w:pPr>
      <w:r>
        <w:rPr>
          <w:rFonts w:asciiTheme="majorHAnsi" w:hAnsiTheme="majorHAnsi" w:cstheme="majorHAnsi"/>
          <w:lang w:val="fr-CA"/>
        </w:rPr>
        <w:lastRenderedPageBreak/>
        <w:t xml:space="preserve">Une plainte a été déposée en vertu </w:t>
      </w:r>
      <w:r w:rsidRPr="00EC7E34">
        <w:rPr>
          <w:rFonts w:asciiTheme="majorHAnsi" w:hAnsiTheme="majorHAnsi" w:cstheme="majorHAnsi"/>
          <w:lang w:val="fr-CA"/>
        </w:rPr>
        <w:t xml:space="preserve">de la </w:t>
      </w:r>
      <w:r w:rsidRPr="00EC7E34">
        <w:rPr>
          <w:rFonts w:asciiTheme="majorHAnsi" w:hAnsiTheme="majorHAnsi" w:cstheme="majorHAnsi"/>
          <w:i/>
          <w:lang w:val="fr-CA"/>
        </w:rPr>
        <w:t>Loi sur les juges de paix</w:t>
      </w:r>
      <w:r w:rsidR="000C65BE" w:rsidRPr="0068049A">
        <w:rPr>
          <w:rFonts w:asciiTheme="majorHAnsi" w:hAnsiTheme="majorHAnsi" w:cstheme="majorHAnsi"/>
          <w:lang w:val="fr-CA"/>
        </w:rPr>
        <w:t xml:space="preserve">, </w:t>
      </w:r>
      <w:r>
        <w:rPr>
          <w:rFonts w:asciiTheme="majorHAnsi" w:hAnsiTheme="majorHAnsi" w:cstheme="majorHAnsi"/>
          <w:lang w:val="fr-CA"/>
        </w:rPr>
        <w:t>L.R.O.</w:t>
      </w:r>
      <w:r w:rsidR="000C65BE" w:rsidRPr="0068049A">
        <w:rPr>
          <w:rFonts w:asciiTheme="majorHAnsi" w:hAnsiTheme="majorHAnsi" w:cstheme="majorHAnsi"/>
          <w:lang w:val="fr-CA"/>
        </w:rPr>
        <w:t xml:space="preserve"> 1990, c</w:t>
      </w:r>
      <w:r>
        <w:rPr>
          <w:rFonts w:asciiTheme="majorHAnsi" w:hAnsiTheme="majorHAnsi" w:cstheme="majorHAnsi"/>
          <w:lang w:val="fr-CA"/>
        </w:rPr>
        <w:t>hap</w:t>
      </w:r>
      <w:r w:rsidR="000C65BE" w:rsidRPr="0068049A">
        <w:rPr>
          <w:rFonts w:asciiTheme="majorHAnsi" w:hAnsiTheme="majorHAnsi" w:cstheme="majorHAnsi"/>
          <w:lang w:val="fr-CA"/>
        </w:rPr>
        <w:t>. J.4 (</w:t>
      </w:r>
      <w:r>
        <w:rPr>
          <w:rFonts w:asciiTheme="majorHAnsi" w:hAnsiTheme="majorHAnsi" w:cstheme="majorHAnsi"/>
          <w:lang w:val="fr-CA"/>
        </w:rPr>
        <w:t>la « Loi »</w:t>
      </w:r>
      <w:r w:rsidR="000C65BE" w:rsidRPr="0068049A">
        <w:rPr>
          <w:rFonts w:asciiTheme="majorHAnsi" w:hAnsiTheme="majorHAnsi" w:cstheme="majorHAnsi"/>
          <w:lang w:val="fr-CA"/>
        </w:rPr>
        <w:t>),</w:t>
      </w:r>
      <w:r>
        <w:rPr>
          <w:rFonts w:asciiTheme="majorHAnsi" w:hAnsiTheme="majorHAnsi" w:cstheme="majorHAnsi"/>
          <w:lang w:val="fr-CA"/>
        </w:rPr>
        <w:t xml:space="preserve"> contre le juge de paix </w:t>
      </w:r>
      <w:r w:rsidR="00844264" w:rsidRPr="0068049A">
        <w:rPr>
          <w:rFonts w:asciiTheme="majorHAnsi" w:hAnsiTheme="majorHAnsi" w:cstheme="majorHAnsi"/>
          <w:lang w:val="fr-CA"/>
        </w:rPr>
        <w:t xml:space="preserve">Paul </w:t>
      </w:r>
      <w:r w:rsidR="0023189E" w:rsidRPr="0068049A">
        <w:rPr>
          <w:rFonts w:asciiTheme="majorHAnsi" w:hAnsiTheme="majorHAnsi" w:cstheme="majorHAnsi"/>
          <w:lang w:val="fr-CA"/>
        </w:rPr>
        <w:t xml:space="preserve">Welsh </w:t>
      </w:r>
      <w:r>
        <w:rPr>
          <w:rFonts w:asciiTheme="majorHAnsi" w:hAnsiTheme="majorHAnsi" w:cstheme="majorHAnsi"/>
          <w:lang w:val="fr-CA"/>
        </w:rPr>
        <w:t xml:space="preserve">concernant sa conduite envers l’auteur d’une demande </w:t>
      </w:r>
      <w:r w:rsidR="00CB0056">
        <w:rPr>
          <w:rFonts w:asciiTheme="majorHAnsi" w:hAnsiTheme="majorHAnsi" w:cstheme="majorHAnsi"/>
          <w:lang w:val="fr-CA"/>
        </w:rPr>
        <w:t xml:space="preserve">non représenté </w:t>
      </w:r>
      <w:r>
        <w:rPr>
          <w:rFonts w:asciiTheme="majorHAnsi" w:hAnsiTheme="majorHAnsi" w:cstheme="majorHAnsi"/>
          <w:lang w:val="fr-CA"/>
        </w:rPr>
        <w:t>au cours d’une audience de pré-enquête</w:t>
      </w:r>
      <w:r w:rsidR="005863E2" w:rsidRPr="0068049A">
        <w:rPr>
          <w:rFonts w:asciiTheme="majorHAnsi" w:hAnsiTheme="majorHAnsi" w:cstheme="majorHAnsi"/>
          <w:lang w:val="fr-CA"/>
        </w:rPr>
        <w:t xml:space="preserve">. </w:t>
      </w:r>
      <w:r>
        <w:rPr>
          <w:rFonts w:asciiTheme="majorHAnsi" w:hAnsiTheme="majorHAnsi" w:cstheme="majorHAnsi"/>
          <w:lang w:val="fr-CA"/>
        </w:rPr>
        <w:t xml:space="preserve">Le juge de paix s’est défendu et l’affaire a fait l’objet d’une audience devant notre comité d’audition. </w:t>
      </w:r>
      <w:r w:rsidR="00CB0056">
        <w:rPr>
          <w:rFonts w:asciiTheme="majorHAnsi" w:hAnsiTheme="majorHAnsi" w:cstheme="majorHAnsi"/>
          <w:lang w:val="fr-CA"/>
        </w:rPr>
        <w:t xml:space="preserve">Par </w:t>
      </w:r>
      <w:r>
        <w:rPr>
          <w:rFonts w:asciiTheme="majorHAnsi" w:hAnsiTheme="majorHAnsi" w:cstheme="majorHAnsi"/>
          <w:lang w:val="fr-CA"/>
        </w:rPr>
        <w:t>une ordonnance datée du 2 mars 2020, notre comité d’audition a rejeté la plainte au motif que les allégations n’avaient pas été prouvées. Le juge de paix demande maintenant q</w:t>
      </w:r>
      <w:r w:rsidRPr="00EC7E34">
        <w:rPr>
          <w:rFonts w:asciiTheme="majorHAnsi" w:hAnsiTheme="majorHAnsi" w:cstheme="majorHAnsi"/>
          <w:lang w:val="fr-CA"/>
        </w:rPr>
        <w:t>ue le comité d’audition recommande au procureur général qu’il soit indemnisé des frais pour services juridiques qu’il a engagés relativement à l’audience</w:t>
      </w:r>
      <w:r w:rsidR="009A0123" w:rsidRPr="0068049A">
        <w:rPr>
          <w:rFonts w:asciiTheme="majorHAnsi" w:hAnsiTheme="majorHAnsi" w:cstheme="majorHAnsi"/>
          <w:lang w:val="fr-CA"/>
        </w:rPr>
        <w:t xml:space="preserve">. </w:t>
      </w:r>
    </w:p>
    <w:p w14:paraId="2E38A161" w14:textId="1FCC76B4" w:rsidR="00A742D7" w:rsidRPr="0068049A" w:rsidRDefault="0068049A" w:rsidP="0075320B">
      <w:pPr>
        <w:spacing w:after="200" w:line="276" w:lineRule="auto"/>
        <w:jc w:val="both"/>
        <w:rPr>
          <w:rFonts w:asciiTheme="majorHAnsi" w:hAnsiTheme="majorHAnsi" w:cstheme="majorHAnsi"/>
          <w:b/>
          <w:bCs/>
          <w:lang w:val="fr-CA"/>
        </w:rPr>
      </w:pPr>
      <w:r>
        <w:rPr>
          <w:rFonts w:asciiTheme="majorHAnsi" w:hAnsiTheme="majorHAnsi" w:cstheme="majorHAnsi"/>
          <w:b/>
          <w:bCs/>
          <w:lang w:val="fr-CA"/>
        </w:rPr>
        <w:t>Les faits</w:t>
      </w:r>
    </w:p>
    <w:p w14:paraId="39F7743E" w14:textId="0246E1E9" w:rsidR="00A742D7" w:rsidRPr="0068049A" w:rsidRDefault="0068049A" w:rsidP="0075320B">
      <w:pPr>
        <w:pStyle w:val="ListParagraph"/>
        <w:numPr>
          <w:ilvl w:val="0"/>
          <w:numId w:val="8"/>
        </w:numPr>
        <w:spacing w:after="200" w:line="276" w:lineRule="auto"/>
        <w:ind w:left="567" w:hanging="567"/>
        <w:jc w:val="both"/>
        <w:rPr>
          <w:rFonts w:asciiTheme="majorHAnsi" w:hAnsiTheme="majorHAnsi" w:cstheme="majorHAnsi"/>
          <w:lang w:val="fr-CA"/>
        </w:rPr>
      </w:pPr>
      <w:r>
        <w:rPr>
          <w:rFonts w:asciiTheme="majorHAnsi" w:hAnsiTheme="majorHAnsi" w:cstheme="majorHAnsi"/>
          <w:lang w:val="fr-CA"/>
        </w:rPr>
        <w:t xml:space="preserve">La plainte qui a donné lieu à l’audience disciplinaire en cause contre le juge de paix lui reprochait d’avoir commis une inconduite au cours d’une </w:t>
      </w:r>
      <w:r w:rsidRPr="003231BB">
        <w:rPr>
          <w:rFonts w:ascii="Arial" w:hAnsi="Arial" w:cs="Arial"/>
          <w:lang w:val="fr-CA"/>
        </w:rPr>
        <w:t>audience de pré-enquête</w:t>
      </w:r>
      <w:r w:rsidRPr="0068049A">
        <w:rPr>
          <w:rFonts w:asciiTheme="majorHAnsi" w:hAnsiTheme="majorHAnsi" w:cstheme="majorHAnsi"/>
          <w:lang w:val="fr-CA"/>
        </w:rPr>
        <w:t xml:space="preserve"> </w:t>
      </w:r>
      <w:r>
        <w:rPr>
          <w:rFonts w:asciiTheme="majorHAnsi" w:hAnsiTheme="majorHAnsi" w:cstheme="majorHAnsi"/>
          <w:lang w:val="fr-CA"/>
        </w:rPr>
        <w:t xml:space="preserve">qu’il présidait. Toutes les allégations se rapportaient à </w:t>
      </w:r>
      <w:r w:rsidR="002B7F22">
        <w:rPr>
          <w:rFonts w:asciiTheme="majorHAnsi" w:hAnsiTheme="majorHAnsi" w:cstheme="majorHAnsi"/>
          <w:lang w:val="fr-CA"/>
        </w:rPr>
        <w:t>cette</w:t>
      </w:r>
      <w:r>
        <w:rPr>
          <w:rFonts w:asciiTheme="majorHAnsi" w:hAnsiTheme="majorHAnsi" w:cstheme="majorHAnsi"/>
          <w:lang w:val="fr-CA"/>
        </w:rPr>
        <w:t xml:space="preserve"> seule instance, et pas à plusieurs. Le plaignant avait des antécédents de conflits avec les tribunaux et a été déclaré partie vexatoire</w:t>
      </w:r>
      <w:r w:rsidR="002B7F22">
        <w:rPr>
          <w:rFonts w:asciiTheme="majorHAnsi" w:hAnsiTheme="majorHAnsi" w:cstheme="majorHAnsi"/>
          <w:lang w:val="fr-CA"/>
        </w:rPr>
        <w:t>,</w:t>
      </w:r>
      <w:r>
        <w:rPr>
          <w:rFonts w:asciiTheme="majorHAnsi" w:hAnsiTheme="majorHAnsi" w:cstheme="majorHAnsi"/>
          <w:lang w:val="fr-CA"/>
        </w:rPr>
        <w:t xml:space="preserve"> par la suite, par la Cour supérieure de justice</w:t>
      </w:r>
      <w:r w:rsidR="00A742D7" w:rsidRPr="0068049A">
        <w:rPr>
          <w:rFonts w:asciiTheme="majorHAnsi" w:hAnsiTheme="majorHAnsi" w:cstheme="majorHAnsi"/>
          <w:lang w:val="fr-CA"/>
        </w:rPr>
        <w:t xml:space="preserve">. </w:t>
      </w:r>
      <w:r>
        <w:rPr>
          <w:rFonts w:asciiTheme="majorHAnsi" w:hAnsiTheme="majorHAnsi" w:cstheme="majorHAnsi"/>
          <w:lang w:val="fr-CA"/>
        </w:rPr>
        <w:t>Les allégations portaient sur les fonctions judiciaires de base du juge de paix et ce dernier s’est défendu avec succès contre ces allégations à l’audience. Notre comité d’audition a conclu que les allégations contre le juge de paix n’avaient pas été prouvées et qu’il s’était conduit d’une façon raisonnable au cours de l’instance en question. En conséquence, la plainte a été rejetée</w:t>
      </w:r>
      <w:r w:rsidR="00A742D7" w:rsidRPr="0068049A">
        <w:rPr>
          <w:rFonts w:asciiTheme="majorHAnsi" w:hAnsiTheme="majorHAnsi" w:cstheme="majorHAnsi"/>
          <w:lang w:val="fr-CA"/>
        </w:rPr>
        <w:t xml:space="preserve">.  </w:t>
      </w:r>
    </w:p>
    <w:p w14:paraId="20D6983E" w14:textId="07A46D49" w:rsidR="003607FA" w:rsidRPr="0068049A" w:rsidRDefault="00BD0E03" w:rsidP="0075320B">
      <w:pPr>
        <w:spacing w:after="200" w:line="276" w:lineRule="auto"/>
        <w:jc w:val="both"/>
        <w:rPr>
          <w:rFonts w:asciiTheme="majorHAnsi" w:hAnsiTheme="majorHAnsi" w:cstheme="majorHAnsi"/>
          <w:b/>
          <w:bCs/>
          <w:lang w:val="fr-CA"/>
        </w:rPr>
      </w:pPr>
      <w:r>
        <w:rPr>
          <w:rFonts w:asciiTheme="majorHAnsi" w:hAnsiTheme="majorHAnsi" w:cstheme="majorHAnsi"/>
          <w:b/>
          <w:bCs/>
          <w:lang w:val="fr-CA"/>
        </w:rPr>
        <w:t>Principes juridiques</w:t>
      </w:r>
    </w:p>
    <w:p w14:paraId="713ABE41" w14:textId="69903E52" w:rsidR="0075320B" w:rsidRPr="0068049A" w:rsidRDefault="00BD0E03" w:rsidP="00BD0E03">
      <w:pPr>
        <w:pStyle w:val="ListParagraph"/>
        <w:numPr>
          <w:ilvl w:val="0"/>
          <w:numId w:val="8"/>
        </w:numPr>
        <w:spacing w:after="200" w:line="276" w:lineRule="auto"/>
        <w:jc w:val="both"/>
        <w:rPr>
          <w:rFonts w:asciiTheme="majorHAnsi" w:hAnsiTheme="majorHAnsi" w:cstheme="majorHAnsi"/>
          <w:lang w:val="fr-CA"/>
        </w:rPr>
      </w:pPr>
      <w:r>
        <w:rPr>
          <w:rFonts w:asciiTheme="majorHAnsi" w:hAnsiTheme="majorHAnsi" w:cstheme="majorHAnsi"/>
          <w:lang w:val="fr-CA"/>
        </w:rPr>
        <w:t xml:space="preserve">Le pouvoir du comité d’audition de recommander au procureur général que le juge de paix soit indemnisé de tout ou partie de ses frais pour services juridiques lui est conféré par le paragraphe </w:t>
      </w:r>
      <w:r w:rsidR="000C65BE" w:rsidRPr="0068049A">
        <w:rPr>
          <w:rFonts w:asciiTheme="majorHAnsi" w:hAnsiTheme="majorHAnsi" w:cstheme="majorHAnsi"/>
          <w:lang w:val="fr-CA"/>
        </w:rPr>
        <w:t>11.1</w:t>
      </w:r>
      <w:r>
        <w:rPr>
          <w:rFonts w:asciiTheme="majorHAnsi" w:hAnsiTheme="majorHAnsi" w:cstheme="majorHAnsi"/>
          <w:lang w:val="fr-CA"/>
        </w:rPr>
        <w:t> </w:t>
      </w:r>
      <w:r w:rsidR="000C65BE" w:rsidRPr="0068049A">
        <w:rPr>
          <w:rFonts w:asciiTheme="majorHAnsi" w:hAnsiTheme="majorHAnsi" w:cstheme="majorHAnsi"/>
          <w:lang w:val="fr-CA"/>
        </w:rPr>
        <w:t xml:space="preserve">(17) </w:t>
      </w:r>
      <w:r>
        <w:rPr>
          <w:rFonts w:asciiTheme="majorHAnsi" w:hAnsiTheme="majorHAnsi" w:cstheme="majorHAnsi"/>
          <w:lang w:val="fr-CA"/>
        </w:rPr>
        <w:t>de la Loi, qui prévoit que « </w:t>
      </w:r>
      <w:r w:rsidRPr="00BD0E03">
        <w:rPr>
          <w:rFonts w:asciiTheme="majorHAnsi" w:hAnsiTheme="majorHAnsi" w:cstheme="majorHAnsi"/>
          <w:lang w:val="fr-CA" w:eastAsia="en-CA"/>
        </w:rPr>
        <w:t>Le comité d’audition peut recommander que le juge de paix soit indemnisé de tout ou partie des frais pour services juridiques qu’il a engagés relativement à l’audience</w:t>
      </w:r>
      <w:r>
        <w:rPr>
          <w:rFonts w:asciiTheme="majorHAnsi" w:hAnsiTheme="majorHAnsi" w:cstheme="majorHAnsi"/>
          <w:lang w:val="fr-CA" w:eastAsia="en-CA"/>
        </w:rPr>
        <w:t> »</w:t>
      </w:r>
      <w:r w:rsidR="000C65BE" w:rsidRPr="0068049A">
        <w:rPr>
          <w:rFonts w:asciiTheme="majorHAnsi" w:hAnsiTheme="majorHAnsi" w:cstheme="majorHAnsi"/>
          <w:lang w:val="fr-CA"/>
        </w:rPr>
        <w:t>.</w:t>
      </w:r>
    </w:p>
    <w:p w14:paraId="71BF4033" w14:textId="75A1A518" w:rsidR="000C65BE" w:rsidRPr="0068049A" w:rsidRDefault="000C65BE" w:rsidP="0075320B">
      <w:pPr>
        <w:pStyle w:val="ListParagraph"/>
        <w:spacing w:after="200" w:line="276" w:lineRule="auto"/>
        <w:ind w:left="567"/>
        <w:jc w:val="both"/>
        <w:rPr>
          <w:rFonts w:asciiTheme="majorHAnsi" w:hAnsiTheme="majorHAnsi" w:cstheme="majorHAnsi"/>
          <w:lang w:val="fr-CA"/>
        </w:rPr>
      </w:pPr>
    </w:p>
    <w:p w14:paraId="283BBD20" w14:textId="74556981" w:rsidR="000C65BE" w:rsidRPr="0068049A" w:rsidRDefault="00BD0E03" w:rsidP="0075320B">
      <w:pPr>
        <w:pStyle w:val="ListParagraph"/>
        <w:numPr>
          <w:ilvl w:val="0"/>
          <w:numId w:val="8"/>
        </w:numPr>
        <w:spacing w:after="200" w:line="276" w:lineRule="auto"/>
        <w:ind w:left="567" w:hanging="567"/>
        <w:jc w:val="both"/>
        <w:rPr>
          <w:rFonts w:asciiTheme="majorHAnsi" w:hAnsiTheme="majorHAnsi" w:cstheme="majorHAnsi"/>
          <w:lang w:val="fr-CA"/>
        </w:rPr>
      </w:pPr>
      <w:r>
        <w:rPr>
          <w:rFonts w:asciiTheme="majorHAnsi" w:hAnsiTheme="majorHAnsi" w:cstheme="majorHAnsi"/>
          <w:lang w:val="fr-CA"/>
        </w:rPr>
        <w:t xml:space="preserve">Le principe directeur a été énoncé par la Cour divisionnaire dans la décision </w:t>
      </w:r>
      <w:proofErr w:type="spellStart"/>
      <w:r w:rsidR="000C65BE" w:rsidRPr="0068049A">
        <w:rPr>
          <w:rFonts w:asciiTheme="majorHAnsi" w:hAnsiTheme="majorHAnsi" w:cstheme="majorHAnsi"/>
          <w:i/>
          <w:lang w:val="fr-CA"/>
        </w:rPr>
        <w:t>Massiah</w:t>
      </w:r>
      <w:proofErr w:type="spellEnd"/>
      <w:r w:rsidR="000C65BE" w:rsidRPr="0068049A">
        <w:rPr>
          <w:rFonts w:asciiTheme="majorHAnsi" w:hAnsiTheme="majorHAnsi" w:cstheme="majorHAnsi"/>
          <w:i/>
          <w:lang w:val="fr-CA"/>
        </w:rPr>
        <w:t xml:space="preserve"> v. Justice of the Peace </w:t>
      </w:r>
      <w:proofErr w:type="spellStart"/>
      <w:r w:rsidR="000C65BE" w:rsidRPr="0068049A">
        <w:rPr>
          <w:rFonts w:asciiTheme="majorHAnsi" w:hAnsiTheme="majorHAnsi" w:cstheme="majorHAnsi"/>
          <w:i/>
          <w:lang w:val="fr-CA"/>
        </w:rPr>
        <w:t>Review</w:t>
      </w:r>
      <w:proofErr w:type="spellEnd"/>
      <w:r w:rsidR="000C65BE" w:rsidRPr="0068049A">
        <w:rPr>
          <w:rFonts w:asciiTheme="majorHAnsi" w:hAnsiTheme="majorHAnsi" w:cstheme="majorHAnsi"/>
          <w:i/>
          <w:lang w:val="fr-CA"/>
        </w:rPr>
        <w:t xml:space="preserve"> Council</w:t>
      </w:r>
      <w:r w:rsidR="000C65BE" w:rsidRPr="0068049A">
        <w:rPr>
          <w:rFonts w:asciiTheme="majorHAnsi" w:hAnsiTheme="majorHAnsi" w:cstheme="majorHAnsi"/>
          <w:lang w:val="fr-CA"/>
        </w:rPr>
        <w:t xml:space="preserve">, 2016 ONSC 6191, </w:t>
      </w:r>
      <w:r>
        <w:rPr>
          <w:rFonts w:asciiTheme="majorHAnsi" w:hAnsiTheme="majorHAnsi" w:cstheme="majorHAnsi"/>
          <w:lang w:val="fr-CA"/>
        </w:rPr>
        <w:t xml:space="preserve">dans laquelle le juge </w:t>
      </w:r>
      <w:proofErr w:type="spellStart"/>
      <w:r w:rsidR="000C65BE" w:rsidRPr="0068049A">
        <w:rPr>
          <w:rFonts w:asciiTheme="majorHAnsi" w:hAnsiTheme="majorHAnsi" w:cstheme="majorHAnsi"/>
          <w:lang w:val="fr-CA"/>
        </w:rPr>
        <w:t>Nordheimer</w:t>
      </w:r>
      <w:proofErr w:type="spellEnd"/>
      <w:r w:rsidR="000C65BE" w:rsidRPr="0068049A">
        <w:rPr>
          <w:rFonts w:asciiTheme="majorHAnsi" w:hAnsiTheme="majorHAnsi" w:cstheme="majorHAnsi"/>
          <w:lang w:val="fr-CA"/>
        </w:rPr>
        <w:t xml:space="preserve"> (</w:t>
      </w:r>
      <w:r>
        <w:rPr>
          <w:rFonts w:asciiTheme="majorHAnsi" w:hAnsiTheme="majorHAnsi" w:cstheme="majorHAnsi"/>
          <w:lang w:val="fr-CA"/>
        </w:rPr>
        <w:t>comme il l’éta</w:t>
      </w:r>
      <w:r w:rsidR="002B7F22">
        <w:rPr>
          <w:rFonts w:asciiTheme="majorHAnsi" w:hAnsiTheme="majorHAnsi" w:cstheme="majorHAnsi"/>
          <w:lang w:val="fr-CA"/>
        </w:rPr>
        <w:t>i</w:t>
      </w:r>
      <w:r>
        <w:rPr>
          <w:rFonts w:asciiTheme="majorHAnsi" w:hAnsiTheme="majorHAnsi" w:cstheme="majorHAnsi"/>
          <w:lang w:val="fr-CA"/>
        </w:rPr>
        <w:t>t à cette époque</w:t>
      </w:r>
      <w:r w:rsidR="000C65BE" w:rsidRPr="0068049A">
        <w:rPr>
          <w:rFonts w:asciiTheme="majorHAnsi" w:hAnsiTheme="majorHAnsi" w:cstheme="majorHAnsi"/>
          <w:lang w:val="fr-CA"/>
        </w:rPr>
        <w:t xml:space="preserve">) </w:t>
      </w:r>
      <w:r>
        <w:rPr>
          <w:rFonts w:asciiTheme="majorHAnsi" w:hAnsiTheme="majorHAnsi" w:cstheme="majorHAnsi"/>
          <w:lang w:val="fr-CA"/>
        </w:rPr>
        <w:t>a déclaré</w:t>
      </w:r>
      <w:r w:rsidR="000C65BE" w:rsidRPr="0068049A">
        <w:rPr>
          <w:rFonts w:asciiTheme="majorHAnsi" w:hAnsiTheme="majorHAnsi" w:cstheme="majorHAnsi"/>
          <w:lang w:val="fr-CA"/>
        </w:rPr>
        <w:t>, a</w:t>
      </w:r>
      <w:r>
        <w:rPr>
          <w:rFonts w:asciiTheme="majorHAnsi" w:hAnsiTheme="majorHAnsi" w:cstheme="majorHAnsi"/>
          <w:lang w:val="fr-CA"/>
        </w:rPr>
        <w:t>u</w:t>
      </w:r>
      <w:r w:rsidR="000C65BE" w:rsidRPr="0068049A">
        <w:rPr>
          <w:rFonts w:asciiTheme="majorHAnsi" w:hAnsiTheme="majorHAnsi" w:cstheme="majorHAnsi"/>
          <w:lang w:val="fr-CA"/>
        </w:rPr>
        <w:t xml:space="preserve"> para. 56</w:t>
      </w:r>
      <w:r>
        <w:rPr>
          <w:rFonts w:asciiTheme="majorHAnsi" w:hAnsiTheme="majorHAnsi" w:cstheme="majorHAnsi"/>
          <w:lang w:val="fr-CA"/>
        </w:rPr>
        <w:t xml:space="preserve"> </w:t>
      </w:r>
      <w:r w:rsidR="000C65BE" w:rsidRPr="0068049A">
        <w:rPr>
          <w:rFonts w:asciiTheme="majorHAnsi" w:hAnsiTheme="majorHAnsi" w:cstheme="majorHAnsi"/>
          <w:lang w:val="fr-CA"/>
        </w:rPr>
        <w:t xml:space="preserve">:  </w:t>
      </w:r>
    </w:p>
    <w:p w14:paraId="5525ACC9" w14:textId="4C7F1184" w:rsidR="000C65BE" w:rsidRPr="00BD0E03" w:rsidRDefault="000C65BE" w:rsidP="0075320B">
      <w:pPr>
        <w:spacing w:after="200" w:line="276" w:lineRule="auto"/>
        <w:ind w:left="1440" w:right="571"/>
        <w:jc w:val="both"/>
        <w:rPr>
          <w:rFonts w:ascii="Arial" w:hAnsi="Arial" w:cs="Arial"/>
          <w:lang w:val="fr-CA"/>
        </w:rPr>
      </w:pPr>
      <w:r w:rsidRPr="00BD0E03">
        <w:rPr>
          <w:rFonts w:ascii="Arial" w:hAnsi="Arial" w:cs="Arial"/>
          <w:lang w:val="fr-CA"/>
        </w:rPr>
        <w:t xml:space="preserve">… </w:t>
      </w:r>
      <w:r w:rsidR="00BD0E03" w:rsidRPr="00BD0E03">
        <w:rPr>
          <w:rFonts w:ascii="Arial" w:hAnsi="Arial" w:cs="Arial"/>
          <w:lang w:val="fr-CA"/>
        </w:rPr>
        <w:t xml:space="preserve">des organismes décisionnels qui traitent de plaintes contre des officiers de justice doivent partir du principe qu’il est toujours dans l’intérêt de l’administration de la justice de veiller à ce que les personnes qui font l’objet de ces plaintes aient un avocat. Par conséquent, le coût de la conduite d’une procédure équitable et complète doit normalement être payé par les deniers publics, car c’est surtout l’intérêt du public qui est protégé et invoqué tout au long du </w:t>
      </w:r>
      <w:r w:rsidR="00BD0E03" w:rsidRPr="00BD0E03">
        <w:rPr>
          <w:rFonts w:ascii="Arial" w:hAnsi="Arial" w:cs="Arial"/>
          <w:lang w:val="fr-CA"/>
        </w:rPr>
        <w:lastRenderedPageBreak/>
        <w:t>processus de plainte. Une fois de plus, cela reflète la nature d’intérêt public du processus</w:t>
      </w:r>
      <w:r w:rsidRPr="00BD0E03">
        <w:rPr>
          <w:rFonts w:ascii="Arial" w:hAnsi="Arial" w:cs="Arial"/>
          <w:lang w:val="fr-CA"/>
        </w:rPr>
        <w:t>.</w:t>
      </w:r>
      <w:r w:rsidR="00BD0E03" w:rsidRPr="00BD0E03">
        <w:rPr>
          <w:rFonts w:ascii="Arial" w:hAnsi="Arial" w:cs="Arial"/>
          <w:lang w:val="fr-CA"/>
        </w:rPr>
        <w:t xml:space="preserve"> [Traduction]</w:t>
      </w:r>
    </w:p>
    <w:p w14:paraId="313C7121" w14:textId="7A6568E7" w:rsidR="000C65BE" w:rsidRPr="0068049A" w:rsidRDefault="00BD0E03" w:rsidP="0075320B">
      <w:pPr>
        <w:pStyle w:val="ListParagraph"/>
        <w:numPr>
          <w:ilvl w:val="0"/>
          <w:numId w:val="8"/>
        </w:numPr>
        <w:spacing w:after="200" w:line="276" w:lineRule="auto"/>
        <w:ind w:left="567" w:hanging="567"/>
        <w:jc w:val="both"/>
        <w:rPr>
          <w:rFonts w:asciiTheme="majorHAnsi" w:hAnsiTheme="majorHAnsi" w:cstheme="majorHAnsi"/>
          <w:lang w:val="fr-CA"/>
        </w:rPr>
      </w:pPr>
      <w:r>
        <w:rPr>
          <w:rFonts w:asciiTheme="majorHAnsi" w:hAnsiTheme="majorHAnsi" w:cstheme="majorHAnsi"/>
          <w:lang w:val="fr-CA"/>
        </w:rPr>
        <w:t>Dans la décision</w:t>
      </w:r>
      <w:r w:rsidR="000C65BE" w:rsidRPr="0068049A">
        <w:rPr>
          <w:rFonts w:asciiTheme="majorHAnsi" w:hAnsiTheme="majorHAnsi" w:cstheme="majorHAnsi"/>
          <w:lang w:val="fr-CA"/>
        </w:rPr>
        <w:t xml:space="preserve"> </w:t>
      </w:r>
      <w:proofErr w:type="spellStart"/>
      <w:r w:rsidR="000C65BE" w:rsidRPr="0068049A">
        <w:rPr>
          <w:rFonts w:asciiTheme="majorHAnsi" w:hAnsiTheme="majorHAnsi" w:cstheme="majorHAnsi"/>
          <w:i/>
          <w:iCs/>
          <w:lang w:val="fr-CA"/>
        </w:rPr>
        <w:t>Massiah</w:t>
      </w:r>
      <w:proofErr w:type="spellEnd"/>
      <w:r>
        <w:rPr>
          <w:rFonts w:asciiTheme="majorHAnsi" w:hAnsiTheme="majorHAnsi" w:cstheme="majorHAnsi"/>
          <w:i/>
          <w:iCs/>
          <w:lang w:val="fr-CA"/>
        </w:rPr>
        <w:t>,</w:t>
      </w:r>
      <w:r>
        <w:rPr>
          <w:rFonts w:asciiTheme="majorHAnsi" w:hAnsiTheme="majorHAnsi" w:cstheme="majorHAnsi"/>
          <w:lang w:val="fr-CA"/>
        </w:rPr>
        <w:t xml:space="preserve"> la Cour a cité un certain nombre de raisons à l’appui de ce principe. Le troisième, au para</w:t>
      </w:r>
      <w:r w:rsidR="000C65BE" w:rsidRPr="0068049A">
        <w:rPr>
          <w:rFonts w:asciiTheme="majorHAnsi" w:hAnsiTheme="majorHAnsi" w:cstheme="majorHAnsi"/>
          <w:lang w:val="fr-CA"/>
        </w:rPr>
        <w:t>. 53</w:t>
      </w:r>
      <w:r>
        <w:rPr>
          <w:rFonts w:asciiTheme="majorHAnsi" w:hAnsiTheme="majorHAnsi" w:cstheme="majorHAnsi"/>
          <w:lang w:val="fr-CA"/>
        </w:rPr>
        <w:t xml:space="preserve">, s’applique à notre cas </w:t>
      </w:r>
      <w:r w:rsidR="000C65BE" w:rsidRPr="0068049A">
        <w:rPr>
          <w:rFonts w:asciiTheme="majorHAnsi" w:hAnsiTheme="majorHAnsi" w:cstheme="majorHAnsi"/>
          <w:lang w:val="fr-CA"/>
        </w:rPr>
        <w:t xml:space="preserve">:  </w:t>
      </w:r>
    </w:p>
    <w:p w14:paraId="2AB8796C" w14:textId="2BAF73A5" w:rsidR="000C65BE" w:rsidRPr="00BD0E03" w:rsidRDefault="000C65BE" w:rsidP="0075320B">
      <w:pPr>
        <w:spacing w:after="200" w:line="276" w:lineRule="auto"/>
        <w:ind w:left="1440" w:right="571"/>
        <w:jc w:val="both"/>
        <w:rPr>
          <w:rFonts w:ascii="Arial" w:hAnsi="Arial" w:cs="Arial"/>
          <w:lang w:val="fr-CA"/>
        </w:rPr>
      </w:pPr>
      <w:r w:rsidRPr="0068049A">
        <w:rPr>
          <w:rFonts w:asciiTheme="majorHAnsi" w:hAnsiTheme="majorHAnsi" w:cstheme="majorHAnsi"/>
          <w:lang w:val="fr-CA"/>
        </w:rPr>
        <w:t xml:space="preserve">… </w:t>
      </w:r>
      <w:r w:rsidR="00BD0E03">
        <w:rPr>
          <w:rFonts w:asciiTheme="majorHAnsi" w:hAnsiTheme="majorHAnsi" w:cstheme="majorHAnsi"/>
          <w:lang w:val="fr-CA"/>
        </w:rPr>
        <w:t xml:space="preserve">les titulaires de la charge judiciaire, </w:t>
      </w:r>
      <w:proofErr w:type="gramStart"/>
      <w:r w:rsidR="00BD0E03">
        <w:rPr>
          <w:rFonts w:asciiTheme="majorHAnsi" w:hAnsiTheme="majorHAnsi" w:cstheme="majorHAnsi"/>
          <w:lang w:val="fr-CA"/>
        </w:rPr>
        <w:t>de par</w:t>
      </w:r>
      <w:proofErr w:type="gramEnd"/>
      <w:r w:rsidR="00BD0E03">
        <w:rPr>
          <w:rFonts w:asciiTheme="majorHAnsi" w:hAnsiTheme="majorHAnsi" w:cstheme="majorHAnsi"/>
          <w:lang w:val="fr-CA"/>
        </w:rPr>
        <w:t xml:space="preserve"> la nature de leurs fonctions, </w:t>
      </w:r>
      <w:r w:rsidR="00A71AAB">
        <w:rPr>
          <w:rFonts w:asciiTheme="majorHAnsi" w:hAnsiTheme="majorHAnsi" w:cstheme="majorHAnsi"/>
          <w:lang w:val="fr-CA"/>
        </w:rPr>
        <w:t>et les décisions qu’ils rendent suscitent naturellement critiques et animosité</w:t>
      </w:r>
      <w:r w:rsidRPr="0068049A">
        <w:rPr>
          <w:rFonts w:asciiTheme="majorHAnsi" w:hAnsiTheme="majorHAnsi" w:cstheme="majorHAnsi"/>
          <w:lang w:val="fr-CA"/>
        </w:rPr>
        <w:t>.</w:t>
      </w:r>
      <w:r w:rsidR="00A71AAB">
        <w:rPr>
          <w:rFonts w:asciiTheme="majorHAnsi" w:hAnsiTheme="majorHAnsi" w:cstheme="majorHAnsi"/>
          <w:lang w:val="fr-CA"/>
        </w:rPr>
        <w:t xml:space="preserve"> C’est facile pour une personne, ou un groupe de personnes, de déposer une plainte contre quelque chose qu’une personne, qui détient une charge judiciaire, fait, dit ou décide. Bien qu’il existe des mécanismes de filtrage pour assurer que seules les plaintes qui semblent satisfaire au degré requis de validité ou qui concernent la conduite judiciaire au lieu de la décision judiciaire, soient autorisées à franchir l’étape de la plainte initiale, les conséquences sur le titulaire de la charge judiciaire, si une audience est convoquée, sont considérables, comme ce cas et d’autres cas l’ont amplement démontré</w:t>
      </w:r>
      <w:r w:rsidRPr="00BD0E03">
        <w:rPr>
          <w:rFonts w:ascii="Arial" w:hAnsi="Arial" w:cs="Arial"/>
          <w:lang w:val="fr-CA"/>
        </w:rPr>
        <w:t>.</w:t>
      </w:r>
      <w:r w:rsidR="002B7F22">
        <w:rPr>
          <w:rFonts w:ascii="Arial" w:hAnsi="Arial" w:cs="Arial"/>
          <w:lang w:val="fr-CA"/>
        </w:rPr>
        <w:t xml:space="preserve"> </w:t>
      </w:r>
      <w:r w:rsidR="00BD0E03" w:rsidRPr="00BD0E03">
        <w:rPr>
          <w:rFonts w:ascii="Arial" w:hAnsi="Arial" w:cs="Arial"/>
          <w:lang w:val="fr-CA"/>
        </w:rPr>
        <w:t>[Traduction]</w:t>
      </w:r>
    </w:p>
    <w:p w14:paraId="4CC0C301" w14:textId="5CFBA426" w:rsidR="0075320B" w:rsidRPr="00A71AAB" w:rsidRDefault="00A71AAB" w:rsidP="0075320B">
      <w:pPr>
        <w:pStyle w:val="ListParagraph"/>
        <w:numPr>
          <w:ilvl w:val="0"/>
          <w:numId w:val="8"/>
        </w:numPr>
        <w:spacing w:after="200" w:line="276" w:lineRule="auto"/>
        <w:ind w:left="567" w:hanging="567"/>
        <w:jc w:val="both"/>
        <w:rPr>
          <w:rFonts w:ascii="Arial" w:hAnsi="Arial" w:cs="Arial"/>
          <w:lang w:val="fr-CA"/>
        </w:rPr>
      </w:pPr>
      <w:r>
        <w:rPr>
          <w:rFonts w:asciiTheme="majorHAnsi" w:hAnsiTheme="majorHAnsi" w:cstheme="majorHAnsi"/>
          <w:lang w:val="fr-CA"/>
        </w:rPr>
        <w:t xml:space="preserve">Il y a lieu de souligner que la décision </w:t>
      </w:r>
      <w:proofErr w:type="spellStart"/>
      <w:r w:rsidR="000C65BE" w:rsidRPr="0068049A">
        <w:rPr>
          <w:rFonts w:asciiTheme="majorHAnsi" w:hAnsiTheme="majorHAnsi" w:cstheme="majorHAnsi"/>
          <w:i/>
          <w:iCs/>
          <w:lang w:val="fr-CA"/>
        </w:rPr>
        <w:t>Massiah</w:t>
      </w:r>
      <w:proofErr w:type="spellEnd"/>
      <w:r>
        <w:rPr>
          <w:rFonts w:asciiTheme="majorHAnsi" w:hAnsiTheme="majorHAnsi" w:cstheme="majorHAnsi"/>
          <w:lang w:val="fr-CA"/>
        </w:rPr>
        <w:t xml:space="preserve"> traitait de l’adjudication de dépens à un juge de paix qui n’avait pas réussi à démontrer sa défense contre la plainte et qui avait fait l’objet d’une conclusion d’inconduite et d’une peine disciplinaire. La Cour a fait observer que même si une conclusion d’inconduite est prononcée, il peut être approprié de recommander une indemnisation des frais </w:t>
      </w:r>
      <w:r w:rsidR="002B7F22">
        <w:rPr>
          <w:rFonts w:asciiTheme="majorHAnsi" w:hAnsiTheme="majorHAnsi" w:cstheme="majorHAnsi"/>
          <w:lang w:val="fr-CA"/>
        </w:rPr>
        <w:t xml:space="preserve">pour services </w:t>
      </w:r>
      <w:r>
        <w:rPr>
          <w:rFonts w:asciiTheme="majorHAnsi" w:hAnsiTheme="majorHAnsi" w:cstheme="majorHAnsi"/>
          <w:lang w:val="fr-CA"/>
        </w:rPr>
        <w:t xml:space="preserve">juridiques. La Cour a formulé quelques facteurs dont il faut tenir compte pour prendre la décision de </w:t>
      </w:r>
      <w:r w:rsidRPr="00A71AAB">
        <w:rPr>
          <w:rFonts w:ascii="Arial" w:hAnsi="Arial" w:cs="Arial"/>
          <w:lang w:val="fr-CA"/>
        </w:rPr>
        <w:t xml:space="preserve">recommander </w:t>
      </w:r>
      <w:r w:rsidR="002B7F22">
        <w:rPr>
          <w:rFonts w:ascii="Arial" w:hAnsi="Arial" w:cs="Arial"/>
          <w:lang w:val="fr-CA"/>
        </w:rPr>
        <w:t>l’i</w:t>
      </w:r>
      <w:r w:rsidRPr="00A71AAB">
        <w:rPr>
          <w:rFonts w:ascii="Arial" w:hAnsi="Arial" w:cs="Arial"/>
          <w:lang w:val="fr-CA"/>
        </w:rPr>
        <w:t>ndemnisation des frais pour services juridiques</w:t>
      </w:r>
      <w:r w:rsidR="002B7F22">
        <w:rPr>
          <w:rFonts w:ascii="Arial" w:hAnsi="Arial" w:cs="Arial"/>
          <w:lang w:val="fr-CA"/>
        </w:rPr>
        <w:t xml:space="preserve"> engagés</w:t>
      </w:r>
      <w:r w:rsidR="000C65BE" w:rsidRPr="00A71AAB">
        <w:rPr>
          <w:rFonts w:ascii="Arial" w:hAnsi="Arial" w:cs="Arial"/>
          <w:lang w:val="fr-CA"/>
        </w:rPr>
        <w:t xml:space="preserve">. </w:t>
      </w:r>
      <w:r w:rsidRPr="00A71AAB">
        <w:rPr>
          <w:rFonts w:ascii="Arial" w:hAnsi="Arial" w:cs="Arial"/>
          <w:lang w:val="fr-CA"/>
        </w:rPr>
        <w:t>Au para. 57, le juge</w:t>
      </w:r>
      <w:r w:rsidR="000C65BE" w:rsidRPr="00A71AAB">
        <w:rPr>
          <w:rFonts w:ascii="Arial" w:hAnsi="Arial" w:cs="Arial"/>
          <w:lang w:val="fr-CA"/>
        </w:rPr>
        <w:t xml:space="preserve"> </w:t>
      </w:r>
      <w:proofErr w:type="spellStart"/>
      <w:r w:rsidR="000C65BE" w:rsidRPr="00A71AAB">
        <w:rPr>
          <w:rFonts w:ascii="Arial" w:hAnsi="Arial" w:cs="Arial"/>
          <w:lang w:val="fr-CA"/>
        </w:rPr>
        <w:t>Nordheimer</w:t>
      </w:r>
      <w:proofErr w:type="spellEnd"/>
      <w:r w:rsidR="000C65BE" w:rsidRPr="00A71AAB">
        <w:rPr>
          <w:rFonts w:ascii="Arial" w:hAnsi="Arial" w:cs="Arial"/>
          <w:lang w:val="fr-CA"/>
        </w:rPr>
        <w:t xml:space="preserve"> </w:t>
      </w:r>
      <w:r w:rsidRPr="00A71AAB">
        <w:rPr>
          <w:rFonts w:ascii="Arial" w:hAnsi="Arial" w:cs="Arial"/>
          <w:lang w:val="fr-CA"/>
        </w:rPr>
        <w:t>a déclaré qu</w:t>
      </w:r>
      <w:proofErr w:type="gramStart"/>
      <w:r w:rsidRPr="00A71AAB">
        <w:rPr>
          <w:rFonts w:ascii="Arial" w:hAnsi="Arial" w:cs="Arial"/>
          <w:lang w:val="fr-CA"/>
        </w:rPr>
        <w:t>’«</w:t>
      </w:r>
      <w:proofErr w:type="gramEnd"/>
      <w:r w:rsidRPr="00A71AAB">
        <w:rPr>
          <w:rFonts w:ascii="Arial" w:hAnsi="Arial" w:cs="Arial"/>
          <w:lang w:val="fr-CA"/>
        </w:rPr>
        <w:t> une inconduite directement liée à la charge judiciaire justifierait davantage une indemnisation qu’une conduite moins liée à la charge judiciaire »</w:t>
      </w:r>
      <w:r w:rsidR="000C65BE" w:rsidRPr="00A71AAB">
        <w:rPr>
          <w:rFonts w:ascii="Arial" w:hAnsi="Arial" w:cs="Arial"/>
          <w:lang w:val="fr-CA"/>
        </w:rPr>
        <w:t xml:space="preserve">, </w:t>
      </w:r>
      <w:r w:rsidRPr="00A71AAB">
        <w:rPr>
          <w:rFonts w:ascii="Arial" w:hAnsi="Arial" w:cs="Arial"/>
          <w:lang w:val="fr-CA"/>
        </w:rPr>
        <w:t>et qu’il est moins approprié de faire une recommandation d’indemnisation en cas de multiples incidents d’inconduite</w:t>
      </w:r>
      <w:r w:rsidR="000C65BE" w:rsidRPr="00A71AAB">
        <w:rPr>
          <w:rFonts w:ascii="Arial" w:hAnsi="Arial" w:cs="Arial"/>
          <w:lang w:val="fr-CA"/>
        </w:rPr>
        <w:t>.</w:t>
      </w:r>
    </w:p>
    <w:p w14:paraId="6FFC3E25" w14:textId="49089F52" w:rsidR="000C65BE" w:rsidRPr="0068049A" w:rsidRDefault="000C65BE" w:rsidP="0075320B">
      <w:pPr>
        <w:pStyle w:val="ListParagraph"/>
        <w:spacing w:after="200" w:line="276" w:lineRule="auto"/>
        <w:ind w:left="567"/>
        <w:jc w:val="both"/>
        <w:rPr>
          <w:rFonts w:asciiTheme="majorHAnsi" w:hAnsiTheme="majorHAnsi" w:cstheme="majorHAnsi"/>
          <w:lang w:val="fr-CA"/>
        </w:rPr>
      </w:pPr>
    </w:p>
    <w:p w14:paraId="3CE51181" w14:textId="3CD52FAE" w:rsidR="000C65BE" w:rsidRPr="0068049A" w:rsidRDefault="00A71AAB" w:rsidP="0075320B">
      <w:pPr>
        <w:pStyle w:val="ListParagraph"/>
        <w:numPr>
          <w:ilvl w:val="0"/>
          <w:numId w:val="8"/>
        </w:numPr>
        <w:spacing w:after="200" w:line="276" w:lineRule="auto"/>
        <w:ind w:left="567" w:hanging="567"/>
        <w:jc w:val="both"/>
        <w:rPr>
          <w:rFonts w:asciiTheme="majorHAnsi" w:hAnsiTheme="majorHAnsi" w:cstheme="majorHAnsi"/>
          <w:lang w:val="fr-CA"/>
        </w:rPr>
      </w:pPr>
      <w:r>
        <w:rPr>
          <w:rFonts w:asciiTheme="majorHAnsi" w:hAnsiTheme="majorHAnsi" w:cstheme="majorHAnsi"/>
          <w:lang w:val="fr-CA"/>
        </w:rPr>
        <w:t xml:space="preserve">Autre facteur mentionné dans la décision </w:t>
      </w:r>
      <w:r w:rsidR="000C65BE" w:rsidRPr="0068049A">
        <w:rPr>
          <w:rFonts w:asciiTheme="majorHAnsi" w:hAnsiTheme="majorHAnsi" w:cstheme="majorHAnsi"/>
          <w:i/>
          <w:iCs/>
          <w:lang w:val="fr-CA"/>
        </w:rPr>
        <w:t>Re Bisson</w:t>
      </w:r>
      <w:r w:rsidR="000C65BE" w:rsidRPr="0068049A">
        <w:rPr>
          <w:rFonts w:asciiTheme="majorHAnsi" w:hAnsiTheme="majorHAnsi" w:cstheme="majorHAnsi"/>
          <w:lang w:val="fr-CA"/>
        </w:rPr>
        <w:t xml:space="preserve"> 2018 JPRC</w:t>
      </w:r>
      <w:r>
        <w:rPr>
          <w:rFonts w:asciiTheme="majorHAnsi" w:hAnsiTheme="majorHAnsi" w:cstheme="majorHAnsi"/>
          <w:lang w:val="fr-CA"/>
        </w:rPr>
        <w:t xml:space="preserve"> : « la conduite de l’audience ». Ce facteur devrait être pris en considération, en plus de ceux que la Cour divisionnaire a énoncés dans la décision </w:t>
      </w:r>
      <w:proofErr w:type="spellStart"/>
      <w:r w:rsidR="000C65BE" w:rsidRPr="0068049A">
        <w:rPr>
          <w:rFonts w:asciiTheme="majorHAnsi" w:hAnsiTheme="majorHAnsi" w:cstheme="majorHAnsi"/>
          <w:i/>
          <w:iCs/>
          <w:lang w:val="fr-CA"/>
        </w:rPr>
        <w:t>Massiah</w:t>
      </w:r>
      <w:proofErr w:type="spellEnd"/>
      <w:r w:rsidR="000C65BE" w:rsidRPr="0068049A">
        <w:rPr>
          <w:rFonts w:asciiTheme="majorHAnsi" w:hAnsiTheme="majorHAnsi" w:cstheme="majorHAnsi"/>
          <w:lang w:val="fr-CA"/>
        </w:rPr>
        <w:t xml:space="preserve">, </w:t>
      </w:r>
      <w:r>
        <w:rPr>
          <w:rFonts w:asciiTheme="majorHAnsi" w:hAnsiTheme="majorHAnsi" w:cstheme="majorHAnsi"/>
          <w:lang w:val="fr-CA"/>
        </w:rPr>
        <w:t>au motif que l’indemnisation ne devrait pas inclure les coûts liés aux étapes de l’audience qui étaient superflues et injustifiées</w:t>
      </w:r>
      <w:r w:rsidR="000C65BE" w:rsidRPr="0068049A">
        <w:rPr>
          <w:rFonts w:asciiTheme="majorHAnsi" w:hAnsiTheme="majorHAnsi" w:cstheme="majorHAnsi"/>
          <w:lang w:val="fr-CA"/>
        </w:rPr>
        <w:t>.</w:t>
      </w:r>
    </w:p>
    <w:p w14:paraId="6BDC4868" w14:textId="6D61EE60" w:rsidR="000C65BE" w:rsidRPr="0068049A" w:rsidRDefault="00A71AAB" w:rsidP="0075320B">
      <w:pPr>
        <w:spacing w:after="200" w:line="276" w:lineRule="auto"/>
        <w:jc w:val="both"/>
        <w:rPr>
          <w:rFonts w:asciiTheme="majorHAnsi" w:hAnsiTheme="majorHAnsi" w:cstheme="majorHAnsi"/>
          <w:b/>
          <w:bCs/>
          <w:lang w:val="fr-CA"/>
        </w:rPr>
      </w:pPr>
      <w:r>
        <w:rPr>
          <w:rFonts w:asciiTheme="majorHAnsi" w:hAnsiTheme="majorHAnsi" w:cstheme="majorHAnsi"/>
          <w:b/>
          <w:bCs/>
          <w:lang w:val="fr-CA"/>
        </w:rPr>
        <w:t>Frais pour services juridiques</w:t>
      </w:r>
      <w:r w:rsidR="00016CFF" w:rsidRPr="0068049A">
        <w:rPr>
          <w:rFonts w:asciiTheme="majorHAnsi" w:hAnsiTheme="majorHAnsi" w:cstheme="majorHAnsi"/>
          <w:b/>
          <w:bCs/>
          <w:lang w:val="fr-CA"/>
        </w:rPr>
        <w:t xml:space="preserve"> </w:t>
      </w:r>
    </w:p>
    <w:p w14:paraId="06AC16F3" w14:textId="7FB9322B" w:rsidR="0075320B" w:rsidRPr="0068049A" w:rsidRDefault="006B486E" w:rsidP="00150981">
      <w:pPr>
        <w:pStyle w:val="ListParagraph"/>
        <w:numPr>
          <w:ilvl w:val="0"/>
          <w:numId w:val="8"/>
        </w:numPr>
        <w:spacing w:after="200" w:line="276" w:lineRule="auto"/>
        <w:jc w:val="both"/>
        <w:rPr>
          <w:rFonts w:asciiTheme="majorHAnsi" w:hAnsiTheme="majorHAnsi" w:cstheme="majorHAnsi"/>
          <w:lang w:val="fr-CA"/>
        </w:rPr>
      </w:pPr>
      <w:r>
        <w:rPr>
          <w:rFonts w:asciiTheme="majorHAnsi" w:hAnsiTheme="majorHAnsi" w:cstheme="majorHAnsi"/>
          <w:lang w:val="fr-CA"/>
        </w:rPr>
        <w:t>À l’appui de la demande concernant l</w:t>
      </w:r>
      <w:r w:rsidR="002B7F22">
        <w:rPr>
          <w:rFonts w:asciiTheme="majorHAnsi" w:hAnsiTheme="majorHAnsi" w:cstheme="majorHAnsi"/>
          <w:lang w:val="fr-CA"/>
        </w:rPr>
        <w:t>’indemnisation d</w:t>
      </w:r>
      <w:r>
        <w:rPr>
          <w:rFonts w:asciiTheme="majorHAnsi" w:hAnsiTheme="majorHAnsi" w:cstheme="majorHAnsi"/>
          <w:lang w:val="fr-CA"/>
        </w:rPr>
        <w:t>es frais pour services juridiques, l’avocat du juge de paix, Me</w:t>
      </w:r>
      <w:r w:rsidR="000C65BE" w:rsidRPr="0068049A">
        <w:rPr>
          <w:rFonts w:asciiTheme="majorHAnsi" w:hAnsiTheme="majorHAnsi" w:cstheme="majorHAnsi"/>
          <w:lang w:val="fr-CA"/>
        </w:rPr>
        <w:t xml:space="preserve"> Eugene </w:t>
      </w:r>
      <w:proofErr w:type="spellStart"/>
      <w:r w:rsidR="000C65BE" w:rsidRPr="0068049A">
        <w:rPr>
          <w:rFonts w:asciiTheme="majorHAnsi" w:hAnsiTheme="majorHAnsi" w:cstheme="majorHAnsi"/>
          <w:lang w:val="fr-CA"/>
        </w:rPr>
        <w:t>Bhattacharya</w:t>
      </w:r>
      <w:proofErr w:type="spellEnd"/>
      <w:r w:rsidR="000C65BE" w:rsidRPr="0068049A">
        <w:rPr>
          <w:rFonts w:asciiTheme="majorHAnsi" w:hAnsiTheme="majorHAnsi" w:cstheme="majorHAnsi"/>
          <w:lang w:val="fr-CA"/>
        </w:rPr>
        <w:t xml:space="preserve">, </w:t>
      </w:r>
      <w:r>
        <w:rPr>
          <w:rFonts w:asciiTheme="majorHAnsi" w:hAnsiTheme="majorHAnsi" w:cstheme="majorHAnsi"/>
          <w:lang w:val="fr-CA"/>
        </w:rPr>
        <w:t xml:space="preserve">a produit ses </w:t>
      </w:r>
      <w:r>
        <w:rPr>
          <w:rFonts w:asciiTheme="majorHAnsi" w:hAnsiTheme="majorHAnsi" w:cstheme="majorHAnsi"/>
          <w:lang w:val="fr-CA"/>
        </w:rPr>
        <w:lastRenderedPageBreak/>
        <w:t xml:space="preserve">comptes démontrant qu’il avait passé </w:t>
      </w:r>
      <w:r w:rsidR="000C65BE" w:rsidRPr="0068049A">
        <w:rPr>
          <w:rFonts w:asciiTheme="majorHAnsi" w:hAnsiTheme="majorHAnsi" w:cstheme="majorHAnsi"/>
          <w:lang w:val="fr-CA"/>
        </w:rPr>
        <w:t>32</w:t>
      </w:r>
      <w:r>
        <w:rPr>
          <w:rFonts w:asciiTheme="majorHAnsi" w:hAnsiTheme="majorHAnsi" w:cstheme="majorHAnsi"/>
          <w:lang w:val="fr-CA"/>
        </w:rPr>
        <w:t>,</w:t>
      </w:r>
      <w:r w:rsidR="000C65BE" w:rsidRPr="0068049A">
        <w:rPr>
          <w:rFonts w:asciiTheme="majorHAnsi" w:hAnsiTheme="majorHAnsi" w:cstheme="majorHAnsi"/>
          <w:lang w:val="fr-CA"/>
        </w:rPr>
        <w:t>6 h</w:t>
      </w:r>
      <w:r>
        <w:rPr>
          <w:rFonts w:asciiTheme="majorHAnsi" w:hAnsiTheme="majorHAnsi" w:cstheme="majorHAnsi"/>
          <w:lang w:val="fr-CA"/>
        </w:rPr>
        <w:t xml:space="preserve">eures </w:t>
      </w:r>
      <w:r w:rsidR="002B7F22">
        <w:rPr>
          <w:rFonts w:asciiTheme="majorHAnsi" w:hAnsiTheme="majorHAnsi" w:cstheme="majorHAnsi"/>
          <w:lang w:val="fr-CA"/>
        </w:rPr>
        <w:t xml:space="preserve">sur l’affaire </w:t>
      </w:r>
      <w:r>
        <w:rPr>
          <w:rFonts w:asciiTheme="majorHAnsi" w:hAnsiTheme="majorHAnsi" w:cstheme="majorHAnsi"/>
          <w:lang w:val="fr-CA"/>
        </w:rPr>
        <w:t>et son associé</w:t>
      </w:r>
      <w:r w:rsidR="002B7F22">
        <w:rPr>
          <w:rFonts w:asciiTheme="majorHAnsi" w:hAnsiTheme="majorHAnsi" w:cstheme="majorHAnsi"/>
          <w:lang w:val="fr-CA"/>
        </w:rPr>
        <w:t>e</w:t>
      </w:r>
      <w:r w:rsidR="000C65BE" w:rsidRPr="0068049A">
        <w:rPr>
          <w:rFonts w:asciiTheme="majorHAnsi" w:hAnsiTheme="majorHAnsi" w:cstheme="majorHAnsi"/>
          <w:lang w:val="fr-CA"/>
        </w:rPr>
        <w:t xml:space="preserve"> 28</w:t>
      </w:r>
      <w:r>
        <w:rPr>
          <w:rFonts w:asciiTheme="majorHAnsi" w:hAnsiTheme="majorHAnsi" w:cstheme="majorHAnsi"/>
          <w:lang w:val="fr-CA"/>
        </w:rPr>
        <w:t>,</w:t>
      </w:r>
      <w:r w:rsidR="000C65BE" w:rsidRPr="0068049A">
        <w:rPr>
          <w:rFonts w:asciiTheme="majorHAnsi" w:hAnsiTheme="majorHAnsi" w:cstheme="majorHAnsi"/>
          <w:lang w:val="fr-CA"/>
        </w:rPr>
        <w:t>1 h</w:t>
      </w:r>
      <w:r>
        <w:rPr>
          <w:rFonts w:asciiTheme="majorHAnsi" w:hAnsiTheme="majorHAnsi" w:cstheme="majorHAnsi"/>
          <w:lang w:val="fr-CA"/>
        </w:rPr>
        <w:t>eures de plus</w:t>
      </w:r>
      <w:r w:rsidR="000C65BE" w:rsidRPr="0068049A">
        <w:rPr>
          <w:rFonts w:asciiTheme="majorHAnsi" w:hAnsiTheme="majorHAnsi" w:cstheme="majorHAnsi"/>
          <w:lang w:val="fr-CA"/>
        </w:rPr>
        <w:t xml:space="preserve">. </w:t>
      </w:r>
      <w:r w:rsidR="00150981">
        <w:rPr>
          <w:rFonts w:asciiTheme="majorHAnsi" w:hAnsiTheme="majorHAnsi" w:cstheme="majorHAnsi"/>
          <w:lang w:val="fr-CA"/>
        </w:rPr>
        <w:t>S’il factur</w:t>
      </w:r>
      <w:r w:rsidR="002B7F22">
        <w:rPr>
          <w:rFonts w:asciiTheme="majorHAnsi" w:hAnsiTheme="majorHAnsi" w:cstheme="majorHAnsi"/>
          <w:lang w:val="fr-CA"/>
        </w:rPr>
        <w:t>ait</w:t>
      </w:r>
      <w:r w:rsidR="00150981">
        <w:rPr>
          <w:rFonts w:asciiTheme="majorHAnsi" w:hAnsiTheme="majorHAnsi" w:cstheme="majorHAnsi"/>
          <w:lang w:val="fr-CA"/>
        </w:rPr>
        <w:t xml:space="preserve"> ses heures de travail à son taux habituel, la facture s’élèverait à </w:t>
      </w:r>
      <w:r w:rsidR="000C65BE" w:rsidRPr="0068049A">
        <w:rPr>
          <w:rFonts w:asciiTheme="majorHAnsi" w:hAnsiTheme="majorHAnsi" w:cstheme="majorHAnsi"/>
          <w:lang w:val="fr-CA"/>
        </w:rPr>
        <w:t>26</w:t>
      </w:r>
      <w:r w:rsidR="00150981">
        <w:rPr>
          <w:rFonts w:asciiTheme="majorHAnsi" w:hAnsiTheme="majorHAnsi" w:cstheme="majorHAnsi"/>
          <w:lang w:val="fr-CA"/>
        </w:rPr>
        <w:t> </w:t>
      </w:r>
      <w:r w:rsidR="000C65BE" w:rsidRPr="0068049A">
        <w:rPr>
          <w:rFonts w:asciiTheme="majorHAnsi" w:hAnsiTheme="majorHAnsi" w:cstheme="majorHAnsi"/>
          <w:lang w:val="fr-CA"/>
        </w:rPr>
        <w:t>897</w:t>
      </w:r>
      <w:r w:rsidR="00150981">
        <w:rPr>
          <w:rFonts w:asciiTheme="majorHAnsi" w:hAnsiTheme="majorHAnsi" w:cstheme="majorHAnsi"/>
          <w:lang w:val="fr-CA"/>
        </w:rPr>
        <w:t>,</w:t>
      </w:r>
      <w:r w:rsidR="000C65BE" w:rsidRPr="0068049A">
        <w:rPr>
          <w:rFonts w:asciiTheme="majorHAnsi" w:hAnsiTheme="majorHAnsi" w:cstheme="majorHAnsi"/>
          <w:lang w:val="fr-CA"/>
        </w:rPr>
        <w:t>39</w:t>
      </w:r>
      <w:r w:rsidR="00150981">
        <w:rPr>
          <w:rFonts w:asciiTheme="majorHAnsi" w:hAnsiTheme="majorHAnsi" w:cstheme="majorHAnsi"/>
          <w:lang w:val="fr-CA"/>
        </w:rPr>
        <w:t> $</w:t>
      </w:r>
      <w:r w:rsidR="000C65BE" w:rsidRPr="0068049A">
        <w:rPr>
          <w:rFonts w:asciiTheme="majorHAnsi" w:hAnsiTheme="majorHAnsi" w:cstheme="majorHAnsi"/>
          <w:lang w:val="fr-CA"/>
        </w:rPr>
        <w:t xml:space="preserve">, </w:t>
      </w:r>
      <w:r w:rsidR="00150981">
        <w:rPr>
          <w:rFonts w:asciiTheme="majorHAnsi" w:hAnsiTheme="majorHAnsi" w:cstheme="majorHAnsi"/>
          <w:lang w:val="fr-CA"/>
        </w:rPr>
        <w:t>TVH comprise</w:t>
      </w:r>
      <w:r w:rsidR="000C65BE" w:rsidRPr="0068049A">
        <w:rPr>
          <w:rFonts w:asciiTheme="majorHAnsi" w:hAnsiTheme="majorHAnsi" w:cstheme="majorHAnsi"/>
          <w:lang w:val="fr-CA"/>
        </w:rPr>
        <w:t xml:space="preserve">. </w:t>
      </w:r>
      <w:r w:rsidR="00150981">
        <w:rPr>
          <w:rFonts w:asciiTheme="majorHAnsi" w:hAnsiTheme="majorHAnsi" w:cstheme="majorHAnsi"/>
          <w:lang w:val="fr-CA"/>
        </w:rPr>
        <w:t xml:space="preserve">Cependant, un taux maximal peut être utilisé par notre comité d’audition dans sa recommandation. Le paragraphe </w:t>
      </w:r>
      <w:r w:rsidR="000C65BE" w:rsidRPr="0068049A">
        <w:rPr>
          <w:rFonts w:asciiTheme="majorHAnsi" w:hAnsiTheme="majorHAnsi" w:cstheme="majorHAnsi"/>
          <w:lang w:val="fr-CA"/>
        </w:rPr>
        <w:t>11.1</w:t>
      </w:r>
      <w:r w:rsidR="00150981">
        <w:rPr>
          <w:rFonts w:asciiTheme="majorHAnsi" w:hAnsiTheme="majorHAnsi" w:cstheme="majorHAnsi"/>
          <w:lang w:val="fr-CA"/>
        </w:rPr>
        <w:t> </w:t>
      </w:r>
      <w:r w:rsidR="000C65BE" w:rsidRPr="0068049A">
        <w:rPr>
          <w:rFonts w:asciiTheme="majorHAnsi" w:hAnsiTheme="majorHAnsi" w:cstheme="majorHAnsi"/>
          <w:lang w:val="fr-CA"/>
        </w:rPr>
        <w:t xml:space="preserve">(18) </w:t>
      </w:r>
      <w:r w:rsidR="00150981">
        <w:rPr>
          <w:rFonts w:asciiTheme="majorHAnsi" w:hAnsiTheme="majorHAnsi" w:cstheme="majorHAnsi"/>
          <w:lang w:val="fr-CA"/>
        </w:rPr>
        <w:t>de la Loi prévoit que « </w:t>
      </w:r>
      <w:r w:rsidR="00150981" w:rsidRPr="00150981">
        <w:rPr>
          <w:rFonts w:asciiTheme="majorHAnsi" w:hAnsiTheme="majorHAnsi" w:cstheme="majorHAnsi"/>
          <w:lang w:val="fr-CA"/>
        </w:rPr>
        <w:t>Le montant de l’indemnité recommandée aux termes du paragraphe (17) est calculé selon un taux pour services juridiques qui ne dépasse pas le taux maximal normalement payé par le gouvernement de l’Ontario pour des services similaires</w:t>
      </w:r>
      <w:r w:rsidR="00150981">
        <w:rPr>
          <w:rFonts w:asciiTheme="majorHAnsi" w:hAnsiTheme="majorHAnsi" w:cstheme="majorHAnsi"/>
          <w:lang w:val="fr-CA"/>
        </w:rPr>
        <w:t xml:space="preserve"> ». Ce taux est fixé à </w:t>
      </w:r>
      <w:r w:rsidR="000C65BE" w:rsidRPr="0068049A">
        <w:rPr>
          <w:rFonts w:asciiTheme="majorHAnsi" w:hAnsiTheme="majorHAnsi" w:cstheme="majorHAnsi"/>
          <w:lang w:val="fr-CA"/>
        </w:rPr>
        <w:t>450</w:t>
      </w:r>
      <w:r w:rsidR="00150981">
        <w:rPr>
          <w:rFonts w:asciiTheme="majorHAnsi" w:hAnsiTheme="majorHAnsi" w:cstheme="majorHAnsi"/>
          <w:lang w:val="fr-CA"/>
        </w:rPr>
        <w:t> $</w:t>
      </w:r>
      <w:r w:rsidR="000C65BE" w:rsidRPr="0068049A">
        <w:rPr>
          <w:rFonts w:asciiTheme="majorHAnsi" w:hAnsiTheme="majorHAnsi" w:cstheme="majorHAnsi"/>
          <w:lang w:val="fr-CA"/>
        </w:rPr>
        <w:t>/</w:t>
      </w:r>
      <w:r w:rsidR="00150981">
        <w:rPr>
          <w:rFonts w:asciiTheme="majorHAnsi" w:hAnsiTheme="majorHAnsi" w:cstheme="majorHAnsi"/>
          <w:lang w:val="fr-CA"/>
        </w:rPr>
        <w:t>l’heure pour un avocat ayant l’expérience de Me </w:t>
      </w:r>
      <w:proofErr w:type="spellStart"/>
      <w:r w:rsidR="000C65BE" w:rsidRPr="0068049A">
        <w:rPr>
          <w:rFonts w:asciiTheme="majorHAnsi" w:hAnsiTheme="majorHAnsi" w:cstheme="majorHAnsi"/>
          <w:lang w:val="fr-CA"/>
        </w:rPr>
        <w:t>Bhattacharya</w:t>
      </w:r>
      <w:proofErr w:type="spellEnd"/>
      <w:r w:rsidR="00150981">
        <w:rPr>
          <w:rFonts w:asciiTheme="majorHAnsi" w:hAnsiTheme="majorHAnsi" w:cstheme="majorHAnsi"/>
          <w:lang w:val="fr-CA"/>
        </w:rPr>
        <w:t xml:space="preserve"> et à </w:t>
      </w:r>
      <w:r w:rsidR="000C65BE" w:rsidRPr="0068049A">
        <w:rPr>
          <w:rFonts w:asciiTheme="majorHAnsi" w:hAnsiTheme="majorHAnsi" w:cstheme="majorHAnsi"/>
          <w:lang w:val="fr-CA"/>
        </w:rPr>
        <w:t>175</w:t>
      </w:r>
      <w:r w:rsidR="002B7F22">
        <w:rPr>
          <w:rFonts w:asciiTheme="majorHAnsi" w:hAnsiTheme="majorHAnsi" w:cstheme="majorHAnsi"/>
          <w:lang w:val="fr-CA"/>
        </w:rPr>
        <w:t> </w:t>
      </w:r>
      <w:r w:rsidR="00150981">
        <w:rPr>
          <w:rFonts w:asciiTheme="majorHAnsi" w:hAnsiTheme="majorHAnsi" w:cstheme="majorHAnsi"/>
          <w:lang w:val="fr-CA"/>
        </w:rPr>
        <w:t>$</w:t>
      </w:r>
      <w:r w:rsidR="000C65BE" w:rsidRPr="0068049A">
        <w:rPr>
          <w:rFonts w:asciiTheme="majorHAnsi" w:hAnsiTheme="majorHAnsi" w:cstheme="majorHAnsi"/>
          <w:lang w:val="fr-CA"/>
        </w:rPr>
        <w:t>/</w:t>
      </w:r>
      <w:r w:rsidR="00150981">
        <w:rPr>
          <w:rFonts w:asciiTheme="majorHAnsi" w:hAnsiTheme="majorHAnsi" w:cstheme="majorHAnsi"/>
          <w:lang w:val="fr-CA"/>
        </w:rPr>
        <w:t>l’heure pour son associée, Me </w:t>
      </w:r>
      <w:r w:rsidR="000C65BE" w:rsidRPr="0068049A">
        <w:rPr>
          <w:rFonts w:asciiTheme="majorHAnsi" w:hAnsiTheme="majorHAnsi" w:cstheme="majorHAnsi"/>
          <w:lang w:val="fr-CA"/>
        </w:rPr>
        <w:t xml:space="preserve">Rodriguez, </w:t>
      </w:r>
      <w:r w:rsidR="00150981">
        <w:rPr>
          <w:rFonts w:asciiTheme="majorHAnsi" w:hAnsiTheme="majorHAnsi" w:cstheme="majorHAnsi"/>
          <w:lang w:val="fr-CA"/>
        </w:rPr>
        <w:t xml:space="preserve">qui a été admise au Barreau en </w:t>
      </w:r>
      <w:r w:rsidR="000C65BE" w:rsidRPr="0068049A">
        <w:rPr>
          <w:rFonts w:asciiTheme="majorHAnsi" w:hAnsiTheme="majorHAnsi" w:cstheme="majorHAnsi"/>
          <w:lang w:val="fr-CA"/>
        </w:rPr>
        <w:t xml:space="preserve">2018 </w:t>
      </w:r>
      <w:r w:rsidR="00150981">
        <w:rPr>
          <w:rFonts w:asciiTheme="majorHAnsi" w:hAnsiTheme="majorHAnsi" w:cstheme="majorHAnsi"/>
          <w:lang w:val="fr-CA"/>
        </w:rPr>
        <w:t>et a moins que trois ans d’expérience. Cela réduirait les frais à 22 </w:t>
      </w:r>
      <w:r w:rsidR="000C65BE" w:rsidRPr="0068049A">
        <w:rPr>
          <w:rFonts w:asciiTheme="majorHAnsi" w:hAnsiTheme="majorHAnsi" w:cstheme="majorHAnsi"/>
          <w:lang w:val="fr-CA"/>
        </w:rPr>
        <w:t>133</w:t>
      </w:r>
      <w:r w:rsidR="00150981">
        <w:rPr>
          <w:rFonts w:asciiTheme="majorHAnsi" w:hAnsiTheme="majorHAnsi" w:cstheme="majorHAnsi"/>
          <w:lang w:val="fr-CA"/>
        </w:rPr>
        <w:t>,</w:t>
      </w:r>
      <w:r w:rsidR="000C65BE" w:rsidRPr="0068049A">
        <w:rPr>
          <w:rFonts w:asciiTheme="majorHAnsi" w:hAnsiTheme="majorHAnsi" w:cstheme="majorHAnsi"/>
          <w:lang w:val="fr-CA"/>
        </w:rPr>
        <w:t>88</w:t>
      </w:r>
      <w:r w:rsidR="002B7F22">
        <w:rPr>
          <w:rFonts w:asciiTheme="majorHAnsi" w:hAnsiTheme="majorHAnsi" w:cstheme="majorHAnsi"/>
          <w:lang w:val="fr-CA"/>
        </w:rPr>
        <w:t> </w:t>
      </w:r>
      <w:r w:rsidR="00150981">
        <w:rPr>
          <w:rFonts w:asciiTheme="majorHAnsi" w:hAnsiTheme="majorHAnsi" w:cstheme="majorHAnsi"/>
          <w:lang w:val="fr-CA"/>
        </w:rPr>
        <w:t>$</w:t>
      </w:r>
      <w:r w:rsidR="000C65BE" w:rsidRPr="0068049A">
        <w:rPr>
          <w:rFonts w:asciiTheme="majorHAnsi" w:hAnsiTheme="majorHAnsi" w:cstheme="majorHAnsi"/>
          <w:lang w:val="fr-CA"/>
        </w:rPr>
        <w:t xml:space="preserve">, </w:t>
      </w:r>
      <w:r w:rsidR="00150981">
        <w:rPr>
          <w:rFonts w:asciiTheme="majorHAnsi" w:hAnsiTheme="majorHAnsi" w:cstheme="majorHAnsi"/>
          <w:lang w:val="fr-CA"/>
        </w:rPr>
        <w:t>TVH comprise</w:t>
      </w:r>
      <w:r w:rsidR="000C65BE" w:rsidRPr="0068049A">
        <w:rPr>
          <w:rFonts w:asciiTheme="majorHAnsi" w:hAnsiTheme="majorHAnsi" w:cstheme="majorHAnsi"/>
          <w:lang w:val="fr-CA"/>
        </w:rPr>
        <w:t>.</w:t>
      </w:r>
    </w:p>
    <w:p w14:paraId="7735091B" w14:textId="77777777" w:rsidR="0075320B" w:rsidRPr="0068049A" w:rsidRDefault="0075320B" w:rsidP="0075320B">
      <w:pPr>
        <w:pStyle w:val="ListParagraph"/>
        <w:spacing w:after="200" w:line="276" w:lineRule="auto"/>
        <w:ind w:left="567"/>
        <w:jc w:val="both"/>
        <w:rPr>
          <w:rFonts w:asciiTheme="majorHAnsi" w:hAnsiTheme="majorHAnsi" w:cstheme="majorHAnsi"/>
          <w:lang w:val="fr-CA"/>
        </w:rPr>
      </w:pPr>
    </w:p>
    <w:p w14:paraId="217107B4" w14:textId="58C33CEB" w:rsidR="000C65BE" w:rsidRPr="0068049A" w:rsidRDefault="00150981" w:rsidP="0075320B">
      <w:pPr>
        <w:pStyle w:val="ListParagraph"/>
        <w:numPr>
          <w:ilvl w:val="0"/>
          <w:numId w:val="8"/>
        </w:numPr>
        <w:spacing w:after="200" w:line="276" w:lineRule="auto"/>
        <w:ind w:left="567" w:hanging="567"/>
        <w:jc w:val="both"/>
        <w:rPr>
          <w:rFonts w:asciiTheme="majorHAnsi" w:hAnsiTheme="majorHAnsi" w:cstheme="majorHAnsi"/>
          <w:lang w:val="fr-CA"/>
        </w:rPr>
      </w:pPr>
      <w:r>
        <w:rPr>
          <w:rFonts w:asciiTheme="majorHAnsi" w:hAnsiTheme="majorHAnsi" w:cstheme="majorHAnsi"/>
          <w:lang w:val="fr-CA"/>
        </w:rPr>
        <w:t>L’avocat chargé de présenter le dossier, Me</w:t>
      </w:r>
      <w:r w:rsidR="000C65BE" w:rsidRPr="0068049A">
        <w:rPr>
          <w:rFonts w:asciiTheme="majorHAnsi" w:hAnsiTheme="majorHAnsi" w:cstheme="majorHAnsi"/>
          <w:lang w:val="fr-CA"/>
        </w:rPr>
        <w:t xml:space="preserve"> </w:t>
      </w:r>
      <w:proofErr w:type="spellStart"/>
      <w:r w:rsidR="000C65BE" w:rsidRPr="0068049A">
        <w:rPr>
          <w:rFonts w:asciiTheme="majorHAnsi" w:hAnsiTheme="majorHAnsi" w:cstheme="majorHAnsi"/>
          <w:lang w:val="fr-CA"/>
        </w:rPr>
        <w:t>Gourlay</w:t>
      </w:r>
      <w:proofErr w:type="spellEnd"/>
      <w:r w:rsidR="000C65BE" w:rsidRPr="0068049A">
        <w:rPr>
          <w:rFonts w:asciiTheme="majorHAnsi" w:hAnsiTheme="majorHAnsi" w:cstheme="majorHAnsi"/>
          <w:lang w:val="fr-CA"/>
        </w:rPr>
        <w:t>,</w:t>
      </w:r>
      <w:r w:rsidR="009E5B78" w:rsidRPr="0068049A">
        <w:rPr>
          <w:rFonts w:asciiTheme="majorHAnsi" w:hAnsiTheme="majorHAnsi" w:cstheme="majorHAnsi"/>
          <w:lang w:val="fr-CA"/>
        </w:rPr>
        <w:t xml:space="preserve"> </w:t>
      </w:r>
      <w:r>
        <w:rPr>
          <w:rFonts w:asciiTheme="majorHAnsi" w:hAnsiTheme="majorHAnsi" w:cstheme="majorHAnsi"/>
          <w:lang w:val="fr-CA"/>
        </w:rPr>
        <w:t xml:space="preserve">convient avec le juge de paix qu’une recommandation d’indemnisation serait appropriée en l’espèce. Il est d’avis que les frais engagés par le juge de paix semblent raisonnables et appropriés dans les circonstances. </w:t>
      </w:r>
    </w:p>
    <w:p w14:paraId="0E3A5B67" w14:textId="36ACF208" w:rsidR="000C65BE" w:rsidRPr="0068049A" w:rsidRDefault="000C65BE" w:rsidP="0075320B">
      <w:pPr>
        <w:spacing w:after="200" w:line="276" w:lineRule="auto"/>
        <w:jc w:val="both"/>
        <w:rPr>
          <w:rFonts w:asciiTheme="majorHAnsi" w:hAnsiTheme="majorHAnsi" w:cstheme="majorHAnsi"/>
          <w:b/>
          <w:bCs/>
          <w:lang w:val="fr-CA"/>
        </w:rPr>
      </w:pPr>
      <w:r w:rsidRPr="0068049A">
        <w:rPr>
          <w:rFonts w:asciiTheme="majorHAnsi" w:hAnsiTheme="majorHAnsi" w:cstheme="majorHAnsi"/>
          <w:b/>
          <w:bCs/>
          <w:lang w:val="fr-CA"/>
        </w:rPr>
        <w:t>Analys</w:t>
      </w:r>
      <w:r w:rsidR="00150981">
        <w:rPr>
          <w:rFonts w:asciiTheme="majorHAnsi" w:hAnsiTheme="majorHAnsi" w:cstheme="majorHAnsi"/>
          <w:b/>
          <w:bCs/>
          <w:lang w:val="fr-CA"/>
        </w:rPr>
        <w:t>e</w:t>
      </w:r>
    </w:p>
    <w:p w14:paraId="5125A14C" w14:textId="49A34A6F" w:rsidR="0075320B" w:rsidRPr="0068049A" w:rsidRDefault="00150981" w:rsidP="0075320B">
      <w:pPr>
        <w:pStyle w:val="ListParagraph"/>
        <w:numPr>
          <w:ilvl w:val="0"/>
          <w:numId w:val="8"/>
        </w:numPr>
        <w:spacing w:after="200" w:line="276" w:lineRule="auto"/>
        <w:ind w:left="567" w:hanging="567"/>
        <w:jc w:val="both"/>
        <w:rPr>
          <w:rFonts w:asciiTheme="majorHAnsi" w:hAnsiTheme="majorHAnsi" w:cstheme="majorHAnsi"/>
          <w:lang w:val="fr-CA"/>
        </w:rPr>
      </w:pPr>
      <w:r>
        <w:rPr>
          <w:rFonts w:asciiTheme="majorHAnsi" w:hAnsiTheme="majorHAnsi" w:cstheme="majorHAnsi"/>
          <w:lang w:val="fr-CA"/>
        </w:rPr>
        <w:t>À notre avis, l’audience disciplinaire tenue devant notre comité d’audition s’est déroulée d’une façon professionnelle et efficace par les avocats des deux côté</w:t>
      </w:r>
      <w:r w:rsidR="002B7F22">
        <w:rPr>
          <w:rFonts w:asciiTheme="majorHAnsi" w:hAnsiTheme="majorHAnsi" w:cstheme="majorHAnsi"/>
          <w:lang w:val="fr-CA"/>
        </w:rPr>
        <w:t>s</w:t>
      </w:r>
      <w:r>
        <w:rPr>
          <w:rFonts w:asciiTheme="majorHAnsi" w:hAnsiTheme="majorHAnsi" w:cstheme="majorHAnsi"/>
          <w:lang w:val="fr-CA"/>
        </w:rPr>
        <w:t>. L’audience a duré une journée, ce qui est moins que ce qui était prévu initialement. Les preuves documentaires étaient bien organisées et ont été déposées sur consentement, après une entente entre les avocats</w:t>
      </w:r>
      <w:r w:rsidR="000C65BE" w:rsidRPr="0068049A">
        <w:rPr>
          <w:rFonts w:asciiTheme="majorHAnsi" w:hAnsiTheme="majorHAnsi" w:cstheme="majorHAnsi"/>
          <w:lang w:val="fr-CA"/>
        </w:rPr>
        <w:t xml:space="preserve">. </w:t>
      </w:r>
      <w:r>
        <w:rPr>
          <w:rFonts w:asciiTheme="majorHAnsi" w:hAnsiTheme="majorHAnsi" w:cstheme="majorHAnsi"/>
          <w:lang w:val="fr-CA"/>
        </w:rPr>
        <w:t>Le plaignant original n’a pas été appelé à témoigner, mais il était raisonnable que Me </w:t>
      </w:r>
      <w:proofErr w:type="spellStart"/>
      <w:r w:rsidR="000C65BE" w:rsidRPr="0068049A">
        <w:rPr>
          <w:rFonts w:asciiTheme="majorHAnsi" w:hAnsiTheme="majorHAnsi" w:cstheme="majorHAnsi"/>
          <w:lang w:val="fr-CA"/>
        </w:rPr>
        <w:t>Battacharya</w:t>
      </w:r>
      <w:proofErr w:type="spellEnd"/>
      <w:r w:rsidR="000C65BE" w:rsidRPr="0068049A">
        <w:rPr>
          <w:rFonts w:asciiTheme="majorHAnsi" w:hAnsiTheme="majorHAnsi" w:cstheme="majorHAnsi"/>
          <w:lang w:val="fr-CA"/>
        </w:rPr>
        <w:t xml:space="preserve"> </w:t>
      </w:r>
      <w:r>
        <w:rPr>
          <w:rFonts w:asciiTheme="majorHAnsi" w:hAnsiTheme="majorHAnsi" w:cstheme="majorHAnsi"/>
          <w:lang w:val="fr-CA"/>
        </w:rPr>
        <w:t xml:space="preserve">se prépare à le contre-interroger étant donné qu’il aurait pu assister à l’audience sans qu’on s’y attende. L’audience sur le fonds a eu lieu, des éléments de preuve </w:t>
      </w:r>
      <w:r w:rsidR="002B7F22">
        <w:rPr>
          <w:rFonts w:asciiTheme="majorHAnsi" w:hAnsiTheme="majorHAnsi" w:cstheme="majorHAnsi"/>
          <w:lang w:val="fr-CA"/>
        </w:rPr>
        <w:t xml:space="preserve">ayant été </w:t>
      </w:r>
      <w:r>
        <w:rPr>
          <w:rFonts w:asciiTheme="majorHAnsi" w:hAnsiTheme="majorHAnsi" w:cstheme="majorHAnsi"/>
          <w:lang w:val="fr-CA"/>
        </w:rPr>
        <w:t xml:space="preserve">déposés par l’avocat chargé de présenter le dossier et un témoin pertinent </w:t>
      </w:r>
      <w:r w:rsidR="002B7F22">
        <w:rPr>
          <w:rFonts w:asciiTheme="majorHAnsi" w:hAnsiTheme="majorHAnsi" w:cstheme="majorHAnsi"/>
          <w:lang w:val="fr-CA"/>
        </w:rPr>
        <w:t xml:space="preserve">ayant été </w:t>
      </w:r>
      <w:r>
        <w:rPr>
          <w:rFonts w:asciiTheme="majorHAnsi" w:hAnsiTheme="majorHAnsi" w:cstheme="majorHAnsi"/>
          <w:lang w:val="fr-CA"/>
        </w:rPr>
        <w:t>appelé par l’avocat du juge de paix. Il n’y a eu aucune motion infondée ou étape procédurale inutile dans l’instance</w:t>
      </w:r>
      <w:r w:rsidR="000C65BE" w:rsidRPr="0068049A">
        <w:rPr>
          <w:rFonts w:asciiTheme="majorHAnsi" w:hAnsiTheme="majorHAnsi" w:cstheme="majorHAnsi"/>
          <w:lang w:val="fr-CA"/>
        </w:rPr>
        <w:t>.</w:t>
      </w:r>
    </w:p>
    <w:p w14:paraId="365D360B" w14:textId="77777777" w:rsidR="0075320B" w:rsidRPr="0068049A" w:rsidRDefault="0075320B" w:rsidP="0075320B">
      <w:pPr>
        <w:pStyle w:val="ListParagraph"/>
        <w:spacing w:after="200" w:line="276" w:lineRule="auto"/>
        <w:ind w:left="567"/>
        <w:jc w:val="both"/>
        <w:rPr>
          <w:rFonts w:asciiTheme="majorHAnsi" w:hAnsiTheme="majorHAnsi" w:cstheme="majorHAnsi"/>
          <w:lang w:val="fr-CA"/>
        </w:rPr>
      </w:pPr>
    </w:p>
    <w:p w14:paraId="58C35DAF" w14:textId="3420A232" w:rsidR="000C65BE" w:rsidRPr="005E3874" w:rsidRDefault="00150981" w:rsidP="0075320B">
      <w:pPr>
        <w:pStyle w:val="ListParagraph"/>
        <w:numPr>
          <w:ilvl w:val="0"/>
          <w:numId w:val="8"/>
        </w:numPr>
        <w:spacing w:after="200" w:line="276" w:lineRule="auto"/>
        <w:ind w:left="567" w:hanging="567"/>
        <w:jc w:val="both"/>
        <w:rPr>
          <w:rFonts w:ascii="Arial" w:hAnsi="Arial" w:cs="Arial"/>
          <w:lang w:val="fr-CA"/>
        </w:rPr>
      </w:pPr>
      <w:r>
        <w:rPr>
          <w:rFonts w:asciiTheme="majorHAnsi" w:hAnsiTheme="majorHAnsi" w:cstheme="majorHAnsi"/>
          <w:lang w:val="fr-CA"/>
        </w:rPr>
        <w:t xml:space="preserve">L’audience, comme toutes les audiences du CEJP, a traité d’une affaire d’importance publique, qui a des conséquences non seulement pour le juge de paix mais aussi pour tout le système de justice. Comme il est mentionné dans l’affaire </w:t>
      </w:r>
      <w:proofErr w:type="spellStart"/>
      <w:r w:rsidR="000C65BE" w:rsidRPr="0068049A">
        <w:rPr>
          <w:rFonts w:asciiTheme="majorHAnsi" w:hAnsiTheme="majorHAnsi" w:cstheme="majorHAnsi"/>
          <w:i/>
          <w:iCs/>
          <w:lang w:val="fr-CA"/>
        </w:rPr>
        <w:t>Massiah</w:t>
      </w:r>
      <w:proofErr w:type="spellEnd"/>
      <w:r w:rsidR="000C65BE" w:rsidRPr="0068049A">
        <w:rPr>
          <w:rFonts w:asciiTheme="majorHAnsi" w:hAnsiTheme="majorHAnsi" w:cstheme="majorHAnsi"/>
          <w:lang w:val="fr-CA"/>
        </w:rPr>
        <w:t>, a</w:t>
      </w:r>
      <w:r w:rsidR="002B7F22">
        <w:rPr>
          <w:rFonts w:asciiTheme="majorHAnsi" w:hAnsiTheme="majorHAnsi" w:cstheme="majorHAnsi"/>
          <w:lang w:val="fr-CA"/>
        </w:rPr>
        <w:t>u</w:t>
      </w:r>
      <w:r w:rsidR="000C65BE" w:rsidRPr="0068049A">
        <w:rPr>
          <w:rFonts w:asciiTheme="majorHAnsi" w:hAnsiTheme="majorHAnsi" w:cstheme="majorHAnsi"/>
          <w:lang w:val="fr-CA"/>
        </w:rPr>
        <w:t xml:space="preserve"> para</w:t>
      </w:r>
      <w:r>
        <w:rPr>
          <w:rFonts w:asciiTheme="majorHAnsi" w:hAnsiTheme="majorHAnsi" w:cstheme="majorHAnsi"/>
          <w:lang w:val="fr-CA"/>
        </w:rPr>
        <w:t>.</w:t>
      </w:r>
      <w:r w:rsidR="000C65BE" w:rsidRPr="0068049A">
        <w:rPr>
          <w:rFonts w:asciiTheme="majorHAnsi" w:hAnsiTheme="majorHAnsi" w:cstheme="majorHAnsi"/>
          <w:lang w:val="fr-CA"/>
        </w:rPr>
        <w:t xml:space="preserve"> 50</w:t>
      </w:r>
      <w:r>
        <w:rPr>
          <w:rFonts w:asciiTheme="majorHAnsi" w:hAnsiTheme="majorHAnsi" w:cstheme="majorHAnsi"/>
          <w:lang w:val="fr-CA"/>
        </w:rPr>
        <w:t xml:space="preserve"> </w:t>
      </w:r>
      <w:r w:rsidR="000C65BE" w:rsidRPr="0068049A">
        <w:rPr>
          <w:rFonts w:asciiTheme="majorHAnsi" w:hAnsiTheme="majorHAnsi" w:cstheme="majorHAnsi"/>
          <w:lang w:val="fr-CA"/>
        </w:rPr>
        <w:t>:</w:t>
      </w:r>
      <w:r>
        <w:rPr>
          <w:rFonts w:asciiTheme="majorHAnsi" w:hAnsiTheme="majorHAnsi" w:cstheme="majorHAnsi"/>
          <w:lang w:val="fr-CA"/>
        </w:rPr>
        <w:t xml:space="preserve"> « L’objectif principal du processus </w:t>
      </w:r>
      <w:r w:rsidRPr="005E3874">
        <w:rPr>
          <w:rFonts w:ascii="Arial" w:hAnsi="Arial" w:cs="Arial"/>
          <w:lang w:val="fr-CA"/>
        </w:rPr>
        <w:t>de plainte est de restaurer la confiance du public dans l’intégrité de la magistrature … »</w:t>
      </w:r>
      <w:r w:rsidR="000C65BE" w:rsidRPr="005E3874">
        <w:rPr>
          <w:rFonts w:ascii="Arial" w:hAnsi="Arial" w:cs="Arial"/>
          <w:lang w:val="fr-CA"/>
        </w:rPr>
        <w:t xml:space="preserve">. </w:t>
      </w:r>
      <w:r w:rsidR="005E3874" w:rsidRPr="005E3874">
        <w:rPr>
          <w:rFonts w:ascii="Arial" w:hAnsi="Arial" w:cs="Arial"/>
          <w:lang w:val="fr-CA"/>
        </w:rPr>
        <w:t>[Traduction]</w:t>
      </w:r>
    </w:p>
    <w:p w14:paraId="5B747BFD" w14:textId="3ADD599B" w:rsidR="000C65BE" w:rsidRPr="0068049A" w:rsidRDefault="000C65BE" w:rsidP="0075320B">
      <w:pPr>
        <w:pStyle w:val="NUMBEREDParagraph"/>
        <w:jc w:val="both"/>
        <w:rPr>
          <w:lang w:val="fr-CA"/>
        </w:rPr>
      </w:pPr>
      <w:r w:rsidRPr="0068049A">
        <w:rPr>
          <w:lang w:val="fr-CA"/>
        </w:rPr>
        <w:t>Conclusion</w:t>
      </w:r>
    </w:p>
    <w:p w14:paraId="54870916" w14:textId="77777777" w:rsidR="000C65BE" w:rsidRPr="0068049A" w:rsidRDefault="000C65BE" w:rsidP="0075320B">
      <w:pPr>
        <w:pStyle w:val="ListParagraph"/>
        <w:spacing w:after="200" w:line="276" w:lineRule="auto"/>
        <w:ind w:left="567"/>
        <w:jc w:val="both"/>
        <w:rPr>
          <w:rFonts w:asciiTheme="majorHAnsi" w:hAnsiTheme="majorHAnsi" w:cstheme="majorHAnsi"/>
          <w:lang w:val="fr-CA"/>
        </w:rPr>
      </w:pPr>
    </w:p>
    <w:p w14:paraId="1A34242C" w14:textId="6CA604CB" w:rsidR="0075320B" w:rsidRPr="00B958F0" w:rsidRDefault="005E3874" w:rsidP="0075320B">
      <w:pPr>
        <w:pStyle w:val="ListParagraph"/>
        <w:numPr>
          <w:ilvl w:val="0"/>
          <w:numId w:val="8"/>
        </w:numPr>
        <w:spacing w:after="200" w:line="276" w:lineRule="auto"/>
        <w:ind w:left="567" w:hanging="567"/>
        <w:jc w:val="both"/>
        <w:rPr>
          <w:rFonts w:ascii="Arial" w:hAnsi="Arial" w:cs="Arial"/>
          <w:lang w:val="fr-CA"/>
        </w:rPr>
      </w:pPr>
      <w:r w:rsidRPr="00B958F0">
        <w:rPr>
          <w:rFonts w:ascii="Arial" w:hAnsi="Arial" w:cs="Arial"/>
          <w:lang w:val="fr-CA"/>
        </w:rPr>
        <w:t xml:space="preserve">En l’espèce, nous sommes d’accord que nous devrions </w:t>
      </w:r>
      <w:r w:rsidR="00B958F0" w:rsidRPr="00B958F0">
        <w:rPr>
          <w:rFonts w:ascii="Arial" w:hAnsi="Arial" w:cs="Arial"/>
          <w:lang w:val="fr-CA"/>
        </w:rPr>
        <w:t>recommander que le juge de paix soit indemnisé des frais pour services juridiques qu’il a engagés relativement à l’audience</w:t>
      </w:r>
      <w:r w:rsidR="000C65BE" w:rsidRPr="00B958F0">
        <w:rPr>
          <w:rFonts w:ascii="Arial" w:hAnsi="Arial" w:cs="Arial"/>
          <w:lang w:val="fr-CA"/>
        </w:rPr>
        <w:t>.</w:t>
      </w:r>
    </w:p>
    <w:p w14:paraId="1FFF43AA" w14:textId="1969B6E5" w:rsidR="000C65BE" w:rsidRPr="0068049A" w:rsidRDefault="000C65BE" w:rsidP="0075320B">
      <w:pPr>
        <w:pStyle w:val="ListParagraph"/>
        <w:spacing w:after="200" w:line="276" w:lineRule="auto"/>
        <w:ind w:left="567"/>
        <w:jc w:val="both"/>
        <w:rPr>
          <w:rFonts w:asciiTheme="majorHAnsi" w:hAnsiTheme="majorHAnsi" w:cstheme="majorHAnsi"/>
          <w:lang w:val="fr-CA"/>
        </w:rPr>
      </w:pPr>
    </w:p>
    <w:p w14:paraId="74BEE75C" w14:textId="62FB233E" w:rsidR="000C65BE" w:rsidRPr="0068049A" w:rsidRDefault="00B958F0" w:rsidP="0075320B">
      <w:pPr>
        <w:pStyle w:val="ListParagraph"/>
        <w:numPr>
          <w:ilvl w:val="0"/>
          <w:numId w:val="8"/>
        </w:numPr>
        <w:spacing w:after="200" w:line="276" w:lineRule="auto"/>
        <w:ind w:left="567" w:hanging="567"/>
        <w:jc w:val="both"/>
        <w:rPr>
          <w:rFonts w:asciiTheme="majorHAnsi" w:hAnsiTheme="majorHAnsi" w:cstheme="majorHAnsi"/>
          <w:lang w:val="fr-CA"/>
        </w:rPr>
      </w:pPr>
      <w:r>
        <w:rPr>
          <w:rFonts w:asciiTheme="majorHAnsi" w:hAnsiTheme="majorHAnsi" w:cstheme="majorHAnsi"/>
          <w:lang w:val="fr-CA"/>
        </w:rPr>
        <w:t xml:space="preserve">Nous avons soigneusement examiné </w:t>
      </w:r>
      <w:r w:rsidR="002B7F22">
        <w:rPr>
          <w:rFonts w:asciiTheme="majorHAnsi" w:hAnsiTheme="majorHAnsi" w:cstheme="majorHAnsi"/>
          <w:lang w:val="fr-CA"/>
        </w:rPr>
        <w:t>la note</w:t>
      </w:r>
      <w:r>
        <w:rPr>
          <w:rFonts w:asciiTheme="majorHAnsi" w:hAnsiTheme="majorHAnsi" w:cstheme="majorHAnsi"/>
          <w:lang w:val="fr-CA"/>
        </w:rPr>
        <w:t xml:space="preserve"> de frais juridiques présenté</w:t>
      </w:r>
      <w:r w:rsidR="00711675">
        <w:rPr>
          <w:rFonts w:asciiTheme="majorHAnsi" w:hAnsiTheme="majorHAnsi" w:cstheme="majorHAnsi"/>
          <w:lang w:val="fr-CA"/>
        </w:rPr>
        <w:t>e</w:t>
      </w:r>
      <w:r>
        <w:rPr>
          <w:rFonts w:asciiTheme="majorHAnsi" w:hAnsiTheme="majorHAnsi" w:cstheme="majorHAnsi"/>
          <w:lang w:val="fr-CA"/>
        </w:rPr>
        <w:t xml:space="preserve"> par le juge de paix. </w:t>
      </w:r>
      <w:r w:rsidR="002B7F22">
        <w:rPr>
          <w:rFonts w:asciiTheme="majorHAnsi" w:hAnsiTheme="majorHAnsi" w:cstheme="majorHAnsi"/>
          <w:lang w:val="fr-CA"/>
        </w:rPr>
        <w:t>Elle</w:t>
      </w:r>
      <w:r>
        <w:rPr>
          <w:rFonts w:asciiTheme="majorHAnsi" w:hAnsiTheme="majorHAnsi" w:cstheme="majorHAnsi"/>
          <w:lang w:val="fr-CA"/>
        </w:rPr>
        <w:t xml:space="preserve"> semble raisonnable à la lumière de la complexité du travail effectué et nous ne trouvons aucune preuve de frais superflus</w:t>
      </w:r>
      <w:r w:rsidR="000C65BE" w:rsidRPr="0068049A">
        <w:rPr>
          <w:rFonts w:asciiTheme="majorHAnsi" w:hAnsiTheme="majorHAnsi" w:cstheme="majorHAnsi"/>
          <w:lang w:val="fr-CA"/>
        </w:rPr>
        <w:t xml:space="preserve">.   </w:t>
      </w:r>
    </w:p>
    <w:p w14:paraId="2E595420" w14:textId="77777777" w:rsidR="000C65BE" w:rsidRPr="0068049A" w:rsidRDefault="000C65BE" w:rsidP="0075320B">
      <w:pPr>
        <w:pStyle w:val="ListParagraph"/>
        <w:spacing w:after="200" w:line="276" w:lineRule="auto"/>
        <w:ind w:left="567"/>
        <w:jc w:val="both"/>
        <w:rPr>
          <w:rFonts w:asciiTheme="majorHAnsi" w:hAnsiTheme="majorHAnsi" w:cstheme="majorHAnsi"/>
          <w:lang w:val="fr-CA"/>
        </w:rPr>
      </w:pPr>
    </w:p>
    <w:p w14:paraId="546E1E40" w14:textId="49243518" w:rsidR="000C65BE" w:rsidRPr="0068049A" w:rsidRDefault="00B958F0" w:rsidP="0075320B">
      <w:pPr>
        <w:pStyle w:val="ListParagraph"/>
        <w:numPr>
          <w:ilvl w:val="0"/>
          <w:numId w:val="8"/>
        </w:numPr>
        <w:spacing w:line="276" w:lineRule="auto"/>
        <w:ind w:left="567" w:hanging="567"/>
        <w:jc w:val="both"/>
        <w:rPr>
          <w:rFonts w:asciiTheme="majorHAnsi" w:hAnsiTheme="majorHAnsi" w:cstheme="majorHAnsi"/>
          <w:lang w:val="fr-CA"/>
        </w:rPr>
      </w:pPr>
      <w:r>
        <w:rPr>
          <w:rFonts w:asciiTheme="majorHAnsi" w:hAnsiTheme="majorHAnsi" w:cstheme="majorHAnsi"/>
          <w:lang w:val="fr-CA"/>
        </w:rPr>
        <w:t xml:space="preserve">Voici un résumé des frais engagés par le juge de paix, aux taux d’honoraires d’avocats approuvés de </w:t>
      </w:r>
      <w:r w:rsidR="000C65BE" w:rsidRPr="0068049A">
        <w:rPr>
          <w:rFonts w:asciiTheme="majorHAnsi" w:hAnsiTheme="majorHAnsi" w:cstheme="majorHAnsi"/>
          <w:lang w:val="fr-CA"/>
        </w:rPr>
        <w:t>450</w:t>
      </w:r>
      <w:r>
        <w:rPr>
          <w:rFonts w:asciiTheme="majorHAnsi" w:hAnsiTheme="majorHAnsi" w:cstheme="majorHAnsi"/>
          <w:lang w:val="fr-CA"/>
        </w:rPr>
        <w:t xml:space="preserve"> $</w:t>
      </w:r>
      <w:r w:rsidR="000C65BE" w:rsidRPr="0068049A">
        <w:rPr>
          <w:rFonts w:asciiTheme="majorHAnsi" w:hAnsiTheme="majorHAnsi" w:cstheme="majorHAnsi"/>
          <w:lang w:val="fr-CA"/>
        </w:rPr>
        <w:t>/</w:t>
      </w:r>
      <w:r>
        <w:rPr>
          <w:rFonts w:asciiTheme="majorHAnsi" w:hAnsiTheme="majorHAnsi" w:cstheme="majorHAnsi"/>
          <w:lang w:val="fr-CA"/>
        </w:rPr>
        <w:t xml:space="preserve">l’heure et de </w:t>
      </w:r>
      <w:r w:rsidR="000C65BE" w:rsidRPr="0068049A">
        <w:rPr>
          <w:rFonts w:asciiTheme="majorHAnsi" w:hAnsiTheme="majorHAnsi" w:cstheme="majorHAnsi"/>
          <w:lang w:val="fr-CA"/>
        </w:rPr>
        <w:t>175</w:t>
      </w:r>
      <w:r>
        <w:rPr>
          <w:rFonts w:asciiTheme="majorHAnsi" w:hAnsiTheme="majorHAnsi" w:cstheme="majorHAnsi"/>
          <w:lang w:val="fr-CA"/>
        </w:rPr>
        <w:t xml:space="preserve"> $</w:t>
      </w:r>
      <w:r w:rsidR="000C65BE" w:rsidRPr="0068049A">
        <w:rPr>
          <w:rFonts w:asciiTheme="majorHAnsi" w:hAnsiTheme="majorHAnsi" w:cstheme="majorHAnsi"/>
          <w:lang w:val="fr-CA"/>
        </w:rPr>
        <w:t>/</w:t>
      </w:r>
      <w:r>
        <w:rPr>
          <w:rFonts w:asciiTheme="majorHAnsi" w:hAnsiTheme="majorHAnsi" w:cstheme="majorHAnsi"/>
          <w:lang w:val="fr-CA"/>
        </w:rPr>
        <w:t xml:space="preserve">l’heure </w:t>
      </w:r>
      <w:r w:rsidR="000C65BE" w:rsidRPr="0068049A">
        <w:rPr>
          <w:rFonts w:asciiTheme="majorHAnsi" w:hAnsiTheme="majorHAnsi" w:cstheme="majorHAnsi"/>
          <w:lang w:val="fr-CA"/>
        </w:rPr>
        <w:t xml:space="preserve">:  </w:t>
      </w:r>
    </w:p>
    <w:p w14:paraId="11F24DEE" w14:textId="77777777" w:rsidR="00DB3521" w:rsidRPr="0068049A" w:rsidRDefault="00DB3521" w:rsidP="00872CFD">
      <w:pPr>
        <w:spacing w:line="276" w:lineRule="auto"/>
        <w:ind w:left="1440"/>
        <w:rPr>
          <w:rFonts w:asciiTheme="majorHAnsi" w:hAnsiTheme="majorHAnsi" w:cstheme="majorHAnsi"/>
          <w:sz w:val="22"/>
          <w:szCs w:val="22"/>
          <w:u w:val="thick"/>
          <w:lang w:val="fr-CA"/>
        </w:rPr>
      </w:pPr>
    </w:p>
    <w:p w14:paraId="1985760F" w14:textId="7B3E56F0" w:rsidR="00D45623" w:rsidRPr="0068049A" w:rsidRDefault="00B958F0" w:rsidP="006949A9">
      <w:pPr>
        <w:spacing w:line="276" w:lineRule="auto"/>
        <w:ind w:left="1440"/>
        <w:rPr>
          <w:rFonts w:asciiTheme="majorHAnsi" w:hAnsiTheme="majorHAnsi" w:cstheme="majorHAnsi"/>
          <w:sz w:val="22"/>
          <w:szCs w:val="22"/>
          <w:lang w:val="fr-CA"/>
        </w:rPr>
      </w:pPr>
      <w:r>
        <w:rPr>
          <w:rFonts w:asciiTheme="majorHAnsi" w:hAnsiTheme="majorHAnsi" w:cstheme="majorHAnsi"/>
          <w:sz w:val="22"/>
          <w:szCs w:val="22"/>
          <w:u w:val="thick"/>
          <w:lang w:val="fr-CA"/>
        </w:rPr>
        <w:t>Avocats</w:t>
      </w:r>
      <w:r w:rsidR="000C65BE" w:rsidRPr="0068049A">
        <w:rPr>
          <w:rFonts w:asciiTheme="majorHAnsi" w:hAnsiTheme="majorHAnsi" w:cstheme="majorHAnsi"/>
          <w:sz w:val="22"/>
          <w:szCs w:val="22"/>
          <w:lang w:val="fr-CA"/>
        </w:rPr>
        <w:tab/>
      </w:r>
      <w:r w:rsidR="000C65BE" w:rsidRPr="0068049A">
        <w:rPr>
          <w:rFonts w:asciiTheme="majorHAnsi" w:hAnsiTheme="majorHAnsi" w:cstheme="majorHAnsi"/>
          <w:sz w:val="22"/>
          <w:szCs w:val="22"/>
          <w:lang w:val="fr-CA"/>
        </w:rPr>
        <w:tab/>
      </w:r>
      <w:r w:rsidR="000C65BE" w:rsidRPr="0068049A">
        <w:rPr>
          <w:rFonts w:asciiTheme="majorHAnsi" w:hAnsiTheme="majorHAnsi" w:cstheme="majorHAnsi"/>
          <w:sz w:val="22"/>
          <w:szCs w:val="22"/>
          <w:lang w:val="fr-CA"/>
        </w:rPr>
        <w:tab/>
      </w:r>
      <w:r w:rsidR="000C65BE" w:rsidRPr="0068049A">
        <w:rPr>
          <w:rFonts w:asciiTheme="majorHAnsi" w:hAnsiTheme="majorHAnsi" w:cstheme="majorHAnsi"/>
          <w:sz w:val="22"/>
          <w:szCs w:val="22"/>
          <w:u w:val="thick"/>
          <w:lang w:val="fr-CA"/>
        </w:rPr>
        <w:t>H</w:t>
      </w:r>
      <w:r>
        <w:rPr>
          <w:rFonts w:asciiTheme="majorHAnsi" w:hAnsiTheme="majorHAnsi" w:cstheme="majorHAnsi"/>
          <w:sz w:val="22"/>
          <w:szCs w:val="22"/>
          <w:u w:val="thick"/>
          <w:lang w:val="fr-CA"/>
        </w:rPr>
        <w:t>eures facturées</w:t>
      </w:r>
      <w:r w:rsidR="000C65BE" w:rsidRPr="0068049A">
        <w:rPr>
          <w:rFonts w:asciiTheme="majorHAnsi" w:hAnsiTheme="majorHAnsi" w:cstheme="majorHAnsi"/>
          <w:sz w:val="22"/>
          <w:szCs w:val="22"/>
          <w:lang w:val="fr-CA"/>
        </w:rPr>
        <w:tab/>
      </w:r>
      <w:r>
        <w:rPr>
          <w:rFonts w:asciiTheme="majorHAnsi" w:hAnsiTheme="majorHAnsi" w:cstheme="majorHAnsi"/>
          <w:sz w:val="22"/>
          <w:szCs w:val="22"/>
          <w:u w:val="thick"/>
          <w:lang w:val="fr-CA"/>
        </w:rPr>
        <w:t>Taux maximal</w:t>
      </w:r>
      <w:r w:rsidR="000C65BE" w:rsidRPr="0068049A">
        <w:rPr>
          <w:rFonts w:asciiTheme="majorHAnsi" w:hAnsiTheme="majorHAnsi" w:cstheme="majorHAnsi"/>
          <w:sz w:val="22"/>
          <w:szCs w:val="22"/>
          <w:lang w:val="fr-CA"/>
        </w:rPr>
        <w:tab/>
      </w:r>
      <w:r w:rsidR="000C65BE" w:rsidRPr="0068049A">
        <w:rPr>
          <w:rFonts w:asciiTheme="majorHAnsi" w:hAnsiTheme="majorHAnsi" w:cstheme="majorHAnsi"/>
          <w:sz w:val="22"/>
          <w:szCs w:val="22"/>
          <w:lang w:val="fr-CA"/>
        </w:rPr>
        <w:tab/>
      </w:r>
      <w:r w:rsidR="000C65BE" w:rsidRPr="0068049A">
        <w:rPr>
          <w:rFonts w:asciiTheme="majorHAnsi" w:hAnsiTheme="majorHAnsi" w:cstheme="majorHAnsi"/>
          <w:sz w:val="22"/>
          <w:szCs w:val="22"/>
          <w:u w:val="thick"/>
          <w:lang w:val="fr-CA"/>
        </w:rPr>
        <w:t>Total</w:t>
      </w:r>
    </w:p>
    <w:p w14:paraId="0ADA4A6C" w14:textId="78F8DA43" w:rsidR="000C65BE" w:rsidRPr="0068049A" w:rsidRDefault="000C65BE" w:rsidP="000C65BE">
      <w:pPr>
        <w:spacing w:line="276" w:lineRule="auto"/>
        <w:ind w:left="1440"/>
        <w:rPr>
          <w:rFonts w:asciiTheme="majorHAnsi" w:hAnsiTheme="majorHAnsi" w:cstheme="majorHAnsi"/>
          <w:sz w:val="22"/>
          <w:szCs w:val="22"/>
          <w:lang w:val="fr-CA"/>
        </w:rPr>
      </w:pPr>
      <w:r w:rsidRPr="0068049A">
        <w:rPr>
          <w:rFonts w:asciiTheme="majorHAnsi" w:hAnsiTheme="majorHAnsi" w:cstheme="majorHAnsi"/>
          <w:sz w:val="22"/>
          <w:szCs w:val="22"/>
          <w:lang w:val="fr-CA"/>
        </w:rPr>
        <w:t xml:space="preserve">Eugene </w:t>
      </w:r>
      <w:proofErr w:type="spellStart"/>
      <w:r w:rsidRPr="0068049A">
        <w:rPr>
          <w:rFonts w:asciiTheme="majorHAnsi" w:hAnsiTheme="majorHAnsi" w:cstheme="majorHAnsi"/>
          <w:sz w:val="22"/>
          <w:szCs w:val="22"/>
          <w:lang w:val="fr-CA"/>
        </w:rPr>
        <w:t>Bhattacharya</w:t>
      </w:r>
      <w:proofErr w:type="spellEnd"/>
      <w:r w:rsidRPr="0068049A">
        <w:rPr>
          <w:rFonts w:asciiTheme="majorHAnsi" w:hAnsiTheme="majorHAnsi" w:cstheme="majorHAnsi"/>
          <w:sz w:val="22"/>
          <w:szCs w:val="22"/>
          <w:lang w:val="fr-CA"/>
        </w:rPr>
        <w:tab/>
      </w:r>
      <w:r w:rsidRPr="0068049A">
        <w:rPr>
          <w:rFonts w:asciiTheme="majorHAnsi" w:hAnsiTheme="majorHAnsi" w:cstheme="majorHAnsi"/>
          <w:sz w:val="22"/>
          <w:szCs w:val="22"/>
          <w:lang w:val="fr-CA"/>
        </w:rPr>
        <w:tab/>
        <w:t>32</w:t>
      </w:r>
      <w:r w:rsidR="00B958F0">
        <w:rPr>
          <w:rFonts w:asciiTheme="majorHAnsi" w:hAnsiTheme="majorHAnsi" w:cstheme="majorHAnsi"/>
          <w:sz w:val="22"/>
          <w:szCs w:val="22"/>
          <w:lang w:val="fr-CA"/>
        </w:rPr>
        <w:t>,</w:t>
      </w:r>
      <w:r w:rsidRPr="0068049A">
        <w:rPr>
          <w:rFonts w:asciiTheme="majorHAnsi" w:hAnsiTheme="majorHAnsi" w:cstheme="majorHAnsi"/>
          <w:sz w:val="22"/>
          <w:szCs w:val="22"/>
          <w:lang w:val="fr-CA"/>
        </w:rPr>
        <w:t>6</w:t>
      </w:r>
      <w:r w:rsidRPr="0068049A">
        <w:rPr>
          <w:rFonts w:asciiTheme="majorHAnsi" w:hAnsiTheme="majorHAnsi" w:cstheme="majorHAnsi"/>
          <w:sz w:val="22"/>
          <w:szCs w:val="22"/>
          <w:lang w:val="fr-CA"/>
        </w:rPr>
        <w:tab/>
        <w:t xml:space="preserve"> </w:t>
      </w:r>
      <w:r w:rsidRPr="0068049A">
        <w:rPr>
          <w:rFonts w:asciiTheme="majorHAnsi" w:hAnsiTheme="majorHAnsi" w:cstheme="majorHAnsi"/>
          <w:sz w:val="22"/>
          <w:szCs w:val="22"/>
          <w:lang w:val="fr-CA"/>
        </w:rPr>
        <w:tab/>
      </w:r>
      <w:r w:rsidR="002B7F22">
        <w:rPr>
          <w:rFonts w:asciiTheme="majorHAnsi" w:hAnsiTheme="majorHAnsi" w:cstheme="majorHAnsi"/>
          <w:sz w:val="22"/>
          <w:szCs w:val="22"/>
          <w:lang w:val="fr-CA"/>
        </w:rPr>
        <w:tab/>
      </w:r>
      <w:r w:rsidR="00B958F0">
        <w:rPr>
          <w:rFonts w:asciiTheme="majorHAnsi" w:hAnsiTheme="majorHAnsi" w:cstheme="majorHAnsi"/>
          <w:sz w:val="22"/>
          <w:szCs w:val="22"/>
          <w:lang w:val="fr-CA"/>
        </w:rPr>
        <w:t xml:space="preserve">jusqu’à </w:t>
      </w:r>
      <w:r w:rsidRPr="0068049A">
        <w:rPr>
          <w:rFonts w:asciiTheme="majorHAnsi" w:hAnsiTheme="majorHAnsi" w:cstheme="majorHAnsi"/>
          <w:sz w:val="22"/>
          <w:szCs w:val="22"/>
          <w:lang w:val="fr-CA"/>
        </w:rPr>
        <w:t>450</w:t>
      </w:r>
      <w:r w:rsidR="00B958F0">
        <w:rPr>
          <w:rFonts w:asciiTheme="majorHAnsi" w:hAnsiTheme="majorHAnsi" w:cstheme="majorHAnsi"/>
          <w:sz w:val="22"/>
          <w:szCs w:val="22"/>
          <w:lang w:val="fr-CA"/>
        </w:rPr>
        <w:t xml:space="preserve"> $</w:t>
      </w:r>
      <w:r w:rsidRPr="0068049A">
        <w:rPr>
          <w:rFonts w:asciiTheme="majorHAnsi" w:hAnsiTheme="majorHAnsi" w:cstheme="majorHAnsi"/>
          <w:sz w:val="22"/>
          <w:szCs w:val="22"/>
          <w:lang w:val="fr-CA"/>
        </w:rPr>
        <w:tab/>
        <w:t>14</w:t>
      </w:r>
      <w:r w:rsidR="00B958F0">
        <w:rPr>
          <w:rFonts w:asciiTheme="majorHAnsi" w:hAnsiTheme="majorHAnsi" w:cstheme="majorHAnsi"/>
          <w:sz w:val="22"/>
          <w:szCs w:val="22"/>
          <w:lang w:val="fr-CA"/>
        </w:rPr>
        <w:t xml:space="preserve"> </w:t>
      </w:r>
      <w:r w:rsidRPr="0068049A">
        <w:rPr>
          <w:rFonts w:asciiTheme="majorHAnsi" w:hAnsiTheme="majorHAnsi" w:cstheme="majorHAnsi"/>
          <w:sz w:val="22"/>
          <w:szCs w:val="22"/>
          <w:lang w:val="fr-CA"/>
        </w:rPr>
        <w:t>670</w:t>
      </w:r>
      <w:r w:rsidR="00B958F0">
        <w:rPr>
          <w:rFonts w:asciiTheme="majorHAnsi" w:hAnsiTheme="majorHAnsi" w:cstheme="majorHAnsi"/>
          <w:sz w:val="22"/>
          <w:szCs w:val="22"/>
          <w:lang w:val="fr-CA"/>
        </w:rPr>
        <w:t>,</w:t>
      </w:r>
      <w:r w:rsidRPr="0068049A">
        <w:rPr>
          <w:rFonts w:asciiTheme="majorHAnsi" w:hAnsiTheme="majorHAnsi" w:cstheme="majorHAnsi"/>
          <w:sz w:val="22"/>
          <w:szCs w:val="22"/>
          <w:lang w:val="fr-CA"/>
        </w:rPr>
        <w:t>00</w:t>
      </w:r>
      <w:r w:rsidR="00B958F0">
        <w:rPr>
          <w:rFonts w:asciiTheme="majorHAnsi" w:hAnsiTheme="majorHAnsi" w:cstheme="majorHAnsi"/>
          <w:sz w:val="22"/>
          <w:szCs w:val="22"/>
          <w:lang w:val="fr-CA"/>
        </w:rPr>
        <w:t xml:space="preserve"> </w:t>
      </w:r>
      <w:r w:rsidR="00B958F0" w:rsidRPr="0068049A">
        <w:rPr>
          <w:rFonts w:asciiTheme="majorHAnsi" w:hAnsiTheme="majorHAnsi" w:cstheme="majorHAnsi"/>
          <w:sz w:val="22"/>
          <w:szCs w:val="22"/>
          <w:lang w:val="fr-CA"/>
        </w:rPr>
        <w:t>$</w:t>
      </w:r>
    </w:p>
    <w:p w14:paraId="7365B4F9" w14:textId="34B3DBE3" w:rsidR="000C65BE" w:rsidRPr="0068049A" w:rsidRDefault="000C65BE" w:rsidP="000C65BE">
      <w:pPr>
        <w:spacing w:line="276" w:lineRule="auto"/>
        <w:ind w:left="1440"/>
        <w:rPr>
          <w:rFonts w:asciiTheme="majorHAnsi" w:hAnsiTheme="majorHAnsi" w:cstheme="majorHAnsi"/>
          <w:sz w:val="22"/>
          <w:szCs w:val="22"/>
          <w:lang w:val="fr-CA"/>
        </w:rPr>
      </w:pPr>
      <w:r w:rsidRPr="0068049A">
        <w:rPr>
          <w:rFonts w:asciiTheme="majorHAnsi" w:hAnsiTheme="majorHAnsi" w:cstheme="majorHAnsi"/>
          <w:sz w:val="22"/>
          <w:szCs w:val="22"/>
          <w:lang w:val="fr-CA"/>
        </w:rPr>
        <w:t>Mary Waters Rodriguez</w:t>
      </w:r>
      <w:r w:rsidRPr="0068049A">
        <w:rPr>
          <w:rFonts w:asciiTheme="majorHAnsi" w:hAnsiTheme="majorHAnsi" w:cstheme="majorHAnsi"/>
          <w:sz w:val="22"/>
          <w:szCs w:val="22"/>
          <w:lang w:val="fr-CA"/>
        </w:rPr>
        <w:tab/>
        <w:t>28</w:t>
      </w:r>
      <w:r w:rsidR="00B958F0">
        <w:rPr>
          <w:rFonts w:asciiTheme="majorHAnsi" w:hAnsiTheme="majorHAnsi" w:cstheme="majorHAnsi"/>
          <w:sz w:val="22"/>
          <w:szCs w:val="22"/>
          <w:lang w:val="fr-CA"/>
        </w:rPr>
        <w:t>,</w:t>
      </w:r>
      <w:r w:rsidRPr="0068049A">
        <w:rPr>
          <w:rFonts w:asciiTheme="majorHAnsi" w:hAnsiTheme="majorHAnsi" w:cstheme="majorHAnsi"/>
          <w:sz w:val="22"/>
          <w:szCs w:val="22"/>
          <w:lang w:val="fr-CA"/>
        </w:rPr>
        <w:t>1</w:t>
      </w:r>
      <w:r w:rsidRPr="0068049A">
        <w:rPr>
          <w:rFonts w:asciiTheme="majorHAnsi" w:hAnsiTheme="majorHAnsi" w:cstheme="majorHAnsi"/>
          <w:sz w:val="22"/>
          <w:szCs w:val="22"/>
          <w:lang w:val="fr-CA"/>
        </w:rPr>
        <w:tab/>
      </w:r>
      <w:r w:rsidRPr="0068049A">
        <w:rPr>
          <w:rFonts w:asciiTheme="majorHAnsi" w:hAnsiTheme="majorHAnsi" w:cstheme="majorHAnsi"/>
          <w:sz w:val="22"/>
          <w:szCs w:val="22"/>
          <w:lang w:val="fr-CA"/>
        </w:rPr>
        <w:tab/>
      </w:r>
      <w:r w:rsidR="002B7F22">
        <w:rPr>
          <w:rFonts w:asciiTheme="majorHAnsi" w:hAnsiTheme="majorHAnsi" w:cstheme="majorHAnsi"/>
          <w:sz w:val="22"/>
          <w:szCs w:val="22"/>
          <w:lang w:val="fr-CA"/>
        </w:rPr>
        <w:tab/>
      </w:r>
      <w:r w:rsidR="00B958F0">
        <w:rPr>
          <w:rFonts w:asciiTheme="majorHAnsi" w:hAnsiTheme="majorHAnsi" w:cstheme="majorHAnsi"/>
          <w:sz w:val="22"/>
          <w:szCs w:val="22"/>
          <w:lang w:val="fr-CA"/>
        </w:rPr>
        <w:t xml:space="preserve">jusqu’à </w:t>
      </w:r>
      <w:r w:rsidRPr="0068049A">
        <w:rPr>
          <w:rFonts w:asciiTheme="majorHAnsi" w:hAnsiTheme="majorHAnsi" w:cstheme="majorHAnsi"/>
          <w:sz w:val="22"/>
          <w:szCs w:val="22"/>
          <w:lang w:val="fr-CA"/>
        </w:rPr>
        <w:t>175</w:t>
      </w:r>
      <w:r w:rsidR="00B958F0">
        <w:rPr>
          <w:rFonts w:asciiTheme="majorHAnsi" w:hAnsiTheme="majorHAnsi" w:cstheme="majorHAnsi"/>
          <w:sz w:val="22"/>
          <w:szCs w:val="22"/>
          <w:lang w:val="fr-CA"/>
        </w:rPr>
        <w:t xml:space="preserve"> $</w:t>
      </w:r>
      <w:proofErr w:type="gramStart"/>
      <w:r w:rsidRPr="0068049A">
        <w:rPr>
          <w:rFonts w:asciiTheme="majorHAnsi" w:hAnsiTheme="majorHAnsi" w:cstheme="majorHAnsi"/>
          <w:sz w:val="22"/>
          <w:szCs w:val="22"/>
          <w:lang w:val="fr-CA"/>
        </w:rPr>
        <w:tab/>
        <w:t xml:space="preserve">  4</w:t>
      </w:r>
      <w:proofErr w:type="gramEnd"/>
      <w:r w:rsidR="00B958F0">
        <w:rPr>
          <w:rFonts w:asciiTheme="majorHAnsi" w:hAnsiTheme="majorHAnsi" w:cstheme="majorHAnsi"/>
          <w:sz w:val="22"/>
          <w:szCs w:val="22"/>
          <w:lang w:val="fr-CA"/>
        </w:rPr>
        <w:t xml:space="preserve"> </w:t>
      </w:r>
      <w:r w:rsidRPr="0068049A">
        <w:rPr>
          <w:rFonts w:asciiTheme="majorHAnsi" w:hAnsiTheme="majorHAnsi" w:cstheme="majorHAnsi"/>
          <w:sz w:val="22"/>
          <w:szCs w:val="22"/>
          <w:lang w:val="fr-CA"/>
        </w:rPr>
        <w:t>917</w:t>
      </w:r>
      <w:r w:rsidR="00B958F0">
        <w:rPr>
          <w:rFonts w:asciiTheme="majorHAnsi" w:hAnsiTheme="majorHAnsi" w:cstheme="majorHAnsi"/>
          <w:sz w:val="22"/>
          <w:szCs w:val="22"/>
          <w:lang w:val="fr-CA"/>
        </w:rPr>
        <w:t>,</w:t>
      </w:r>
      <w:r w:rsidRPr="0068049A">
        <w:rPr>
          <w:rFonts w:asciiTheme="majorHAnsi" w:hAnsiTheme="majorHAnsi" w:cstheme="majorHAnsi"/>
          <w:sz w:val="22"/>
          <w:szCs w:val="22"/>
          <w:lang w:val="fr-CA"/>
        </w:rPr>
        <w:t>50</w:t>
      </w:r>
      <w:r w:rsidR="00B958F0">
        <w:rPr>
          <w:rFonts w:asciiTheme="majorHAnsi" w:hAnsiTheme="majorHAnsi" w:cstheme="majorHAnsi"/>
          <w:sz w:val="22"/>
          <w:szCs w:val="22"/>
          <w:lang w:val="fr-CA"/>
        </w:rPr>
        <w:t xml:space="preserve"> </w:t>
      </w:r>
      <w:r w:rsidR="00B958F0" w:rsidRPr="0068049A">
        <w:rPr>
          <w:rFonts w:asciiTheme="majorHAnsi" w:hAnsiTheme="majorHAnsi" w:cstheme="majorHAnsi"/>
          <w:sz w:val="22"/>
          <w:szCs w:val="22"/>
          <w:lang w:val="fr-CA"/>
        </w:rPr>
        <w:t>$</w:t>
      </w:r>
    </w:p>
    <w:p w14:paraId="57EA574A" w14:textId="77777777" w:rsidR="006949A9" w:rsidRPr="0068049A" w:rsidRDefault="006949A9" w:rsidP="000C65BE">
      <w:pPr>
        <w:spacing w:line="276" w:lineRule="auto"/>
        <w:ind w:left="1440"/>
        <w:rPr>
          <w:rFonts w:asciiTheme="majorHAnsi" w:hAnsiTheme="majorHAnsi" w:cstheme="majorHAnsi"/>
          <w:sz w:val="22"/>
          <w:szCs w:val="22"/>
          <w:lang w:val="fr-CA"/>
        </w:rPr>
      </w:pPr>
    </w:p>
    <w:p w14:paraId="1FDCA6F3" w14:textId="2D81B6F1" w:rsidR="000C65BE" w:rsidRPr="0068049A" w:rsidRDefault="000C65BE" w:rsidP="000C65BE">
      <w:pPr>
        <w:spacing w:line="276" w:lineRule="auto"/>
        <w:ind w:left="1440"/>
        <w:rPr>
          <w:rFonts w:asciiTheme="majorHAnsi" w:hAnsiTheme="majorHAnsi" w:cstheme="majorHAnsi"/>
          <w:sz w:val="22"/>
          <w:szCs w:val="22"/>
          <w:lang w:val="fr-CA"/>
        </w:rPr>
      </w:pPr>
      <w:r w:rsidRPr="0068049A">
        <w:rPr>
          <w:rFonts w:asciiTheme="majorHAnsi" w:hAnsiTheme="majorHAnsi" w:cstheme="majorHAnsi"/>
          <w:sz w:val="22"/>
          <w:szCs w:val="22"/>
          <w:lang w:val="fr-CA"/>
        </w:rPr>
        <w:t xml:space="preserve">Total </w:t>
      </w:r>
      <w:r w:rsidR="00B958F0">
        <w:rPr>
          <w:rFonts w:asciiTheme="majorHAnsi" w:hAnsiTheme="majorHAnsi" w:cstheme="majorHAnsi"/>
          <w:sz w:val="22"/>
          <w:szCs w:val="22"/>
          <w:lang w:val="fr-CA"/>
        </w:rPr>
        <w:t>des frais pour services juridiques</w:t>
      </w:r>
      <w:r w:rsidRPr="0068049A">
        <w:rPr>
          <w:rFonts w:asciiTheme="majorHAnsi" w:hAnsiTheme="majorHAnsi" w:cstheme="majorHAnsi"/>
          <w:sz w:val="22"/>
          <w:szCs w:val="22"/>
          <w:lang w:val="fr-CA"/>
        </w:rPr>
        <w:tab/>
      </w:r>
      <w:r w:rsidRPr="0068049A">
        <w:rPr>
          <w:rFonts w:asciiTheme="majorHAnsi" w:hAnsiTheme="majorHAnsi" w:cstheme="majorHAnsi"/>
          <w:sz w:val="22"/>
          <w:szCs w:val="22"/>
          <w:lang w:val="fr-CA"/>
        </w:rPr>
        <w:tab/>
      </w:r>
      <w:r w:rsidRPr="0068049A">
        <w:rPr>
          <w:rFonts w:asciiTheme="majorHAnsi" w:hAnsiTheme="majorHAnsi" w:cstheme="majorHAnsi"/>
          <w:sz w:val="22"/>
          <w:szCs w:val="22"/>
          <w:lang w:val="fr-CA"/>
        </w:rPr>
        <w:tab/>
      </w:r>
      <w:r w:rsidRPr="0068049A">
        <w:rPr>
          <w:rFonts w:asciiTheme="majorHAnsi" w:hAnsiTheme="majorHAnsi" w:cstheme="majorHAnsi"/>
          <w:sz w:val="22"/>
          <w:szCs w:val="22"/>
          <w:lang w:val="fr-CA"/>
        </w:rPr>
        <w:tab/>
        <w:t>19</w:t>
      </w:r>
      <w:r w:rsidR="00B958F0">
        <w:rPr>
          <w:rFonts w:asciiTheme="majorHAnsi" w:hAnsiTheme="majorHAnsi" w:cstheme="majorHAnsi"/>
          <w:sz w:val="22"/>
          <w:szCs w:val="22"/>
          <w:lang w:val="fr-CA"/>
        </w:rPr>
        <w:t xml:space="preserve"> </w:t>
      </w:r>
      <w:r w:rsidRPr="0068049A">
        <w:rPr>
          <w:rFonts w:asciiTheme="majorHAnsi" w:hAnsiTheme="majorHAnsi" w:cstheme="majorHAnsi"/>
          <w:sz w:val="22"/>
          <w:szCs w:val="22"/>
          <w:lang w:val="fr-CA"/>
        </w:rPr>
        <w:t>587</w:t>
      </w:r>
      <w:r w:rsidR="00B958F0">
        <w:rPr>
          <w:rFonts w:asciiTheme="majorHAnsi" w:hAnsiTheme="majorHAnsi" w:cstheme="majorHAnsi"/>
          <w:sz w:val="22"/>
          <w:szCs w:val="22"/>
          <w:lang w:val="fr-CA"/>
        </w:rPr>
        <w:t>,</w:t>
      </w:r>
      <w:r w:rsidRPr="0068049A">
        <w:rPr>
          <w:rFonts w:asciiTheme="majorHAnsi" w:hAnsiTheme="majorHAnsi" w:cstheme="majorHAnsi"/>
          <w:sz w:val="22"/>
          <w:szCs w:val="22"/>
          <w:lang w:val="fr-CA"/>
        </w:rPr>
        <w:t>50</w:t>
      </w:r>
      <w:r w:rsidR="00B958F0">
        <w:rPr>
          <w:rFonts w:asciiTheme="majorHAnsi" w:hAnsiTheme="majorHAnsi" w:cstheme="majorHAnsi"/>
          <w:sz w:val="22"/>
          <w:szCs w:val="22"/>
          <w:lang w:val="fr-CA"/>
        </w:rPr>
        <w:t xml:space="preserve"> </w:t>
      </w:r>
      <w:r w:rsidR="00B958F0" w:rsidRPr="0068049A">
        <w:rPr>
          <w:rFonts w:asciiTheme="majorHAnsi" w:hAnsiTheme="majorHAnsi" w:cstheme="majorHAnsi"/>
          <w:sz w:val="22"/>
          <w:szCs w:val="22"/>
          <w:lang w:val="fr-CA"/>
        </w:rPr>
        <w:t>$</w:t>
      </w:r>
    </w:p>
    <w:p w14:paraId="6EFD80BB" w14:textId="4077A75C" w:rsidR="000C65BE" w:rsidRPr="0068049A" w:rsidRDefault="00B958F0" w:rsidP="000C65BE">
      <w:pPr>
        <w:spacing w:line="276" w:lineRule="auto"/>
        <w:ind w:left="1440"/>
        <w:rPr>
          <w:rFonts w:asciiTheme="majorHAnsi" w:hAnsiTheme="majorHAnsi" w:cstheme="majorHAnsi"/>
          <w:sz w:val="22"/>
          <w:szCs w:val="22"/>
          <w:lang w:val="fr-CA"/>
        </w:rPr>
      </w:pPr>
      <w:r>
        <w:rPr>
          <w:rFonts w:asciiTheme="majorHAnsi" w:hAnsiTheme="majorHAnsi" w:cstheme="majorHAnsi"/>
          <w:sz w:val="22"/>
          <w:szCs w:val="22"/>
          <w:lang w:val="fr-CA"/>
        </w:rPr>
        <w:t>TVH sur les frais pour services juridiques</w:t>
      </w:r>
      <w:r w:rsidR="000C65BE" w:rsidRPr="0068049A">
        <w:rPr>
          <w:rFonts w:asciiTheme="majorHAnsi" w:hAnsiTheme="majorHAnsi" w:cstheme="majorHAnsi"/>
          <w:sz w:val="22"/>
          <w:szCs w:val="22"/>
          <w:lang w:val="fr-CA"/>
        </w:rPr>
        <w:tab/>
      </w:r>
      <w:r w:rsidR="000C65BE" w:rsidRPr="0068049A">
        <w:rPr>
          <w:rFonts w:asciiTheme="majorHAnsi" w:hAnsiTheme="majorHAnsi" w:cstheme="majorHAnsi"/>
          <w:sz w:val="22"/>
          <w:szCs w:val="22"/>
          <w:lang w:val="fr-CA"/>
        </w:rPr>
        <w:tab/>
      </w:r>
      <w:r w:rsidR="000C65BE" w:rsidRPr="0068049A">
        <w:rPr>
          <w:rFonts w:asciiTheme="majorHAnsi" w:hAnsiTheme="majorHAnsi" w:cstheme="majorHAnsi"/>
          <w:sz w:val="22"/>
          <w:szCs w:val="22"/>
          <w:lang w:val="fr-CA"/>
        </w:rPr>
        <w:tab/>
      </w:r>
      <w:proofErr w:type="gramStart"/>
      <w:r w:rsidR="000C65BE" w:rsidRPr="0068049A">
        <w:rPr>
          <w:rFonts w:asciiTheme="majorHAnsi" w:hAnsiTheme="majorHAnsi" w:cstheme="majorHAnsi"/>
          <w:sz w:val="22"/>
          <w:szCs w:val="22"/>
          <w:lang w:val="fr-CA"/>
        </w:rPr>
        <w:tab/>
        <w:t xml:space="preserve">  2</w:t>
      </w:r>
      <w:proofErr w:type="gramEnd"/>
      <w:r>
        <w:rPr>
          <w:rFonts w:asciiTheme="majorHAnsi" w:hAnsiTheme="majorHAnsi" w:cstheme="majorHAnsi"/>
          <w:sz w:val="22"/>
          <w:szCs w:val="22"/>
          <w:lang w:val="fr-CA"/>
        </w:rPr>
        <w:t xml:space="preserve"> </w:t>
      </w:r>
      <w:r w:rsidR="000C65BE" w:rsidRPr="0068049A">
        <w:rPr>
          <w:rFonts w:asciiTheme="majorHAnsi" w:hAnsiTheme="majorHAnsi" w:cstheme="majorHAnsi"/>
          <w:sz w:val="22"/>
          <w:szCs w:val="22"/>
          <w:lang w:val="fr-CA"/>
        </w:rPr>
        <w:t>546</w:t>
      </w:r>
      <w:r>
        <w:rPr>
          <w:rFonts w:asciiTheme="majorHAnsi" w:hAnsiTheme="majorHAnsi" w:cstheme="majorHAnsi"/>
          <w:sz w:val="22"/>
          <w:szCs w:val="22"/>
          <w:lang w:val="fr-CA"/>
        </w:rPr>
        <w:t xml:space="preserve"> </w:t>
      </w:r>
      <w:r w:rsidR="000C65BE" w:rsidRPr="0068049A">
        <w:rPr>
          <w:rFonts w:asciiTheme="majorHAnsi" w:hAnsiTheme="majorHAnsi" w:cstheme="majorHAnsi"/>
          <w:sz w:val="22"/>
          <w:szCs w:val="22"/>
          <w:lang w:val="fr-CA"/>
        </w:rPr>
        <w:t>38</w:t>
      </w:r>
      <w:r>
        <w:rPr>
          <w:rFonts w:asciiTheme="majorHAnsi" w:hAnsiTheme="majorHAnsi" w:cstheme="majorHAnsi"/>
          <w:sz w:val="22"/>
          <w:szCs w:val="22"/>
          <w:lang w:val="fr-CA"/>
        </w:rPr>
        <w:t xml:space="preserve"> </w:t>
      </w:r>
      <w:r w:rsidRPr="0068049A">
        <w:rPr>
          <w:rFonts w:asciiTheme="majorHAnsi" w:hAnsiTheme="majorHAnsi" w:cstheme="majorHAnsi"/>
          <w:sz w:val="22"/>
          <w:szCs w:val="22"/>
          <w:lang w:val="fr-CA"/>
        </w:rPr>
        <w:t>$</w:t>
      </w:r>
    </w:p>
    <w:p w14:paraId="5A5E75F1" w14:textId="4A7DD684" w:rsidR="000C65BE" w:rsidRPr="0068049A" w:rsidRDefault="000C65BE" w:rsidP="000C65BE">
      <w:pPr>
        <w:spacing w:line="276" w:lineRule="auto"/>
        <w:ind w:left="1440"/>
        <w:rPr>
          <w:rFonts w:asciiTheme="majorHAnsi" w:hAnsiTheme="majorHAnsi" w:cstheme="majorHAnsi"/>
          <w:sz w:val="22"/>
          <w:szCs w:val="22"/>
          <w:lang w:val="fr-CA"/>
        </w:rPr>
      </w:pPr>
      <w:r w:rsidRPr="0068049A">
        <w:rPr>
          <w:rFonts w:asciiTheme="majorHAnsi" w:hAnsiTheme="majorHAnsi" w:cstheme="majorHAnsi"/>
          <w:sz w:val="22"/>
          <w:szCs w:val="22"/>
          <w:lang w:val="fr-CA"/>
        </w:rPr>
        <w:t>D</w:t>
      </w:r>
      <w:r w:rsidR="00B958F0">
        <w:rPr>
          <w:rFonts w:asciiTheme="majorHAnsi" w:hAnsiTheme="majorHAnsi" w:cstheme="majorHAnsi"/>
          <w:sz w:val="22"/>
          <w:szCs w:val="22"/>
          <w:lang w:val="fr-CA"/>
        </w:rPr>
        <w:t>ébours</w:t>
      </w:r>
      <w:r w:rsidRPr="0068049A">
        <w:rPr>
          <w:rFonts w:asciiTheme="majorHAnsi" w:hAnsiTheme="majorHAnsi" w:cstheme="majorHAnsi"/>
          <w:sz w:val="22"/>
          <w:szCs w:val="22"/>
          <w:lang w:val="fr-CA"/>
        </w:rPr>
        <w:tab/>
        <w:t xml:space="preserve">                                                                  </w:t>
      </w:r>
      <w:r w:rsidRPr="0068049A">
        <w:rPr>
          <w:rFonts w:asciiTheme="majorHAnsi" w:hAnsiTheme="majorHAnsi" w:cstheme="majorHAnsi"/>
          <w:sz w:val="22"/>
          <w:szCs w:val="22"/>
          <w:lang w:val="fr-CA"/>
        </w:rPr>
        <w:tab/>
        <w:t xml:space="preserve">   </w:t>
      </w:r>
      <w:r w:rsidR="00B958F0">
        <w:rPr>
          <w:rFonts w:asciiTheme="majorHAnsi" w:hAnsiTheme="majorHAnsi" w:cstheme="majorHAnsi"/>
          <w:sz w:val="22"/>
          <w:szCs w:val="22"/>
          <w:lang w:val="fr-CA"/>
        </w:rPr>
        <w:t xml:space="preserve">            </w:t>
      </w:r>
      <w:r w:rsidRPr="0068049A">
        <w:rPr>
          <w:rFonts w:asciiTheme="majorHAnsi" w:hAnsiTheme="majorHAnsi" w:cstheme="majorHAnsi"/>
          <w:sz w:val="22"/>
          <w:szCs w:val="22"/>
          <w:lang w:val="fr-CA"/>
        </w:rPr>
        <w:t xml:space="preserve">      0</w:t>
      </w:r>
      <w:r w:rsidR="00B958F0">
        <w:rPr>
          <w:rFonts w:asciiTheme="majorHAnsi" w:hAnsiTheme="majorHAnsi" w:cstheme="majorHAnsi"/>
          <w:sz w:val="22"/>
          <w:szCs w:val="22"/>
          <w:lang w:val="fr-CA"/>
        </w:rPr>
        <w:t>,</w:t>
      </w:r>
      <w:r w:rsidRPr="0068049A">
        <w:rPr>
          <w:rFonts w:asciiTheme="majorHAnsi" w:hAnsiTheme="majorHAnsi" w:cstheme="majorHAnsi"/>
          <w:sz w:val="22"/>
          <w:szCs w:val="22"/>
          <w:lang w:val="fr-CA"/>
        </w:rPr>
        <w:t>00</w:t>
      </w:r>
      <w:r w:rsidR="00B958F0">
        <w:rPr>
          <w:rFonts w:asciiTheme="majorHAnsi" w:hAnsiTheme="majorHAnsi" w:cstheme="majorHAnsi"/>
          <w:sz w:val="22"/>
          <w:szCs w:val="22"/>
          <w:lang w:val="fr-CA"/>
        </w:rPr>
        <w:t xml:space="preserve"> </w:t>
      </w:r>
      <w:r w:rsidR="00B958F0" w:rsidRPr="0068049A">
        <w:rPr>
          <w:rFonts w:asciiTheme="majorHAnsi" w:hAnsiTheme="majorHAnsi" w:cstheme="majorHAnsi"/>
          <w:sz w:val="22"/>
          <w:szCs w:val="22"/>
          <w:lang w:val="fr-CA"/>
        </w:rPr>
        <w:t>$</w:t>
      </w:r>
    </w:p>
    <w:p w14:paraId="567DF0BC" w14:textId="77777777" w:rsidR="000C65BE" w:rsidRPr="0068049A" w:rsidRDefault="000C65BE" w:rsidP="000C65BE">
      <w:pPr>
        <w:spacing w:line="276" w:lineRule="auto"/>
        <w:ind w:left="1440"/>
        <w:rPr>
          <w:rFonts w:asciiTheme="majorHAnsi" w:hAnsiTheme="majorHAnsi" w:cstheme="majorHAnsi"/>
          <w:sz w:val="22"/>
          <w:szCs w:val="22"/>
          <w:lang w:val="fr-CA"/>
        </w:rPr>
      </w:pPr>
    </w:p>
    <w:p w14:paraId="2DEBE6F7" w14:textId="044E884C" w:rsidR="000C65BE" w:rsidRPr="0068049A" w:rsidRDefault="004E3D4B" w:rsidP="00712870">
      <w:pPr>
        <w:spacing w:after="200" w:line="276" w:lineRule="auto"/>
        <w:ind w:left="1440"/>
        <w:rPr>
          <w:rFonts w:asciiTheme="majorHAnsi" w:hAnsiTheme="majorHAnsi" w:cstheme="majorHAnsi"/>
          <w:sz w:val="22"/>
          <w:szCs w:val="22"/>
          <w:lang w:val="fr-CA"/>
        </w:rPr>
      </w:pPr>
      <w:r w:rsidRPr="0068049A">
        <w:rPr>
          <w:rFonts w:asciiTheme="majorHAnsi" w:hAnsiTheme="majorHAnsi" w:cstheme="majorHAnsi"/>
          <w:sz w:val="22"/>
          <w:szCs w:val="22"/>
          <w:lang w:val="fr-CA"/>
        </w:rPr>
        <w:t xml:space="preserve">Total </w:t>
      </w:r>
      <w:r w:rsidR="00B958F0">
        <w:rPr>
          <w:rFonts w:asciiTheme="majorHAnsi" w:hAnsiTheme="majorHAnsi" w:cstheme="majorHAnsi"/>
          <w:sz w:val="22"/>
          <w:szCs w:val="22"/>
          <w:lang w:val="fr-CA"/>
        </w:rPr>
        <w:t>des frais pour services juridiques</w:t>
      </w:r>
      <w:r w:rsidR="00B958F0" w:rsidRPr="0068049A">
        <w:rPr>
          <w:rFonts w:asciiTheme="majorHAnsi" w:hAnsiTheme="majorHAnsi" w:cstheme="majorHAnsi"/>
          <w:sz w:val="22"/>
          <w:szCs w:val="22"/>
          <w:lang w:val="fr-CA"/>
        </w:rPr>
        <w:t xml:space="preserve"> </w:t>
      </w:r>
      <w:r w:rsidR="00B958F0">
        <w:rPr>
          <w:rFonts w:asciiTheme="majorHAnsi" w:hAnsiTheme="majorHAnsi" w:cstheme="majorHAnsi"/>
          <w:sz w:val="22"/>
          <w:szCs w:val="22"/>
          <w:lang w:val="fr-CA"/>
        </w:rPr>
        <w:t>fondés sur les taux horaires du CEJP</w:t>
      </w:r>
      <w:r w:rsidR="000C65BE" w:rsidRPr="0068049A">
        <w:rPr>
          <w:rFonts w:asciiTheme="majorHAnsi" w:hAnsiTheme="majorHAnsi" w:cstheme="majorHAnsi"/>
          <w:sz w:val="22"/>
          <w:szCs w:val="22"/>
          <w:lang w:val="fr-CA"/>
        </w:rPr>
        <w:tab/>
      </w:r>
      <w:r w:rsidR="00B958F0">
        <w:rPr>
          <w:rFonts w:asciiTheme="majorHAnsi" w:hAnsiTheme="majorHAnsi" w:cstheme="majorHAnsi"/>
          <w:sz w:val="22"/>
          <w:szCs w:val="22"/>
          <w:lang w:val="fr-CA"/>
        </w:rPr>
        <w:tab/>
      </w:r>
      <w:r w:rsidR="00B958F0">
        <w:rPr>
          <w:rFonts w:asciiTheme="majorHAnsi" w:hAnsiTheme="majorHAnsi" w:cstheme="majorHAnsi"/>
          <w:sz w:val="22"/>
          <w:szCs w:val="22"/>
          <w:lang w:val="fr-CA"/>
        </w:rPr>
        <w:tab/>
      </w:r>
      <w:r w:rsidR="00B958F0">
        <w:rPr>
          <w:rFonts w:asciiTheme="majorHAnsi" w:hAnsiTheme="majorHAnsi" w:cstheme="majorHAnsi"/>
          <w:sz w:val="22"/>
          <w:szCs w:val="22"/>
          <w:lang w:val="fr-CA"/>
        </w:rPr>
        <w:tab/>
      </w:r>
      <w:r w:rsidR="00B958F0">
        <w:rPr>
          <w:rFonts w:asciiTheme="majorHAnsi" w:hAnsiTheme="majorHAnsi" w:cstheme="majorHAnsi"/>
          <w:sz w:val="22"/>
          <w:szCs w:val="22"/>
          <w:lang w:val="fr-CA"/>
        </w:rPr>
        <w:tab/>
      </w:r>
      <w:r w:rsidR="00B958F0">
        <w:rPr>
          <w:rFonts w:asciiTheme="majorHAnsi" w:hAnsiTheme="majorHAnsi" w:cstheme="majorHAnsi"/>
          <w:sz w:val="22"/>
          <w:szCs w:val="22"/>
          <w:lang w:val="fr-CA"/>
        </w:rPr>
        <w:tab/>
      </w:r>
      <w:r w:rsidR="00B958F0">
        <w:rPr>
          <w:rFonts w:asciiTheme="majorHAnsi" w:hAnsiTheme="majorHAnsi" w:cstheme="majorHAnsi"/>
          <w:sz w:val="22"/>
          <w:szCs w:val="22"/>
          <w:lang w:val="fr-CA"/>
        </w:rPr>
        <w:tab/>
      </w:r>
      <w:r w:rsidR="00B958F0">
        <w:rPr>
          <w:rFonts w:asciiTheme="majorHAnsi" w:hAnsiTheme="majorHAnsi" w:cstheme="majorHAnsi"/>
          <w:sz w:val="22"/>
          <w:szCs w:val="22"/>
          <w:lang w:val="fr-CA"/>
        </w:rPr>
        <w:tab/>
      </w:r>
      <w:r w:rsidR="000C65BE" w:rsidRPr="0068049A">
        <w:rPr>
          <w:rFonts w:asciiTheme="majorHAnsi" w:hAnsiTheme="majorHAnsi" w:cstheme="majorHAnsi"/>
          <w:sz w:val="22"/>
          <w:szCs w:val="22"/>
          <w:lang w:val="fr-CA"/>
        </w:rPr>
        <w:tab/>
      </w:r>
      <w:r w:rsidR="000C65BE" w:rsidRPr="0068049A">
        <w:rPr>
          <w:rFonts w:asciiTheme="majorHAnsi" w:hAnsiTheme="majorHAnsi" w:cstheme="majorHAnsi"/>
          <w:sz w:val="22"/>
          <w:szCs w:val="22"/>
          <w:lang w:val="fr-CA"/>
        </w:rPr>
        <w:tab/>
        <w:t>22</w:t>
      </w:r>
      <w:r w:rsidR="00B958F0">
        <w:rPr>
          <w:rFonts w:asciiTheme="majorHAnsi" w:hAnsiTheme="majorHAnsi" w:cstheme="majorHAnsi"/>
          <w:sz w:val="22"/>
          <w:szCs w:val="22"/>
          <w:lang w:val="fr-CA"/>
        </w:rPr>
        <w:t xml:space="preserve"> </w:t>
      </w:r>
      <w:r w:rsidR="000C65BE" w:rsidRPr="0068049A">
        <w:rPr>
          <w:rFonts w:asciiTheme="majorHAnsi" w:hAnsiTheme="majorHAnsi" w:cstheme="majorHAnsi"/>
          <w:sz w:val="22"/>
          <w:szCs w:val="22"/>
          <w:lang w:val="fr-CA"/>
        </w:rPr>
        <w:t>133</w:t>
      </w:r>
      <w:r w:rsidR="00B958F0">
        <w:rPr>
          <w:rFonts w:asciiTheme="majorHAnsi" w:hAnsiTheme="majorHAnsi" w:cstheme="majorHAnsi"/>
          <w:sz w:val="22"/>
          <w:szCs w:val="22"/>
          <w:lang w:val="fr-CA"/>
        </w:rPr>
        <w:t>,</w:t>
      </w:r>
      <w:r w:rsidR="000C65BE" w:rsidRPr="0068049A">
        <w:rPr>
          <w:rFonts w:asciiTheme="majorHAnsi" w:hAnsiTheme="majorHAnsi" w:cstheme="majorHAnsi"/>
          <w:sz w:val="22"/>
          <w:szCs w:val="22"/>
          <w:lang w:val="fr-CA"/>
        </w:rPr>
        <w:t>88</w:t>
      </w:r>
      <w:r w:rsidR="00B958F0">
        <w:rPr>
          <w:rFonts w:asciiTheme="majorHAnsi" w:hAnsiTheme="majorHAnsi" w:cstheme="majorHAnsi"/>
          <w:sz w:val="22"/>
          <w:szCs w:val="22"/>
          <w:lang w:val="fr-CA"/>
        </w:rPr>
        <w:t xml:space="preserve"> </w:t>
      </w:r>
      <w:r w:rsidR="00B958F0" w:rsidRPr="0068049A">
        <w:rPr>
          <w:rFonts w:asciiTheme="majorHAnsi" w:hAnsiTheme="majorHAnsi" w:cstheme="majorHAnsi"/>
          <w:sz w:val="22"/>
          <w:szCs w:val="22"/>
          <w:lang w:val="fr-CA"/>
        </w:rPr>
        <w:t>$</w:t>
      </w:r>
    </w:p>
    <w:p w14:paraId="3E55B1B8" w14:textId="73076429" w:rsidR="000C65BE" w:rsidRPr="00B958F0" w:rsidRDefault="000C65BE" w:rsidP="000C65BE">
      <w:pPr>
        <w:ind w:left="567" w:right="4" w:hanging="567"/>
        <w:jc w:val="both"/>
        <w:rPr>
          <w:rFonts w:ascii="Arial" w:hAnsi="Arial" w:cs="Arial"/>
          <w:lang w:val="fr-CA"/>
        </w:rPr>
      </w:pPr>
      <w:r w:rsidRPr="0068049A">
        <w:rPr>
          <w:rFonts w:asciiTheme="majorHAnsi" w:hAnsiTheme="majorHAnsi" w:cstheme="majorHAnsi"/>
          <w:lang w:val="fr-CA"/>
        </w:rPr>
        <w:t>16.</w:t>
      </w:r>
      <w:r w:rsidRPr="0068049A">
        <w:rPr>
          <w:rFonts w:asciiTheme="majorHAnsi" w:hAnsiTheme="majorHAnsi" w:cstheme="majorHAnsi"/>
          <w:lang w:val="fr-CA"/>
        </w:rPr>
        <w:tab/>
      </w:r>
      <w:r w:rsidR="00B958F0">
        <w:rPr>
          <w:rFonts w:asciiTheme="majorHAnsi" w:hAnsiTheme="majorHAnsi" w:cstheme="majorHAnsi"/>
          <w:lang w:val="fr-CA"/>
        </w:rPr>
        <w:t xml:space="preserve">En conséquence, notre comité d’audition recommande que le juge de paix soit indemnisé à </w:t>
      </w:r>
      <w:r w:rsidR="00B958F0" w:rsidRPr="00B958F0">
        <w:rPr>
          <w:rFonts w:ascii="Arial" w:hAnsi="Arial" w:cs="Arial"/>
          <w:lang w:val="fr-CA"/>
        </w:rPr>
        <w:t xml:space="preserve">hauteur de </w:t>
      </w:r>
      <w:r w:rsidR="00017D9D" w:rsidRPr="00B958F0">
        <w:rPr>
          <w:rFonts w:ascii="Arial" w:hAnsi="Arial" w:cs="Arial"/>
          <w:lang w:val="fr-CA"/>
        </w:rPr>
        <w:t>22</w:t>
      </w:r>
      <w:r w:rsidR="00B958F0" w:rsidRPr="00B958F0">
        <w:rPr>
          <w:rFonts w:ascii="Arial" w:hAnsi="Arial" w:cs="Arial"/>
          <w:lang w:val="fr-CA"/>
        </w:rPr>
        <w:t xml:space="preserve"> </w:t>
      </w:r>
      <w:r w:rsidR="00017D9D" w:rsidRPr="00B958F0">
        <w:rPr>
          <w:rFonts w:ascii="Arial" w:hAnsi="Arial" w:cs="Arial"/>
          <w:lang w:val="fr-CA"/>
        </w:rPr>
        <w:t>133</w:t>
      </w:r>
      <w:r w:rsidR="00B958F0" w:rsidRPr="00B958F0">
        <w:rPr>
          <w:rFonts w:ascii="Arial" w:hAnsi="Arial" w:cs="Arial"/>
          <w:lang w:val="fr-CA"/>
        </w:rPr>
        <w:t>,</w:t>
      </w:r>
      <w:r w:rsidR="00017D9D" w:rsidRPr="00B958F0">
        <w:rPr>
          <w:rFonts w:ascii="Arial" w:hAnsi="Arial" w:cs="Arial"/>
          <w:lang w:val="fr-CA"/>
        </w:rPr>
        <w:t>88</w:t>
      </w:r>
      <w:r w:rsidR="00B958F0" w:rsidRPr="00B958F0">
        <w:rPr>
          <w:rFonts w:ascii="Arial" w:hAnsi="Arial" w:cs="Arial"/>
          <w:lang w:val="fr-CA"/>
        </w:rPr>
        <w:t xml:space="preserve"> $</w:t>
      </w:r>
      <w:r w:rsidR="00017D9D" w:rsidRPr="00B958F0">
        <w:rPr>
          <w:rFonts w:ascii="Arial" w:hAnsi="Arial" w:cs="Arial"/>
          <w:lang w:val="fr-CA"/>
        </w:rPr>
        <w:t xml:space="preserve">, </w:t>
      </w:r>
      <w:r w:rsidR="00B958F0" w:rsidRPr="00B958F0">
        <w:rPr>
          <w:rFonts w:ascii="Arial" w:hAnsi="Arial" w:cs="Arial"/>
          <w:lang w:val="fr-CA"/>
        </w:rPr>
        <w:t xml:space="preserve">TVH comprise, </w:t>
      </w:r>
      <w:r w:rsidR="002B7F22">
        <w:rPr>
          <w:rFonts w:ascii="Arial" w:hAnsi="Arial" w:cs="Arial"/>
          <w:lang w:val="fr-CA"/>
        </w:rPr>
        <w:t xml:space="preserve">au titre </w:t>
      </w:r>
      <w:r w:rsidR="00B958F0" w:rsidRPr="00B958F0">
        <w:rPr>
          <w:rFonts w:ascii="Arial" w:hAnsi="Arial" w:cs="Arial"/>
          <w:lang w:val="fr-CA"/>
        </w:rPr>
        <w:t>des frais pour services juridiques qu’il a engagés relativement à l’audience</w:t>
      </w:r>
      <w:r w:rsidRPr="00B958F0">
        <w:rPr>
          <w:rFonts w:ascii="Arial" w:hAnsi="Arial" w:cs="Arial"/>
          <w:lang w:val="fr-CA"/>
        </w:rPr>
        <w:t>.</w:t>
      </w:r>
    </w:p>
    <w:p w14:paraId="461C14C5" w14:textId="77777777" w:rsidR="000C65BE" w:rsidRPr="0068049A" w:rsidRDefault="000C65BE" w:rsidP="000C65BE">
      <w:pPr>
        <w:pStyle w:val="ListParagraph"/>
        <w:spacing w:after="200" w:line="276" w:lineRule="auto"/>
        <w:ind w:left="567"/>
        <w:jc w:val="both"/>
        <w:rPr>
          <w:rFonts w:asciiTheme="majorHAnsi" w:hAnsiTheme="majorHAnsi" w:cstheme="majorHAnsi"/>
          <w:lang w:val="fr-CA"/>
        </w:rPr>
      </w:pPr>
    </w:p>
    <w:p w14:paraId="3E3D6590" w14:textId="07FE829D" w:rsidR="000C65BE" w:rsidRPr="0068049A" w:rsidRDefault="000C65BE" w:rsidP="00885F23">
      <w:pPr>
        <w:ind w:right="-446"/>
        <w:jc w:val="both"/>
        <w:rPr>
          <w:rFonts w:asciiTheme="majorHAnsi" w:hAnsiTheme="majorHAnsi" w:cstheme="majorHAnsi"/>
          <w:lang w:val="fr-CA"/>
        </w:rPr>
      </w:pPr>
    </w:p>
    <w:p w14:paraId="49E5890A" w14:textId="77777777" w:rsidR="000C65BE" w:rsidRPr="0068049A" w:rsidRDefault="000C65BE" w:rsidP="00885F23">
      <w:pPr>
        <w:ind w:right="-446"/>
        <w:jc w:val="both"/>
        <w:rPr>
          <w:rFonts w:asciiTheme="majorHAnsi" w:hAnsiTheme="majorHAnsi" w:cstheme="majorHAnsi"/>
          <w:lang w:val="fr-CA"/>
        </w:rPr>
      </w:pPr>
    </w:p>
    <w:p w14:paraId="0D5EEB3C" w14:textId="5EAA0E54" w:rsidR="004D1198" w:rsidRPr="0068049A" w:rsidRDefault="00B958F0" w:rsidP="00885F23">
      <w:pPr>
        <w:ind w:right="-446" w:hanging="360"/>
        <w:jc w:val="both"/>
        <w:rPr>
          <w:rFonts w:asciiTheme="majorHAnsi" w:hAnsiTheme="majorHAnsi" w:cstheme="majorHAnsi"/>
          <w:lang w:val="fr-CA"/>
        </w:rPr>
      </w:pPr>
      <w:r>
        <w:rPr>
          <w:rFonts w:asciiTheme="majorHAnsi" w:hAnsiTheme="majorHAnsi" w:cstheme="majorHAnsi"/>
          <w:lang w:val="fr-CA"/>
        </w:rPr>
        <w:t xml:space="preserve">Fait dans la ville de </w:t>
      </w:r>
      <w:r w:rsidR="004D1198" w:rsidRPr="0068049A">
        <w:rPr>
          <w:rFonts w:asciiTheme="majorHAnsi" w:hAnsiTheme="majorHAnsi" w:cstheme="majorHAnsi"/>
          <w:lang w:val="fr-CA"/>
        </w:rPr>
        <w:t>Toronto</w:t>
      </w:r>
      <w:r>
        <w:rPr>
          <w:rFonts w:asciiTheme="majorHAnsi" w:hAnsiTheme="majorHAnsi" w:cstheme="majorHAnsi"/>
          <w:lang w:val="fr-CA"/>
        </w:rPr>
        <w:t xml:space="preserve">, dans la province de l’Ontario, le 6 mai </w:t>
      </w:r>
      <w:r w:rsidR="00B073DB" w:rsidRPr="0068049A">
        <w:rPr>
          <w:rFonts w:asciiTheme="majorHAnsi" w:hAnsiTheme="majorHAnsi" w:cstheme="majorHAnsi"/>
          <w:lang w:val="fr-CA"/>
        </w:rPr>
        <w:t>20</w:t>
      </w:r>
      <w:r w:rsidR="000C65BE" w:rsidRPr="0068049A">
        <w:rPr>
          <w:rFonts w:asciiTheme="majorHAnsi" w:hAnsiTheme="majorHAnsi" w:cstheme="majorHAnsi"/>
          <w:lang w:val="fr-CA"/>
        </w:rPr>
        <w:t>20</w:t>
      </w:r>
      <w:r w:rsidR="004D1198" w:rsidRPr="0068049A">
        <w:rPr>
          <w:rFonts w:asciiTheme="majorHAnsi" w:hAnsiTheme="majorHAnsi" w:cstheme="majorHAnsi"/>
          <w:lang w:val="fr-CA"/>
        </w:rPr>
        <w:t xml:space="preserve">. </w:t>
      </w:r>
    </w:p>
    <w:p w14:paraId="0D730B2E" w14:textId="77777777" w:rsidR="008B75A3" w:rsidRPr="0068049A" w:rsidRDefault="008B75A3" w:rsidP="00885F23">
      <w:pPr>
        <w:ind w:right="-446" w:hanging="360"/>
        <w:jc w:val="both"/>
        <w:rPr>
          <w:rFonts w:asciiTheme="majorHAnsi" w:hAnsiTheme="majorHAnsi" w:cstheme="majorHAnsi"/>
          <w:lang w:val="fr-CA"/>
        </w:rPr>
      </w:pPr>
    </w:p>
    <w:p w14:paraId="04047927" w14:textId="77777777" w:rsidR="00B958F0" w:rsidRDefault="00B958F0" w:rsidP="00B958F0">
      <w:pPr>
        <w:widowControl w:val="0"/>
        <w:jc w:val="both"/>
        <w:rPr>
          <w:rFonts w:ascii="Arial" w:hAnsi="Arial" w:cs="Arial"/>
          <w:lang w:val="fr-CA"/>
        </w:rPr>
      </w:pPr>
    </w:p>
    <w:p w14:paraId="74413112" w14:textId="77777777" w:rsidR="00B958F0" w:rsidRPr="00817E8A" w:rsidRDefault="00B958F0" w:rsidP="00B958F0">
      <w:pPr>
        <w:widowControl w:val="0"/>
        <w:ind w:left="-426" w:firstLine="142"/>
        <w:jc w:val="both"/>
        <w:rPr>
          <w:rFonts w:ascii="Arial" w:hAnsi="Arial" w:cs="Arial"/>
          <w:lang w:val="fr-CA"/>
        </w:rPr>
      </w:pPr>
      <w:r>
        <w:rPr>
          <w:rFonts w:ascii="Arial" w:hAnsi="Arial" w:cs="Arial"/>
          <w:lang w:val="fr-CA"/>
        </w:rPr>
        <w:t xml:space="preserve">COMITÉ D’AUDITION </w:t>
      </w:r>
      <w:r w:rsidRPr="00817E8A">
        <w:rPr>
          <w:rFonts w:ascii="Arial" w:hAnsi="Arial" w:cs="Arial"/>
          <w:lang w:val="fr-CA"/>
        </w:rPr>
        <w:t>:</w:t>
      </w:r>
    </w:p>
    <w:p w14:paraId="17F67774" w14:textId="77777777" w:rsidR="00B958F0" w:rsidRPr="002B7F22" w:rsidRDefault="00B958F0" w:rsidP="00B958F0">
      <w:pPr>
        <w:spacing w:before="240" w:after="240"/>
        <w:ind w:left="-284"/>
        <w:rPr>
          <w:rFonts w:asciiTheme="minorHAnsi" w:hAnsiTheme="minorHAnsi" w:cstheme="minorHAnsi"/>
          <w:lang w:val="fr-CA"/>
        </w:rPr>
      </w:pPr>
      <w:r w:rsidRPr="002B7F22">
        <w:rPr>
          <w:rFonts w:ascii="Arial" w:hAnsi="Arial" w:cs="Arial"/>
          <w:lang w:val="fr-CA"/>
        </w:rPr>
        <w:t xml:space="preserve">L’honorable juge </w:t>
      </w:r>
      <w:r w:rsidRPr="002B7F22">
        <w:rPr>
          <w:rFonts w:asciiTheme="minorHAnsi" w:hAnsiTheme="minorHAnsi" w:cstheme="minorHAnsi"/>
          <w:lang w:val="fr-CA"/>
        </w:rPr>
        <w:t xml:space="preserve">Robert Wadden, </w:t>
      </w:r>
      <w:r w:rsidRPr="002B7F22">
        <w:rPr>
          <w:rFonts w:ascii="Arial" w:hAnsi="Arial" w:cs="Arial"/>
          <w:lang w:val="fr-CA"/>
        </w:rPr>
        <w:t>président</w:t>
      </w:r>
    </w:p>
    <w:p w14:paraId="655160E0" w14:textId="77777777" w:rsidR="00B958F0" w:rsidRPr="002B7F22" w:rsidRDefault="00B958F0" w:rsidP="00B958F0">
      <w:pPr>
        <w:spacing w:before="240" w:after="240"/>
        <w:ind w:left="-284"/>
        <w:rPr>
          <w:rFonts w:asciiTheme="minorHAnsi" w:hAnsiTheme="minorHAnsi" w:cstheme="minorHAnsi"/>
          <w:lang w:val="fr-CA"/>
        </w:rPr>
      </w:pPr>
      <w:r w:rsidRPr="002B7F22">
        <w:rPr>
          <w:rFonts w:ascii="Arial" w:hAnsi="Arial" w:cs="Arial"/>
          <w:lang w:val="fr-CA"/>
        </w:rPr>
        <w:t xml:space="preserve">La juge de paix </w:t>
      </w:r>
      <w:r w:rsidRPr="002B7F22">
        <w:rPr>
          <w:rFonts w:asciiTheme="minorHAnsi" w:hAnsiTheme="minorHAnsi" w:cstheme="minorHAnsi"/>
          <w:lang w:val="fr-CA"/>
        </w:rPr>
        <w:t xml:space="preserve">Christine Smythe, </w:t>
      </w:r>
      <w:r w:rsidRPr="002B7F22">
        <w:rPr>
          <w:rFonts w:ascii="Arial" w:hAnsi="Arial" w:cs="Arial"/>
          <w:lang w:val="fr-CA"/>
        </w:rPr>
        <w:t>membre juge de paix</w:t>
      </w:r>
    </w:p>
    <w:p w14:paraId="5FD78CC1" w14:textId="7DFE5301" w:rsidR="004D1198" w:rsidRPr="002B7F22" w:rsidRDefault="00B958F0" w:rsidP="00B958F0">
      <w:pPr>
        <w:spacing w:before="240" w:after="240"/>
        <w:ind w:left="-284" w:right="-448"/>
        <w:jc w:val="both"/>
        <w:rPr>
          <w:rFonts w:asciiTheme="majorHAnsi" w:hAnsiTheme="majorHAnsi" w:cstheme="majorHAnsi"/>
          <w:lang w:val="fr-CA"/>
        </w:rPr>
      </w:pPr>
      <w:r w:rsidRPr="002B7F22">
        <w:rPr>
          <w:rFonts w:ascii="Arial" w:hAnsi="Arial" w:cs="Arial"/>
          <w:lang w:val="fr-CA"/>
        </w:rPr>
        <w:t xml:space="preserve">Madame </w:t>
      </w:r>
      <w:r w:rsidRPr="002B7F22">
        <w:rPr>
          <w:rFonts w:asciiTheme="minorHAnsi" w:hAnsiTheme="minorHAnsi" w:cstheme="minorHAnsi"/>
          <w:lang w:val="fr-CA"/>
        </w:rPr>
        <w:t xml:space="preserve">Lauren </w:t>
      </w:r>
      <w:proofErr w:type="spellStart"/>
      <w:r w:rsidRPr="002B7F22">
        <w:rPr>
          <w:rFonts w:asciiTheme="minorHAnsi" w:hAnsiTheme="minorHAnsi" w:cstheme="minorHAnsi"/>
          <w:lang w:val="fr-CA"/>
        </w:rPr>
        <w:t>Rakowski</w:t>
      </w:r>
      <w:proofErr w:type="spellEnd"/>
      <w:r w:rsidRPr="002B7F22">
        <w:rPr>
          <w:rFonts w:asciiTheme="minorHAnsi" w:hAnsiTheme="minorHAnsi" w:cstheme="minorHAnsi"/>
          <w:lang w:val="fr-CA"/>
        </w:rPr>
        <w:t xml:space="preserve">, </w:t>
      </w:r>
      <w:r w:rsidRPr="002B7F22">
        <w:rPr>
          <w:rFonts w:ascii="Arial" w:hAnsi="Arial" w:cs="Arial"/>
          <w:lang w:val="fr-CA"/>
        </w:rPr>
        <w:t>membre du public</w:t>
      </w:r>
    </w:p>
    <w:sectPr w:rsidR="004D1198" w:rsidRPr="002B7F2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5A7C7C" w14:textId="77777777" w:rsidR="00405F7D" w:rsidRDefault="00405F7D" w:rsidP="00F72078">
      <w:r>
        <w:separator/>
      </w:r>
    </w:p>
  </w:endnote>
  <w:endnote w:type="continuationSeparator" w:id="0">
    <w:p w14:paraId="75009710" w14:textId="77777777" w:rsidR="00405F7D" w:rsidRDefault="00405F7D" w:rsidP="00F72078">
      <w:r>
        <w:continuationSeparator/>
      </w:r>
    </w:p>
  </w:endnote>
  <w:endnote w:type="continuationNotice" w:id="1">
    <w:p w14:paraId="2DA154E0" w14:textId="77777777" w:rsidR="00405F7D" w:rsidRDefault="00405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1A41C" w14:textId="77777777" w:rsidR="00FC5320" w:rsidRDefault="00FC5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5034137"/>
      <w:docPartObj>
        <w:docPartGallery w:val="Page Numbers (Bottom of Page)"/>
        <w:docPartUnique/>
      </w:docPartObj>
    </w:sdtPr>
    <w:sdtEndPr>
      <w:rPr>
        <w:noProof/>
      </w:rPr>
    </w:sdtEndPr>
    <w:sdtContent>
      <w:p w14:paraId="06C0E1AF" w14:textId="77777777" w:rsidR="000D1827" w:rsidRDefault="000D1827">
        <w:pPr>
          <w:pStyle w:val="Footer"/>
          <w:jc w:val="right"/>
        </w:pPr>
        <w:r>
          <w:fldChar w:fldCharType="begin"/>
        </w:r>
        <w:r>
          <w:instrText xml:space="preserve"> PAGE   \* MERGEFORMAT </w:instrText>
        </w:r>
        <w:r>
          <w:fldChar w:fldCharType="separate"/>
        </w:r>
        <w:r w:rsidR="00711675">
          <w:rPr>
            <w:noProof/>
          </w:rPr>
          <w:t>5</w:t>
        </w:r>
        <w:r>
          <w:rPr>
            <w:noProof/>
          </w:rPr>
          <w:fldChar w:fldCharType="end"/>
        </w:r>
      </w:p>
    </w:sdtContent>
  </w:sdt>
  <w:p w14:paraId="309EA3D5" w14:textId="77777777" w:rsidR="008B75A3" w:rsidRDefault="008B75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44962" w14:textId="77777777" w:rsidR="00FC5320" w:rsidRDefault="00FC5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9F2CC" w14:textId="77777777" w:rsidR="00405F7D" w:rsidRDefault="00405F7D" w:rsidP="00F72078">
      <w:r>
        <w:separator/>
      </w:r>
    </w:p>
  </w:footnote>
  <w:footnote w:type="continuationSeparator" w:id="0">
    <w:p w14:paraId="1D25E6ED" w14:textId="77777777" w:rsidR="00405F7D" w:rsidRDefault="00405F7D" w:rsidP="00F72078">
      <w:r>
        <w:continuationSeparator/>
      </w:r>
    </w:p>
  </w:footnote>
  <w:footnote w:type="continuationNotice" w:id="1">
    <w:p w14:paraId="1DDE8D5E" w14:textId="77777777" w:rsidR="00405F7D" w:rsidRDefault="00405F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9B13E" w14:textId="77777777" w:rsidR="00FC5320" w:rsidRDefault="00FC53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A9CAF" w14:textId="77777777" w:rsidR="00FC5320" w:rsidRDefault="00FC53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077477" w14:textId="77777777" w:rsidR="00FC5320" w:rsidRDefault="00FC53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5A62"/>
    <w:multiLevelType w:val="hybridMultilevel"/>
    <w:tmpl w:val="040A681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CA3475"/>
    <w:multiLevelType w:val="hybridMultilevel"/>
    <w:tmpl w:val="7F8EF6D2"/>
    <w:lvl w:ilvl="0" w:tplc="92508A04">
      <w:start w:val="1"/>
      <w:numFmt w:val="decimal"/>
      <w:lvlText w:val="%1."/>
      <w:lvlJc w:val="left"/>
      <w:pPr>
        <w:ind w:left="644"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2461314"/>
    <w:multiLevelType w:val="hybridMultilevel"/>
    <w:tmpl w:val="9F0C26FA"/>
    <w:lvl w:ilvl="0" w:tplc="85D4B5F8">
      <w:start w:val="1"/>
      <w:numFmt w:val="decimal"/>
      <w:lvlText w:val="%1."/>
      <w:lvlJc w:val="left"/>
      <w:pPr>
        <w:ind w:left="0" w:hanging="360"/>
      </w:pPr>
      <w:rPr>
        <w:rFonts w:hint="default"/>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3" w15:restartNumberingAfterBreak="0">
    <w:nsid w:val="47F83CF5"/>
    <w:multiLevelType w:val="hybridMultilevel"/>
    <w:tmpl w:val="DA3E0A54"/>
    <w:lvl w:ilvl="0" w:tplc="F29E171C">
      <w:start w:val="1"/>
      <w:numFmt w:val="decimal"/>
      <w:lvlText w:val="%1."/>
      <w:lvlJc w:val="left"/>
      <w:pPr>
        <w:ind w:left="360" w:hanging="360"/>
      </w:pPr>
      <w:rPr>
        <w:rFonts w:hint="default"/>
        <w:b w:val="0"/>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4EE025F2"/>
    <w:multiLevelType w:val="hybridMultilevel"/>
    <w:tmpl w:val="92F89E8C"/>
    <w:lvl w:ilvl="0" w:tplc="10090011">
      <w:start w:val="1"/>
      <w:numFmt w:val="decimal"/>
      <w:lvlText w:val="%1)"/>
      <w:lvlJc w:val="left"/>
      <w:pPr>
        <w:ind w:left="360" w:hanging="360"/>
      </w:pPr>
      <w:rPr>
        <w:rFonts w:cs="Times New Roman"/>
      </w:rPr>
    </w:lvl>
    <w:lvl w:ilvl="1" w:tplc="10090019">
      <w:start w:val="1"/>
      <w:numFmt w:val="decimal"/>
      <w:lvlText w:val="%2."/>
      <w:lvlJc w:val="left"/>
      <w:pPr>
        <w:tabs>
          <w:tab w:val="num" w:pos="1080"/>
        </w:tabs>
        <w:ind w:left="1080" w:hanging="360"/>
      </w:pPr>
    </w:lvl>
    <w:lvl w:ilvl="2" w:tplc="1009001B">
      <w:start w:val="1"/>
      <w:numFmt w:val="decimal"/>
      <w:lvlText w:val="%3."/>
      <w:lvlJc w:val="left"/>
      <w:pPr>
        <w:tabs>
          <w:tab w:val="num" w:pos="1800"/>
        </w:tabs>
        <w:ind w:left="1800" w:hanging="360"/>
      </w:pPr>
    </w:lvl>
    <w:lvl w:ilvl="3" w:tplc="1009000F">
      <w:start w:val="1"/>
      <w:numFmt w:val="decimal"/>
      <w:lvlText w:val="%4."/>
      <w:lvlJc w:val="left"/>
      <w:pPr>
        <w:tabs>
          <w:tab w:val="num" w:pos="2520"/>
        </w:tabs>
        <w:ind w:left="2520" w:hanging="360"/>
      </w:pPr>
    </w:lvl>
    <w:lvl w:ilvl="4" w:tplc="10090019">
      <w:start w:val="1"/>
      <w:numFmt w:val="decimal"/>
      <w:lvlText w:val="%5."/>
      <w:lvlJc w:val="left"/>
      <w:pPr>
        <w:tabs>
          <w:tab w:val="num" w:pos="3240"/>
        </w:tabs>
        <w:ind w:left="3240" w:hanging="360"/>
      </w:pPr>
    </w:lvl>
    <w:lvl w:ilvl="5" w:tplc="1009001B">
      <w:start w:val="1"/>
      <w:numFmt w:val="decimal"/>
      <w:lvlText w:val="%6."/>
      <w:lvlJc w:val="left"/>
      <w:pPr>
        <w:tabs>
          <w:tab w:val="num" w:pos="3960"/>
        </w:tabs>
        <w:ind w:left="3960" w:hanging="360"/>
      </w:pPr>
    </w:lvl>
    <w:lvl w:ilvl="6" w:tplc="1009000F">
      <w:start w:val="1"/>
      <w:numFmt w:val="decimal"/>
      <w:lvlText w:val="%7."/>
      <w:lvlJc w:val="left"/>
      <w:pPr>
        <w:tabs>
          <w:tab w:val="num" w:pos="4680"/>
        </w:tabs>
        <w:ind w:left="4680" w:hanging="360"/>
      </w:pPr>
    </w:lvl>
    <w:lvl w:ilvl="7" w:tplc="10090019">
      <w:start w:val="1"/>
      <w:numFmt w:val="decimal"/>
      <w:lvlText w:val="%8."/>
      <w:lvlJc w:val="left"/>
      <w:pPr>
        <w:tabs>
          <w:tab w:val="num" w:pos="5400"/>
        </w:tabs>
        <w:ind w:left="5400" w:hanging="360"/>
      </w:pPr>
    </w:lvl>
    <w:lvl w:ilvl="8" w:tplc="1009001B">
      <w:start w:val="1"/>
      <w:numFmt w:val="decimal"/>
      <w:lvlText w:val="%9."/>
      <w:lvlJc w:val="left"/>
      <w:pPr>
        <w:tabs>
          <w:tab w:val="num" w:pos="6120"/>
        </w:tabs>
        <w:ind w:left="6120" w:hanging="360"/>
      </w:pPr>
    </w:lvl>
  </w:abstractNum>
  <w:abstractNum w:abstractNumId="5" w15:restartNumberingAfterBreak="0">
    <w:nsid w:val="66C01956"/>
    <w:multiLevelType w:val="hybridMultilevel"/>
    <w:tmpl w:val="55AE5F76"/>
    <w:lvl w:ilvl="0" w:tplc="10090011">
      <w:start w:val="1"/>
      <w:numFmt w:val="decimal"/>
      <w:lvlText w:val="%1)"/>
      <w:lvlJc w:val="left"/>
      <w:pPr>
        <w:ind w:left="720"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15:restartNumberingAfterBreak="0">
    <w:nsid w:val="67296852"/>
    <w:multiLevelType w:val="hybridMultilevel"/>
    <w:tmpl w:val="D11E1CB8"/>
    <w:lvl w:ilvl="0" w:tplc="21869860">
      <w:start w:val="4"/>
      <w:numFmt w:val="decimal"/>
      <w:lvlText w:val="%1."/>
      <w:lvlJc w:val="left"/>
      <w:pPr>
        <w:ind w:left="1800" w:hanging="360"/>
      </w:pPr>
      <w:rPr>
        <w:rFonts w:hint="default"/>
        <w:sz w:val="24"/>
      </w:r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7" w15:restartNumberingAfterBreak="0">
    <w:nsid w:val="6EA03BE1"/>
    <w:multiLevelType w:val="hybridMultilevel"/>
    <w:tmpl w:val="F34A0BCA"/>
    <w:lvl w:ilvl="0" w:tplc="E2567B4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198"/>
    <w:rsid w:val="000008B6"/>
    <w:rsid w:val="00016CFF"/>
    <w:rsid w:val="00017D9D"/>
    <w:rsid w:val="000369E4"/>
    <w:rsid w:val="0005763E"/>
    <w:rsid w:val="00070838"/>
    <w:rsid w:val="000A0119"/>
    <w:rsid w:val="000A4E7E"/>
    <w:rsid w:val="000B2D32"/>
    <w:rsid w:val="000C65BE"/>
    <w:rsid w:val="000D1827"/>
    <w:rsid w:val="000D4C1C"/>
    <w:rsid w:val="000F2096"/>
    <w:rsid w:val="000F363F"/>
    <w:rsid w:val="00103425"/>
    <w:rsid w:val="00145B44"/>
    <w:rsid w:val="00150981"/>
    <w:rsid w:val="00162439"/>
    <w:rsid w:val="00182A04"/>
    <w:rsid w:val="001A2F4A"/>
    <w:rsid w:val="001B52E4"/>
    <w:rsid w:val="001C37B4"/>
    <w:rsid w:val="001E68EF"/>
    <w:rsid w:val="001F129E"/>
    <w:rsid w:val="001F5D58"/>
    <w:rsid w:val="002075C9"/>
    <w:rsid w:val="002166FA"/>
    <w:rsid w:val="0022108C"/>
    <w:rsid w:val="00225BE4"/>
    <w:rsid w:val="00231277"/>
    <w:rsid w:val="0023189E"/>
    <w:rsid w:val="0024244E"/>
    <w:rsid w:val="00251CE5"/>
    <w:rsid w:val="00272D18"/>
    <w:rsid w:val="00290777"/>
    <w:rsid w:val="002A1EF1"/>
    <w:rsid w:val="002B49B2"/>
    <w:rsid w:val="002B7F22"/>
    <w:rsid w:val="002E28BD"/>
    <w:rsid w:val="002E6FF6"/>
    <w:rsid w:val="002E7D10"/>
    <w:rsid w:val="002F3282"/>
    <w:rsid w:val="003167D9"/>
    <w:rsid w:val="00317F1F"/>
    <w:rsid w:val="00331428"/>
    <w:rsid w:val="0034044B"/>
    <w:rsid w:val="00356538"/>
    <w:rsid w:val="003607FA"/>
    <w:rsid w:val="0036413B"/>
    <w:rsid w:val="00366761"/>
    <w:rsid w:val="003777A4"/>
    <w:rsid w:val="0039534D"/>
    <w:rsid w:val="003A60E3"/>
    <w:rsid w:val="003C0885"/>
    <w:rsid w:val="003C66E4"/>
    <w:rsid w:val="003E3D95"/>
    <w:rsid w:val="003F1501"/>
    <w:rsid w:val="003F481D"/>
    <w:rsid w:val="00404C1A"/>
    <w:rsid w:val="00405F7D"/>
    <w:rsid w:val="00420577"/>
    <w:rsid w:val="00487378"/>
    <w:rsid w:val="004A2238"/>
    <w:rsid w:val="004A392D"/>
    <w:rsid w:val="004B347D"/>
    <w:rsid w:val="004B69F7"/>
    <w:rsid w:val="004D1198"/>
    <w:rsid w:val="004D231F"/>
    <w:rsid w:val="004D7E62"/>
    <w:rsid w:val="004E3D4B"/>
    <w:rsid w:val="004F1B03"/>
    <w:rsid w:val="004F20C3"/>
    <w:rsid w:val="0050687C"/>
    <w:rsid w:val="0051346C"/>
    <w:rsid w:val="00521CFB"/>
    <w:rsid w:val="0057735C"/>
    <w:rsid w:val="005863E2"/>
    <w:rsid w:val="005C563A"/>
    <w:rsid w:val="005E3874"/>
    <w:rsid w:val="005F624C"/>
    <w:rsid w:val="005F72C9"/>
    <w:rsid w:val="00624B02"/>
    <w:rsid w:val="006339D0"/>
    <w:rsid w:val="0068049A"/>
    <w:rsid w:val="006949A9"/>
    <w:rsid w:val="00695E04"/>
    <w:rsid w:val="006A68BD"/>
    <w:rsid w:val="006B486E"/>
    <w:rsid w:val="006B7B0E"/>
    <w:rsid w:val="006C048C"/>
    <w:rsid w:val="006C06FF"/>
    <w:rsid w:val="006C7751"/>
    <w:rsid w:val="006D72AA"/>
    <w:rsid w:val="006E0A21"/>
    <w:rsid w:val="007044B6"/>
    <w:rsid w:val="00706A30"/>
    <w:rsid w:val="00711675"/>
    <w:rsid w:val="00712870"/>
    <w:rsid w:val="00712E56"/>
    <w:rsid w:val="00715363"/>
    <w:rsid w:val="00733C26"/>
    <w:rsid w:val="0075320B"/>
    <w:rsid w:val="00767151"/>
    <w:rsid w:val="007707B1"/>
    <w:rsid w:val="00794C32"/>
    <w:rsid w:val="007A42E3"/>
    <w:rsid w:val="007B0F74"/>
    <w:rsid w:val="007D6DDD"/>
    <w:rsid w:val="007E5C52"/>
    <w:rsid w:val="007F2D18"/>
    <w:rsid w:val="00804726"/>
    <w:rsid w:val="00805722"/>
    <w:rsid w:val="00814525"/>
    <w:rsid w:val="0082649C"/>
    <w:rsid w:val="00842EB8"/>
    <w:rsid w:val="00844264"/>
    <w:rsid w:val="008648A1"/>
    <w:rsid w:val="00872CFD"/>
    <w:rsid w:val="00885F23"/>
    <w:rsid w:val="008A07B9"/>
    <w:rsid w:val="008B75A3"/>
    <w:rsid w:val="008F592E"/>
    <w:rsid w:val="009007DA"/>
    <w:rsid w:val="009A0123"/>
    <w:rsid w:val="009B1D63"/>
    <w:rsid w:val="009B4BC3"/>
    <w:rsid w:val="009B65DE"/>
    <w:rsid w:val="009D4B5E"/>
    <w:rsid w:val="009E5B78"/>
    <w:rsid w:val="009E63CA"/>
    <w:rsid w:val="009F5AC0"/>
    <w:rsid w:val="009F6E2F"/>
    <w:rsid w:val="00A3314B"/>
    <w:rsid w:val="00A45DD5"/>
    <w:rsid w:val="00A4736E"/>
    <w:rsid w:val="00A71AAB"/>
    <w:rsid w:val="00A742D7"/>
    <w:rsid w:val="00A86D1A"/>
    <w:rsid w:val="00A963FC"/>
    <w:rsid w:val="00AD71CE"/>
    <w:rsid w:val="00B04EF9"/>
    <w:rsid w:val="00B073DB"/>
    <w:rsid w:val="00B16506"/>
    <w:rsid w:val="00B46926"/>
    <w:rsid w:val="00B526CC"/>
    <w:rsid w:val="00B52C08"/>
    <w:rsid w:val="00B93223"/>
    <w:rsid w:val="00B958F0"/>
    <w:rsid w:val="00BA18CF"/>
    <w:rsid w:val="00BA68CD"/>
    <w:rsid w:val="00BB3A42"/>
    <w:rsid w:val="00BB4B72"/>
    <w:rsid w:val="00BC3B73"/>
    <w:rsid w:val="00BD0E03"/>
    <w:rsid w:val="00BD67D0"/>
    <w:rsid w:val="00C029AC"/>
    <w:rsid w:val="00C06930"/>
    <w:rsid w:val="00C442F5"/>
    <w:rsid w:val="00C46477"/>
    <w:rsid w:val="00C7377F"/>
    <w:rsid w:val="00C93AB7"/>
    <w:rsid w:val="00C965C9"/>
    <w:rsid w:val="00CA6BD1"/>
    <w:rsid w:val="00CB0056"/>
    <w:rsid w:val="00CC034D"/>
    <w:rsid w:val="00CC6336"/>
    <w:rsid w:val="00CD5637"/>
    <w:rsid w:val="00CD660C"/>
    <w:rsid w:val="00CE2282"/>
    <w:rsid w:val="00CE66B5"/>
    <w:rsid w:val="00CF5133"/>
    <w:rsid w:val="00D45623"/>
    <w:rsid w:val="00D61A55"/>
    <w:rsid w:val="00D6334D"/>
    <w:rsid w:val="00D633B1"/>
    <w:rsid w:val="00D6677D"/>
    <w:rsid w:val="00D83F89"/>
    <w:rsid w:val="00D84693"/>
    <w:rsid w:val="00D84805"/>
    <w:rsid w:val="00D853F9"/>
    <w:rsid w:val="00D932EF"/>
    <w:rsid w:val="00D96E04"/>
    <w:rsid w:val="00DB3521"/>
    <w:rsid w:val="00E064CA"/>
    <w:rsid w:val="00E27040"/>
    <w:rsid w:val="00E5346D"/>
    <w:rsid w:val="00ED65EB"/>
    <w:rsid w:val="00F17B57"/>
    <w:rsid w:val="00F43A97"/>
    <w:rsid w:val="00F61F85"/>
    <w:rsid w:val="00F72078"/>
    <w:rsid w:val="00F842B0"/>
    <w:rsid w:val="00F85186"/>
    <w:rsid w:val="00FA62DB"/>
    <w:rsid w:val="00FB11EB"/>
    <w:rsid w:val="00FC5320"/>
    <w:rsid w:val="00FD1E59"/>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242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5B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character" w:styleId="Hyperlink">
    <w:name w:val="Hyperlink"/>
    <w:basedOn w:val="DefaultParagraphFont"/>
    <w:uiPriority w:val="99"/>
    <w:unhideWhenUsed/>
    <w:rsid w:val="004D1198"/>
    <w:rPr>
      <w:color w:val="0000FF"/>
      <w:u w:val="single"/>
    </w:rPr>
  </w:style>
  <w:style w:type="paragraph" w:customStyle="1" w:styleId="subsection-e">
    <w:name w:val="subsection-e"/>
    <w:basedOn w:val="Normal"/>
    <w:rsid w:val="004D1198"/>
    <w:pPr>
      <w:snapToGrid w:val="0"/>
      <w:spacing w:after="120"/>
      <w:ind w:firstLine="600"/>
    </w:pPr>
    <w:rPr>
      <w:color w:val="000000"/>
      <w:sz w:val="26"/>
      <w:szCs w:val="26"/>
    </w:rPr>
  </w:style>
  <w:style w:type="paragraph" w:customStyle="1" w:styleId="headnote-e">
    <w:name w:val="headnote-e"/>
    <w:basedOn w:val="Normal"/>
    <w:rsid w:val="004D1198"/>
    <w:pPr>
      <w:keepNext/>
      <w:snapToGrid w:val="0"/>
    </w:pPr>
    <w:rPr>
      <w:b/>
      <w:bCs/>
      <w:color w:val="000000"/>
      <w:sz w:val="26"/>
      <w:szCs w:val="26"/>
    </w:rPr>
  </w:style>
  <w:style w:type="paragraph" w:customStyle="1" w:styleId="NUMBEREDParagraph">
    <w:name w:val="NUMBERED Paragraph"/>
    <w:basedOn w:val="Normal"/>
    <w:autoRedefine/>
    <w:rsid w:val="000C65BE"/>
    <w:pPr>
      <w:widowControl w:val="0"/>
      <w:ind w:right="571"/>
    </w:pPr>
    <w:rPr>
      <w:rFonts w:ascii="Arial" w:hAnsi="Arial" w:cs="Arial"/>
      <w:b/>
      <w:bCs/>
      <w:kern w:val="26"/>
    </w:rPr>
  </w:style>
  <w:style w:type="character" w:customStyle="1" w:styleId="ssbf1">
    <w:name w:val="ss_bf1"/>
    <w:basedOn w:val="DefaultParagraphFont"/>
    <w:rsid w:val="00C7377F"/>
    <w:rPr>
      <w:b/>
      <w:bCs/>
      <w:color w:val="373739"/>
    </w:rPr>
  </w:style>
  <w:style w:type="character" w:customStyle="1" w:styleId="ssit2">
    <w:name w:val="ss_it2"/>
    <w:basedOn w:val="DefaultParagraphFont"/>
    <w:rsid w:val="00C7377F"/>
    <w:rPr>
      <w:i/>
      <w:iCs/>
    </w:rPr>
  </w:style>
  <w:style w:type="paragraph" w:styleId="NormalWeb">
    <w:name w:val="Normal (Web)"/>
    <w:basedOn w:val="Normal"/>
    <w:uiPriority w:val="99"/>
    <w:rsid w:val="00C7377F"/>
  </w:style>
  <w:style w:type="character" w:customStyle="1" w:styleId="UnresolvedMention1">
    <w:name w:val="Unresolved Mention1"/>
    <w:basedOn w:val="DefaultParagraphFont"/>
    <w:uiPriority w:val="99"/>
    <w:semiHidden/>
    <w:unhideWhenUsed/>
    <w:rsid w:val="000C65BE"/>
    <w:rPr>
      <w:color w:val="605E5C"/>
      <w:shd w:val="clear" w:color="auto" w:fill="E1DFDD"/>
    </w:rPr>
  </w:style>
  <w:style w:type="table" w:styleId="TableGrid">
    <w:name w:val="Table Grid"/>
    <w:basedOn w:val="TableNormal"/>
    <w:uiPriority w:val="59"/>
    <w:rsid w:val="000C65BE"/>
    <w:pPr>
      <w:spacing w:after="0" w:line="240" w:lineRule="auto"/>
    </w:pPr>
    <w:rPr>
      <w:rFonts w:ascii="Arial" w:hAnsi="Arial"/>
      <w:color w:val="000000" w:themeColor="text1"/>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708247">
      <w:bodyDiv w:val="1"/>
      <w:marLeft w:val="0"/>
      <w:marRight w:val="0"/>
      <w:marTop w:val="0"/>
      <w:marBottom w:val="0"/>
      <w:divBdr>
        <w:top w:val="none" w:sz="0" w:space="0" w:color="auto"/>
        <w:left w:val="none" w:sz="0" w:space="0" w:color="auto"/>
        <w:bottom w:val="none" w:sz="0" w:space="0" w:color="auto"/>
        <w:right w:val="none" w:sz="0" w:space="0" w:color="auto"/>
      </w:divBdr>
    </w:div>
    <w:div w:id="313488889">
      <w:bodyDiv w:val="1"/>
      <w:marLeft w:val="0"/>
      <w:marRight w:val="0"/>
      <w:marTop w:val="0"/>
      <w:marBottom w:val="0"/>
      <w:divBdr>
        <w:top w:val="none" w:sz="0" w:space="0" w:color="auto"/>
        <w:left w:val="none" w:sz="0" w:space="0" w:color="auto"/>
        <w:bottom w:val="none" w:sz="0" w:space="0" w:color="auto"/>
        <w:right w:val="none" w:sz="0" w:space="0" w:color="auto"/>
      </w:divBdr>
    </w:div>
    <w:div w:id="683096083">
      <w:bodyDiv w:val="1"/>
      <w:marLeft w:val="0"/>
      <w:marRight w:val="0"/>
      <w:marTop w:val="0"/>
      <w:marBottom w:val="0"/>
      <w:divBdr>
        <w:top w:val="none" w:sz="0" w:space="0" w:color="auto"/>
        <w:left w:val="none" w:sz="0" w:space="0" w:color="auto"/>
        <w:bottom w:val="none" w:sz="0" w:space="0" w:color="auto"/>
        <w:right w:val="none" w:sz="0" w:space="0" w:color="auto"/>
      </w:divBdr>
    </w:div>
    <w:div w:id="1183939189">
      <w:bodyDiv w:val="1"/>
      <w:marLeft w:val="0"/>
      <w:marRight w:val="0"/>
      <w:marTop w:val="0"/>
      <w:marBottom w:val="0"/>
      <w:divBdr>
        <w:top w:val="none" w:sz="0" w:space="0" w:color="auto"/>
        <w:left w:val="none" w:sz="0" w:space="0" w:color="auto"/>
        <w:bottom w:val="none" w:sz="0" w:space="0" w:color="auto"/>
        <w:right w:val="none" w:sz="0" w:space="0" w:color="auto"/>
      </w:divBdr>
    </w:div>
    <w:div w:id="1260335827">
      <w:bodyDiv w:val="1"/>
      <w:marLeft w:val="0"/>
      <w:marRight w:val="0"/>
      <w:marTop w:val="0"/>
      <w:marBottom w:val="0"/>
      <w:divBdr>
        <w:top w:val="none" w:sz="0" w:space="0" w:color="auto"/>
        <w:left w:val="none" w:sz="0" w:space="0" w:color="auto"/>
        <w:bottom w:val="none" w:sz="0" w:space="0" w:color="auto"/>
        <w:right w:val="none" w:sz="0" w:space="0" w:color="auto"/>
      </w:divBdr>
      <w:divsChild>
        <w:div w:id="2045714182">
          <w:marLeft w:val="0"/>
          <w:marRight w:val="0"/>
          <w:marTop w:val="0"/>
          <w:marBottom w:val="0"/>
          <w:divBdr>
            <w:top w:val="none" w:sz="0" w:space="0" w:color="auto"/>
            <w:left w:val="none" w:sz="0" w:space="0" w:color="auto"/>
            <w:bottom w:val="none" w:sz="0" w:space="0" w:color="auto"/>
            <w:right w:val="none" w:sz="0" w:space="0" w:color="auto"/>
          </w:divBdr>
          <w:divsChild>
            <w:div w:id="18254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7972D7-3719-4A5D-9086-39847945D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1447</Words>
  <Characters>8251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2020-05-15T15:17:00Z</dcterms:created>
  <dcterms:modified xsi:type="dcterms:W3CDTF">2020-05-15T15:17:00Z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Shoshana.Bentley-Jacobs@ontario.ca</vt:lpwstr>
  </property>
  <property fmtid="{D5CDD505-2E9C-101B-9397-08002B2CF9AE}" pid="5" name="MSIP_Label_034a106e-6316-442c-ad35-738afd673d2b_SetDate">
    <vt:lpwstr>2019-12-04T21:17:15.1676318Z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7456c61e-a2ae-46f4-9132-ccc99e0bf52e</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