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D1C0B" w14:textId="398578DB" w:rsidR="00A16F4C" w:rsidRPr="009C6218" w:rsidRDefault="00E0233F" w:rsidP="00F77B58">
      <w:pPr>
        <w:spacing w:line="360" w:lineRule="auto"/>
        <w:jc w:val="center"/>
        <w:rPr>
          <w:rFonts w:asciiTheme="minorHAnsi" w:eastAsia="Times New Roman" w:hAnsiTheme="minorHAnsi" w:cstheme="minorHAnsi"/>
          <w:b/>
          <w:sz w:val="44"/>
          <w:szCs w:val="44"/>
          <w:lang w:val="fr-CA" w:eastAsia="en-CA"/>
        </w:rPr>
      </w:pPr>
      <w:bookmarkStart w:id="0" w:name="_GoBack"/>
      <w:bookmarkEnd w:id="0"/>
      <w:r w:rsidRPr="009C6218">
        <w:rPr>
          <w:b/>
          <w:sz w:val="44"/>
          <w:szCs w:val="44"/>
          <w:lang w:val="fr-CA"/>
        </w:rPr>
        <w:t>Conseil d’évaluation des juges de paix</w:t>
      </w:r>
    </w:p>
    <w:bookmarkStart w:id="1" w:name="_MON_1606631971"/>
    <w:bookmarkEnd w:id="1"/>
    <w:p w14:paraId="0001371B" w14:textId="293400F3" w:rsidR="00F77B58" w:rsidRPr="009C6218" w:rsidRDefault="00F77B58" w:rsidP="00F77B58">
      <w:pPr>
        <w:spacing w:line="360" w:lineRule="auto"/>
        <w:jc w:val="center"/>
        <w:rPr>
          <w:rFonts w:asciiTheme="minorHAnsi" w:eastAsia="Times New Roman" w:hAnsiTheme="minorHAnsi" w:cstheme="minorHAnsi"/>
          <w:b/>
          <w:sz w:val="44"/>
          <w:szCs w:val="44"/>
          <w:lang w:val="fr-CA" w:eastAsia="en-CA"/>
        </w:rPr>
      </w:pPr>
      <w:r w:rsidRPr="009C6218">
        <w:rPr>
          <w:rFonts w:ascii="Times New Roman" w:eastAsia="Times New Roman" w:hAnsi="Times New Roman" w:cs="Times New Roman"/>
          <w:lang w:val="fr-CA" w:eastAsia="en-CA"/>
        </w:rPr>
        <w:object w:dxaOrig="1140" w:dyaOrig="1035" w14:anchorId="32ABFE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ntario Judicial Council logo" style="width:79.5pt;height:1in" o:ole="" o:allowoverlap="f" fillcolor="window">
            <v:imagedata r:id="rId8" o:title="" blacklevel="7864f" grayscale="t" bilevel="t"/>
          </v:shape>
          <o:OLEObject Type="Embed" ProgID="Word.Picture.8" ShapeID="_x0000_i1025" DrawAspect="Content" ObjectID="_1653723968" r:id="rId9"/>
        </w:object>
      </w:r>
      <w:r w:rsidRPr="009C6218">
        <w:rPr>
          <w:rFonts w:asciiTheme="minorHAnsi" w:eastAsia="Times New Roman" w:hAnsiTheme="minorHAnsi" w:cstheme="minorHAnsi"/>
          <w:b/>
          <w:sz w:val="44"/>
          <w:szCs w:val="44"/>
          <w:lang w:val="fr-CA" w:eastAsia="en-CA"/>
        </w:rPr>
        <w:br w:type="textWrapping" w:clear="all"/>
      </w:r>
      <w:r w:rsidR="00E0233F" w:rsidRPr="009C6218">
        <w:rPr>
          <w:rFonts w:asciiTheme="minorHAnsi" w:hAnsiTheme="minorHAnsi" w:cstheme="minorHAnsi"/>
          <w:b/>
          <w:sz w:val="32"/>
          <w:szCs w:val="32"/>
          <w:lang w:val="fr-CA"/>
        </w:rPr>
        <w:t xml:space="preserve">DANS L’AFFAIRE D’UNE AUDIENCE EN VERTU DE L'ARTICLE 11.1 DE LA </w:t>
      </w:r>
      <w:r w:rsidR="00E0233F" w:rsidRPr="009C6218">
        <w:rPr>
          <w:rFonts w:asciiTheme="minorHAnsi" w:hAnsiTheme="minorHAnsi" w:cstheme="minorHAnsi"/>
          <w:b/>
          <w:i/>
          <w:sz w:val="32"/>
          <w:szCs w:val="32"/>
          <w:lang w:val="fr-CA"/>
        </w:rPr>
        <w:t>LOI SUR LES JUGES DE PAIX</w:t>
      </w:r>
      <w:r w:rsidR="00E0233F" w:rsidRPr="009C6218">
        <w:rPr>
          <w:rFonts w:asciiTheme="minorHAnsi" w:hAnsiTheme="minorHAnsi" w:cstheme="minorHAnsi"/>
          <w:b/>
          <w:sz w:val="32"/>
          <w:szCs w:val="32"/>
          <w:lang w:val="fr-CA"/>
        </w:rPr>
        <w:t>, L.R.O.</w:t>
      </w:r>
      <w:r w:rsidR="001818E3" w:rsidRPr="009C6218">
        <w:rPr>
          <w:rFonts w:asciiTheme="minorHAnsi" w:hAnsiTheme="minorHAnsi" w:cstheme="minorHAnsi"/>
          <w:b/>
          <w:sz w:val="32"/>
          <w:szCs w:val="32"/>
          <w:lang w:val="fr-CA"/>
        </w:rPr>
        <w:t> </w:t>
      </w:r>
      <w:r w:rsidR="00E0233F" w:rsidRPr="009C6218">
        <w:rPr>
          <w:rFonts w:asciiTheme="minorHAnsi" w:hAnsiTheme="minorHAnsi" w:cstheme="minorHAnsi"/>
          <w:b/>
          <w:sz w:val="32"/>
          <w:szCs w:val="32"/>
          <w:lang w:val="fr-CA"/>
        </w:rPr>
        <w:t>1990, ch. J.4, DANS SA VERSION MODIFIÉE,</w:t>
      </w:r>
    </w:p>
    <w:p w14:paraId="49ABC41A" w14:textId="77777777" w:rsidR="00F77B58" w:rsidRPr="009C6218" w:rsidRDefault="00F77B58" w:rsidP="00F77B58">
      <w:pPr>
        <w:jc w:val="center"/>
        <w:rPr>
          <w:rFonts w:asciiTheme="minorHAnsi" w:eastAsia="Times New Roman" w:hAnsiTheme="minorHAnsi" w:cstheme="minorHAnsi"/>
          <w:b/>
          <w:sz w:val="32"/>
          <w:szCs w:val="32"/>
          <w:lang w:val="fr-CA" w:eastAsia="en-CA"/>
        </w:rPr>
      </w:pPr>
    </w:p>
    <w:p w14:paraId="4DB0F2BA" w14:textId="42F00B75" w:rsidR="00F77B58" w:rsidRPr="009C6218" w:rsidRDefault="00E0233F" w:rsidP="00E0233F">
      <w:pPr>
        <w:jc w:val="center"/>
        <w:rPr>
          <w:rFonts w:asciiTheme="minorHAnsi" w:eastAsia="Times New Roman" w:hAnsiTheme="minorHAnsi" w:cstheme="minorHAnsi"/>
          <w:b/>
          <w:sz w:val="32"/>
          <w:szCs w:val="32"/>
          <w:lang w:val="fr-CA" w:eastAsia="en-CA"/>
        </w:rPr>
      </w:pPr>
      <w:r w:rsidRPr="009C6218">
        <w:rPr>
          <w:b/>
          <w:sz w:val="32"/>
          <w:szCs w:val="32"/>
          <w:lang w:val="fr-CA"/>
        </w:rPr>
        <w:t xml:space="preserve">En ce qui concerne trois plaintes au sujet de la conduite de la juge de paix </w:t>
      </w:r>
      <w:r w:rsidR="00F77B58" w:rsidRPr="009C6218">
        <w:rPr>
          <w:rFonts w:asciiTheme="minorHAnsi" w:eastAsia="Times New Roman" w:hAnsiTheme="minorHAnsi" w:cstheme="minorHAnsi"/>
          <w:b/>
          <w:sz w:val="32"/>
          <w:szCs w:val="32"/>
          <w:lang w:val="fr-CA" w:eastAsia="en-CA"/>
        </w:rPr>
        <w:t xml:space="preserve">Julie Lauzon </w:t>
      </w:r>
    </w:p>
    <w:p w14:paraId="185CB9AA" w14:textId="6BEFEC7C" w:rsidR="00F77B58" w:rsidRPr="009C6218" w:rsidRDefault="00E0233F" w:rsidP="003024D8">
      <w:pPr>
        <w:spacing w:before="240" w:after="240"/>
        <w:ind w:right="-448"/>
        <w:jc w:val="left"/>
        <w:rPr>
          <w:rFonts w:asciiTheme="minorHAnsi" w:eastAsia="Times New Roman" w:hAnsiTheme="minorHAnsi" w:cstheme="minorHAnsi"/>
          <w:lang w:val="fr-CA" w:eastAsia="en-CA"/>
        </w:rPr>
      </w:pPr>
      <w:r w:rsidRPr="009C6218">
        <w:rPr>
          <w:sz w:val="26"/>
          <w:szCs w:val="26"/>
          <w:lang w:val="fr-CA"/>
        </w:rPr>
        <w:t>Devant :</w:t>
      </w:r>
      <w:r w:rsidR="00F77B58" w:rsidRPr="009C6218">
        <w:rPr>
          <w:rFonts w:asciiTheme="minorHAnsi" w:eastAsia="Times New Roman" w:hAnsiTheme="minorHAnsi" w:cstheme="minorHAnsi"/>
          <w:sz w:val="26"/>
          <w:szCs w:val="26"/>
          <w:lang w:val="fr-CA" w:eastAsia="en-CA"/>
        </w:rPr>
        <w:tab/>
      </w:r>
      <w:r w:rsidR="00F77B58" w:rsidRPr="009C6218">
        <w:rPr>
          <w:rFonts w:asciiTheme="minorHAnsi" w:eastAsia="Times New Roman" w:hAnsiTheme="minorHAnsi" w:cstheme="minorHAnsi"/>
          <w:sz w:val="26"/>
          <w:szCs w:val="26"/>
          <w:lang w:val="fr-CA" w:eastAsia="en-CA"/>
        </w:rPr>
        <w:tab/>
      </w:r>
      <w:r w:rsidR="00F77B58" w:rsidRPr="009C6218">
        <w:rPr>
          <w:rFonts w:asciiTheme="minorHAnsi" w:eastAsia="Times New Roman" w:hAnsiTheme="minorHAnsi" w:cstheme="minorHAnsi"/>
          <w:sz w:val="26"/>
          <w:szCs w:val="26"/>
          <w:lang w:val="fr-CA" w:eastAsia="en-CA"/>
        </w:rPr>
        <w:tab/>
      </w:r>
      <w:r w:rsidRPr="009C6218">
        <w:rPr>
          <w:lang w:val="fr-CA"/>
        </w:rPr>
        <w:t xml:space="preserve">L’honorable juge </w:t>
      </w:r>
      <w:r w:rsidR="00F77B58" w:rsidRPr="009C6218">
        <w:rPr>
          <w:rFonts w:asciiTheme="minorHAnsi" w:eastAsia="Times New Roman" w:hAnsiTheme="minorHAnsi" w:cstheme="minorHAnsi"/>
          <w:lang w:val="fr-CA" w:eastAsia="en-CA"/>
        </w:rPr>
        <w:t xml:space="preserve">Feroza Bhabha, </w:t>
      </w:r>
      <w:r w:rsidRPr="009C6218">
        <w:rPr>
          <w:rFonts w:asciiTheme="minorHAnsi" w:eastAsia="Times New Roman" w:hAnsiTheme="minorHAnsi" w:cstheme="minorHAnsi"/>
          <w:lang w:val="fr-CA" w:eastAsia="en-CA"/>
        </w:rPr>
        <w:t>présidente</w:t>
      </w:r>
    </w:p>
    <w:p w14:paraId="384B7E68" w14:textId="2B728467" w:rsidR="00F77B58" w:rsidRPr="009C6218" w:rsidRDefault="003024D8" w:rsidP="00F77B58">
      <w:pPr>
        <w:spacing w:before="240" w:after="240"/>
        <w:ind w:left="1440" w:right="-448" w:firstLine="720"/>
        <w:jc w:val="left"/>
        <w:rPr>
          <w:rFonts w:asciiTheme="minorHAnsi" w:eastAsia="Times New Roman" w:hAnsiTheme="minorHAnsi" w:cstheme="minorHAnsi"/>
          <w:lang w:val="fr-CA" w:eastAsia="en-CA"/>
        </w:rPr>
      </w:pPr>
      <w:r w:rsidRPr="009C6218">
        <w:rPr>
          <w:rFonts w:asciiTheme="minorHAnsi" w:eastAsia="Times New Roman" w:hAnsiTheme="minorHAnsi" w:cstheme="minorHAnsi"/>
          <w:lang w:val="fr-CA" w:eastAsia="en-CA"/>
        </w:rPr>
        <w:tab/>
      </w:r>
      <w:r w:rsidR="00E0233F" w:rsidRPr="009C6218">
        <w:rPr>
          <w:lang w:val="fr-CA"/>
        </w:rPr>
        <w:t xml:space="preserve">Le juge de paix </w:t>
      </w:r>
      <w:r w:rsidR="00F77B58" w:rsidRPr="009C6218">
        <w:rPr>
          <w:rFonts w:asciiTheme="minorHAnsi" w:eastAsia="Times New Roman" w:hAnsiTheme="minorHAnsi" w:cstheme="minorHAnsi"/>
          <w:lang w:val="fr-CA" w:eastAsia="en-CA"/>
        </w:rPr>
        <w:t xml:space="preserve">Thomas Stinson, </w:t>
      </w:r>
      <w:r w:rsidR="00E0233F" w:rsidRPr="009C6218">
        <w:rPr>
          <w:lang w:val="fr-CA"/>
        </w:rPr>
        <w:t>membre juge de paix</w:t>
      </w:r>
    </w:p>
    <w:p w14:paraId="433D38D8" w14:textId="387573C8" w:rsidR="00F77B58" w:rsidRPr="009C6218" w:rsidRDefault="003024D8" w:rsidP="00F77B58">
      <w:pPr>
        <w:spacing w:before="240" w:after="240"/>
        <w:ind w:left="1440" w:right="-448" w:firstLine="720"/>
        <w:jc w:val="left"/>
        <w:rPr>
          <w:rFonts w:asciiTheme="minorHAnsi" w:eastAsia="Times New Roman" w:hAnsiTheme="minorHAnsi" w:cstheme="minorHAnsi"/>
          <w:lang w:val="fr-CA" w:eastAsia="en-CA"/>
        </w:rPr>
      </w:pPr>
      <w:r w:rsidRPr="009C6218">
        <w:rPr>
          <w:rFonts w:asciiTheme="minorHAnsi" w:eastAsia="Times New Roman" w:hAnsiTheme="minorHAnsi" w:cstheme="minorHAnsi"/>
          <w:lang w:val="fr-CA" w:eastAsia="en-CA"/>
        </w:rPr>
        <w:tab/>
      </w:r>
      <w:r w:rsidR="00E0233F" w:rsidRPr="009C6218">
        <w:rPr>
          <w:lang w:val="fr-CA"/>
        </w:rPr>
        <w:t>Madame</w:t>
      </w:r>
      <w:r w:rsidR="00E0233F" w:rsidRPr="009C6218">
        <w:rPr>
          <w:rFonts w:asciiTheme="minorHAnsi" w:eastAsia="Times New Roman" w:hAnsiTheme="minorHAnsi" w:cstheme="minorHAnsi"/>
          <w:lang w:val="fr-CA" w:eastAsia="en-CA"/>
        </w:rPr>
        <w:t xml:space="preserve"> </w:t>
      </w:r>
      <w:r w:rsidR="00F77B58" w:rsidRPr="009C6218">
        <w:rPr>
          <w:rFonts w:asciiTheme="minorHAnsi" w:eastAsia="Times New Roman" w:hAnsiTheme="minorHAnsi" w:cstheme="minorHAnsi"/>
          <w:lang w:val="fr-CA" w:eastAsia="en-CA"/>
        </w:rPr>
        <w:t xml:space="preserve">Margot Blight, </w:t>
      </w:r>
      <w:r w:rsidR="00E0233F" w:rsidRPr="009C6218">
        <w:rPr>
          <w:rFonts w:asciiTheme="minorHAnsi" w:eastAsia="Times New Roman" w:hAnsiTheme="minorHAnsi" w:cstheme="minorHAnsi"/>
          <w:lang w:val="fr-CA" w:eastAsia="en-CA"/>
        </w:rPr>
        <w:t>membre avocate</w:t>
      </w:r>
    </w:p>
    <w:p w14:paraId="1EBA80E0" w14:textId="77777777" w:rsidR="00F77B58" w:rsidRPr="009C6218" w:rsidRDefault="00F77B58" w:rsidP="00F77B58">
      <w:pPr>
        <w:spacing w:before="240" w:after="240"/>
        <w:ind w:left="1440" w:hanging="1440"/>
        <w:jc w:val="left"/>
        <w:rPr>
          <w:rFonts w:asciiTheme="minorHAnsi" w:eastAsia="Times New Roman" w:hAnsiTheme="minorHAnsi" w:cstheme="minorHAnsi"/>
          <w:sz w:val="26"/>
          <w:szCs w:val="26"/>
          <w:lang w:val="fr-CA" w:eastAsia="en-CA"/>
        </w:rPr>
      </w:pPr>
    </w:p>
    <w:p w14:paraId="73EED302" w14:textId="2F6EE4B3" w:rsidR="00F77B58" w:rsidRPr="009C6218" w:rsidRDefault="00E0233F" w:rsidP="00F77B58">
      <w:pPr>
        <w:jc w:val="center"/>
        <w:rPr>
          <w:rFonts w:asciiTheme="minorHAnsi" w:eastAsia="Times New Roman" w:hAnsiTheme="minorHAnsi" w:cstheme="minorHAnsi"/>
          <w:sz w:val="28"/>
          <w:szCs w:val="28"/>
          <w:lang w:val="fr-CA" w:eastAsia="en-CA"/>
        </w:rPr>
      </w:pPr>
      <w:r w:rsidRPr="009C6218">
        <w:rPr>
          <w:rFonts w:asciiTheme="minorHAnsi" w:eastAsia="Times New Roman" w:hAnsiTheme="minorHAnsi" w:cstheme="minorHAnsi"/>
          <w:b/>
          <w:sz w:val="28"/>
          <w:szCs w:val="28"/>
          <w:lang w:val="fr-CA" w:eastAsia="en-CA"/>
        </w:rPr>
        <w:t>MOTIFS DE DÉCISION</w:t>
      </w:r>
    </w:p>
    <w:p w14:paraId="2C21F86D" w14:textId="77777777" w:rsidR="00F77B58" w:rsidRPr="009C6218" w:rsidRDefault="00F77B58" w:rsidP="00F77B58">
      <w:pPr>
        <w:jc w:val="left"/>
        <w:rPr>
          <w:rFonts w:asciiTheme="minorHAnsi" w:eastAsia="Times New Roman" w:hAnsiTheme="minorHAnsi" w:cstheme="minorHAnsi"/>
          <w:b/>
          <w:sz w:val="26"/>
          <w:szCs w:val="26"/>
          <w:lang w:val="fr-CA" w:eastAsia="en-CA"/>
        </w:rPr>
      </w:pPr>
    </w:p>
    <w:p w14:paraId="2E443B73" w14:textId="1F7BC541" w:rsidR="00F77B58" w:rsidRPr="009C6218" w:rsidRDefault="00E0233F" w:rsidP="00F77B58">
      <w:pPr>
        <w:jc w:val="left"/>
        <w:rPr>
          <w:rFonts w:asciiTheme="minorHAnsi" w:eastAsia="Times New Roman" w:hAnsiTheme="minorHAnsi" w:cstheme="minorHAnsi"/>
          <w:b/>
          <w:sz w:val="26"/>
          <w:szCs w:val="26"/>
          <w:lang w:val="fr-CA" w:eastAsia="en-CA"/>
        </w:rPr>
      </w:pPr>
      <w:r w:rsidRPr="009C6218">
        <w:rPr>
          <w:rFonts w:asciiTheme="minorHAnsi" w:eastAsia="Times New Roman" w:hAnsiTheme="minorHAnsi" w:cstheme="minorHAnsi"/>
          <w:b/>
          <w:sz w:val="26"/>
          <w:szCs w:val="26"/>
          <w:lang w:val="fr-CA" w:eastAsia="en-CA"/>
        </w:rPr>
        <w:t xml:space="preserve">Avocats </w:t>
      </w:r>
      <w:r w:rsidR="00F77B58" w:rsidRPr="009C6218">
        <w:rPr>
          <w:rFonts w:asciiTheme="minorHAnsi" w:eastAsia="Times New Roman" w:hAnsiTheme="minorHAnsi" w:cstheme="minorHAnsi"/>
          <w:b/>
          <w:sz w:val="26"/>
          <w:szCs w:val="26"/>
          <w:lang w:val="fr-CA" w:eastAsia="en-CA"/>
        </w:rPr>
        <w:t>:</w:t>
      </w:r>
    </w:p>
    <w:p w14:paraId="0AA97A0E" w14:textId="77777777" w:rsidR="00F77B58" w:rsidRPr="009C6218" w:rsidRDefault="00F77B58" w:rsidP="00F77B58">
      <w:pPr>
        <w:ind w:left="2160" w:hanging="2160"/>
        <w:jc w:val="left"/>
        <w:rPr>
          <w:rFonts w:asciiTheme="minorHAnsi" w:eastAsia="Times New Roman" w:hAnsiTheme="minorHAnsi" w:cstheme="minorHAnsi"/>
          <w:sz w:val="26"/>
          <w:szCs w:val="26"/>
          <w:lang w:val="fr-CA" w:eastAsia="en-CA"/>
        </w:rPr>
      </w:pPr>
    </w:p>
    <w:p w14:paraId="22BC254F" w14:textId="6CAE988F" w:rsidR="00F77B58" w:rsidRPr="009C6218" w:rsidRDefault="00E0233F" w:rsidP="00E5223E">
      <w:pPr>
        <w:tabs>
          <w:tab w:val="left" w:pos="4253"/>
        </w:tabs>
        <w:ind w:left="2160" w:hanging="2160"/>
        <w:jc w:val="left"/>
        <w:rPr>
          <w:rFonts w:asciiTheme="minorHAnsi" w:eastAsia="Times New Roman" w:hAnsiTheme="minorHAnsi" w:cstheme="minorHAnsi"/>
          <w:lang w:val="fr-CA" w:eastAsia="en-CA"/>
        </w:rPr>
      </w:pPr>
      <w:r w:rsidRPr="009C6218">
        <w:rPr>
          <w:rFonts w:asciiTheme="minorHAnsi" w:eastAsia="Times New Roman" w:hAnsiTheme="minorHAnsi" w:cstheme="minorHAnsi"/>
          <w:lang w:val="fr-CA" w:eastAsia="en-CA"/>
        </w:rPr>
        <w:t>Me</w:t>
      </w:r>
      <w:r w:rsidR="00F77B58" w:rsidRPr="009C6218">
        <w:rPr>
          <w:rFonts w:asciiTheme="minorHAnsi" w:eastAsia="Times New Roman" w:hAnsiTheme="minorHAnsi" w:cstheme="minorHAnsi"/>
          <w:lang w:val="fr-CA" w:eastAsia="en-CA"/>
        </w:rPr>
        <w:t xml:space="preserve"> Ian Smith </w:t>
      </w:r>
      <w:r w:rsidRPr="009C6218">
        <w:rPr>
          <w:rFonts w:asciiTheme="minorHAnsi" w:eastAsia="Times New Roman" w:hAnsiTheme="minorHAnsi" w:cstheme="minorHAnsi"/>
          <w:lang w:val="fr-CA" w:eastAsia="en-CA"/>
        </w:rPr>
        <w:t>et</w:t>
      </w:r>
      <w:r w:rsidR="00F77B58" w:rsidRPr="009C6218">
        <w:rPr>
          <w:rFonts w:asciiTheme="minorHAnsi" w:eastAsia="Times New Roman" w:hAnsiTheme="minorHAnsi" w:cstheme="minorHAnsi"/>
          <w:lang w:val="fr-CA" w:eastAsia="en-CA"/>
        </w:rPr>
        <w:t xml:space="preserve"> M</w:t>
      </w:r>
      <w:r w:rsidRPr="009C6218">
        <w:rPr>
          <w:rFonts w:asciiTheme="minorHAnsi" w:eastAsia="Times New Roman" w:hAnsiTheme="minorHAnsi" w:cstheme="minorHAnsi"/>
          <w:lang w:val="fr-CA" w:eastAsia="en-CA"/>
        </w:rPr>
        <w:t>e</w:t>
      </w:r>
      <w:r w:rsidR="00E5223E" w:rsidRPr="009C6218">
        <w:rPr>
          <w:rFonts w:asciiTheme="minorHAnsi" w:eastAsia="Times New Roman" w:hAnsiTheme="minorHAnsi" w:cstheme="minorHAnsi"/>
          <w:lang w:val="fr-CA" w:eastAsia="en-CA"/>
        </w:rPr>
        <w:t xml:space="preserve"> Andrew </w:t>
      </w:r>
      <w:r w:rsidR="00A16F4C" w:rsidRPr="009C6218">
        <w:rPr>
          <w:rFonts w:asciiTheme="minorHAnsi" w:eastAsia="Times New Roman" w:hAnsiTheme="minorHAnsi" w:cstheme="minorHAnsi"/>
          <w:lang w:val="fr-CA" w:eastAsia="en-CA"/>
        </w:rPr>
        <w:t>Guaglio</w:t>
      </w:r>
      <w:r w:rsidR="00F77B58" w:rsidRPr="009C6218">
        <w:rPr>
          <w:rFonts w:asciiTheme="minorHAnsi" w:eastAsia="Times New Roman" w:hAnsiTheme="minorHAnsi" w:cstheme="minorHAnsi"/>
          <w:lang w:val="fr-CA" w:eastAsia="en-CA"/>
        </w:rPr>
        <w:tab/>
      </w:r>
      <w:r w:rsidR="00F77B58" w:rsidRPr="009C6218">
        <w:rPr>
          <w:rFonts w:asciiTheme="minorHAnsi" w:eastAsia="Times New Roman" w:hAnsiTheme="minorHAnsi" w:cstheme="minorHAnsi"/>
          <w:lang w:val="fr-CA" w:eastAsia="en-CA"/>
        </w:rPr>
        <w:tab/>
      </w:r>
      <w:r w:rsidR="00F77B58" w:rsidRPr="009C6218">
        <w:rPr>
          <w:rFonts w:asciiTheme="minorHAnsi" w:eastAsia="Times New Roman" w:hAnsiTheme="minorHAnsi" w:cstheme="minorHAnsi"/>
          <w:lang w:val="fr-CA" w:eastAsia="en-CA"/>
        </w:rPr>
        <w:tab/>
        <w:t xml:space="preserve"> </w:t>
      </w:r>
      <w:r w:rsidR="00F77B58" w:rsidRPr="009C6218">
        <w:rPr>
          <w:rFonts w:asciiTheme="minorHAnsi" w:eastAsia="Times New Roman" w:hAnsiTheme="minorHAnsi" w:cstheme="minorHAnsi"/>
          <w:lang w:val="fr-CA" w:eastAsia="en-CA"/>
        </w:rPr>
        <w:tab/>
      </w:r>
    </w:p>
    <w:p w14:paraId="26F00059" w14:textId="4A547B52" w:rsidR="00F77B58" w:rsidRPr="009C6218" w:rsidRDefault="00E0233F" w:rsidP="00F77B58">
      <w:pPr>
        <w:ind w:left="2160" w:hanging="2160"/>
        <w:jc w:val="left"/>
        <w:rPr>
          <w:rFonts w:asciiTheme="minorHAnsi" w:eastAsia="Times New Roman" w:hAnsiTheme="minorHAnsi" w:cstheme="minorHAnsi"/>
          <w:lang w:val="fr-CA" w:eastAsia="en-CA"/>
        </w:rPr>
      </w:pPr>
      <w:r w:rsidRPr="009C6218">
        <w:rPr>
          <w:lang w:val="fr-CA"/>
        </w:rPr>
        <w:t xml:space="preserve">Avocats chargés de </w:t>
      </w:r>
      <w:r w:rsidR="001818E3" w:rsidRPr="009C6218">
        <w:rPr>
          <w:lang w:val="fr-CA"/>
        </w:rPr>
        <w:t>la présentation</w:t>
      </w:r>
    </w:p>
    <w:p w14:paraId="604A1618" w14:textId="77777777" w:rsidR="00F77B58" w:rsidRPr="009C6218" w:rsidRDefault="00F77B58" w:rsidP="00F77B58">
      <w:pPr>
        <w:ind w:left="2160" w:hanging="2160"/>
        <w:jc w:val="left"/>
        <w:rPr>
          <w:rFonts w:asciiTheme="minorHAnsi" w:eastAsia="Times New Roman" w:hAnsiTheme="minorHAnsi" w:cstheme="minorHAnsi"/>
          <w:lang w:val="fr-CA" w:eastAsia="en-CA"/>
        </w:rPr>
      </w:pPr>
    </w:p>
    <w:p w14:paraId="153E86AA" w14:textId="798647E0" w:rsidR="00F77B58" w:rsidRPr="009C6218" w:rsidRDefault="00E0233F" w:rsidP="00F77B58">
      <w:pPr>
        <w:jc w:val="left"/>
        <w:rPr>
          <w:rFonts w:asciiTheme="majorHAnsi" w:eastAsia="Times New Roman" w:hAnsiTheme="majorHAnsi" w:cstheme="majorHAnsi"/>
          <w:lang w:val="fr-CA" w:eastAsia="en-CA"/>
        </w:rPr>
      </w:pPr>
      <w:r w:rsidRPr="009C6218">
        <w:rPr>
          <w:rFonts w:asciiTheme="minorHAnsi" w:eastAsia="Times New Roman" w:hAnsiTheme="minorHAnsi" w:cstheme="minorHAnsi"/>
          <w:lang w:val="fr-CA" w:eastAsia="en-CA"/>
        </w:rPr>
        <w:t xml:space="preserve">Me </w:t>
      </w:r>
      <w:r w:rsidR="00F77B58" w:rsidRPr="009C6218">
        <w:rPr>
          <w:rFonts w:asciiTheme="minorHAnsi" w:eastAsia="Times New Roman" w:hAnsiTheme="minorHAnsi" w:cstheme="minorHAnsi"/>
          <w:lang w:val="fr-CA" w:eastAsia="en-CA"/>
        </w:rPr>
        <w:t xml:space="preserve">Lawrence </w:t>
      </w:r>
      <w:r w:rsidR="00F77B58" w:rsidRPr="009C6218">
        <w:rPr>
          <w:rFonts w:asciiTheme="majorHAnsi" w:eastAsia="Times New Roman" w:hAnsiTheme="majorHAnsi" w:cstheme="majorHAnsi"/>
          <w:lang w:val="fr-CA" w:eastAsia="en-CA"/>
        </w:rPr>
        <w:t>Greenspon</w:t>
      </w:r>
      <w:r w:rsidR="004F4ED2" w:rsidRPr="009C6218">
        <w:rPr>
          <w:rFonts w:asciiTheme="majorHAnsi" w:eastAsia="Times New Roman" w:hAnsiTheme="majorHAnsi" w:cstheme="majorHAnsi"/>
          <w:lang w:val="fr-CA" w:eastAsia="en-CA"/>
        </w:rPr>
        <w:t xml:space="preserve"> </w:t>
      </w:r>
      <w:r w:rsidRPr="009C6218">
        <w:rPr>
          <w:rFonts w:asciiTheme="majorHAnsi" w:eastAsia="Times New Roman" w:hAnsiTheme="majorHAnsi" w:cstheme="majorHAnsi"/>
          <w:lang w:val="fr-CA" w:eastAsia="en-CA"/>
        </w:rPr>
        <w:t>et</w:t>
      </w:r>
      <w:r w:rsidR="004F4ED2" w:rsidRPr="009C6218">
        <w:rPr>
          <w:rFonts w:asciiTheme="majorHAnsi" w:eastAsia="Times New Roman" w:hAnsiTheme="majorHAnsi" w:cstheme="majorHAnsi"/>
          <w:lang w:val="fr-CA" w:eastAsia="en-CA"/>
        </w:rPr>
        <w:t xml:space="preserve"> </w:t>
      </w:r>
      <w:r w:rsidRPr="009C6218">
        <w:rPr>
          <w:rFonts w:asciiTheme="minorHAnsi" w:eastAsia="Times New Roman" w:hAnsiTheme="minorHAnsi" w:cstheme="minorHAnsi"/>
          <w:lang w:val="fr-CA" w:eastAsia="en-CA"/>
        </w:rPr>
        <w:t>Me</w:t>
      </w:r>
      <w:r w:rsidR="004F4ED2" w:rsidRPr="009C6218">
        <w:rPr>
          <w:rFonts w:asciiTheme="majorHAnsi" w:eastAsia="Times New Roman" w:hAnsiTheme="majorHAnsi" w:cstheme="majorHAnsi"/>
          <w:lang w:val="fr-CA" w:eastAsia="en-CA"/>
        </w:rPr>
        <w:t xml:space="preserve"> Graham </w:t>
      </w:r>
      <w:proofErr w:type="spellStart"/>
      <w:r w:rsidR="004F4ED2" w:rsidRPr="009C6218">
        <w:rPr>
          <w:rFonts w:asciiTheme="majorHAnsi" w:eastAsia="Times New Roman" w:hAnsiTheme="majorHAnsi" w:cstheme="majorHAnsi"/>
          <w:lang w:val="fr-CA" w:eastAsia="en-CA"/>
        </w:rPr>
        <w:t>Bebbington</w:t>
      </w:r>
      <w:proofErr w:type="spellEnd"/>
    </w:p>
    <w:p w14:paraId="1AC0E979" w14:textId="3E3F5484" w:rsidR="00F77B58" w:rsidRPr="009C6218" w:rsidRDefault="00E0233F" w:rsidP="00F77B58">
      <w:pPr>
        <w:jc w:val="left"/>
        <w:rPr>
          <w:rFonts w:asciiTheme="minorHAnsi" w:eastAsia="Times New Roman" w:hAnsiTheme="minorHAnsi" w:cstheme="minorHAnsi"/>
          <w:lang w:val="fr-CA" w:eastAsia="en-CA"/>
        </w:rPr>
      </w:pPr>
      <w:r w:rsidRPr="009C6218">
        <w:rPr>
          <w:rFonts w:asciiTheme="minorHAnsi" w:eastAsia="Times New Roman" w:hAnsiTheme="minorHAnsi" w:cstheme="minorHAnsi"/>
          <w:lang w:val="fr-CA" w:eastAsia="en-CA"/>
        </w:rPr>
        <w:t>Avocats de la juge de paix</w:t>
      </w:r>
      <w:r w:rsidR="00F77B58" w:rsidRPr="009C6218">
        <w:rPr>
          <w:rFonts w:asciiTheme="minorHAnsi" w:eastAsia="Times New Roman" w:hAnsiTheme="minorHAnsi" w:cstheme="minorHAnsi"/>
          <w:lang w:val="fr-CA" w:eastAsia="en-CA"/>
        </w:rPr>
        <w:t xml:space="preserve"> </w:t>
      </w:r>
    </w:p>
    <w:p w14:paraId="75C985E5" w14:textId="77777777" w:rsidR="00F77B58" w:rsidRPr="009C6218" w:rsidRDefault="00F77B58" w:rsidP="00F77B58">
      <w:pPr>
        <w:jc w:val="left"/>
        <w:rPr>
          <w:rFonts w:asciiTheme="minorHAnsi" w:eastAsia="Times New Roman" w:hAnsiTheme="minorHAnsi" w:cstheme="minorHAnsi"/>
          <w:lang w:val="fr-CA" w:eastAsia="en-CA"/>
        </w:rPr>
      </w:pPr>
    </w:p>
    <w:p w14:paraId="4F229235" w14:textId="0C943E37" w:rsidR="00F77B58" w:rsidRPr="009C6218" w:rsidRDefault="00E0233F" w:rsidP="00F77B58">
      <w:pPr>
        <w:jc w:val="left"/>
        <w:rPr>
          <w:rFonts w:asciiTheme="minorHAnsi" w:eastAsia="Times New Roman" w:hAnsiTheme="minorHAnsi" w:cstheme="minorHAnsi"/>
          <w:lang w:val="fr-CA" w:eastAsia="en-CA"/>
        </w:rPr>
      </w:pPr>
      <w:r w:rsidRPr="009C6218">
        <w:rPr>
          <w:rFonts w:asciiTheme="minorHAnsi" w:eastAsia="Times New Roman" w:hAnsiTheme="minorHAnsi" w:cstheme="minorHAnsi"/>
          <w:lang w:val="fr-CA" w:eastAsia="en-CA"/>
        </w:rPr>
        <w:t>Me</w:t>
      </w:r>
      <w:r w:rsidR="00F77B58" w:rsidRPr="009C6218">
        <w:rPr>
          <w:rFonts w:asciiTheme="minorHAnsi" w:eastAsia="Times New Roman" w:hAnsiTheme="minorHAnsi" w:cstheme="minorHAnsi"/>
          <w:lang w:val="fr-CA" w:eastAsia="en-CA"/>
        </w:rPr>
        <w:t xml:space="preserve"> Scott </w:t>
      </w:r>
      <w:proofErr w:type="spellStart"/>
      <w:r w:rsidR="00F77B58" w:rsidRPr="009C6218">
        <w:rPr>
          <w:rFonts w:asciiTheme="minorHAnsi" w:eastAsia="Times New Roman" w:hAnsiTheme="minorHAnsi" w:cstheme="minorHAnsi"/>
          <w:lang w:val="fr-CA" w:eastAsia="en-CA"/>
        </w:rPr>
        <w:t>Rollwagen</w:t>
      </w:r>
      <w:proofErr w:type="spellEnd"/>
      <w:r w:rsidR="00E5223E" w:rsidRPr="009C6218">
        <w:rPr>
          <w:rFonts w:asciiTheme="minorHAnsi" w:eastAsia="Times New Roman" w:hAnsiTheme="minorHAnsi" w:cstheme="minorHAnsi"/>
          <w:lang w:val="fr-CA" w:eastAsia="en-CA"/>
        </w:rPr>
        <w:t xml:space="preserve"> </w:t>
      </w:r>
      <w:r w:rsidRPr="009C6218">
        <w:rPr>
          <w:rFonts w:asciiTheme="minorHAnsi" w:eastAsia="Times New Roman" w:hAnsiTheme="minorHAnsi" w:cstheme="minorHAnsi"/>
          <w:lang w:val="fr-CA" w:eastAsia="en-CA"/>
        </w:rPr>
        <w:t xml:space="preserve">et Me </w:t>
      </w:r>
      <w:r w:rsidR="00E5223E" w:rsidRPr="009C6218">
        <w:rPr>
          <w:rFonts w:asciiTheme="minorHAnsi" w:eastAsia="Times New Roman" w:hAnsiTheme="minorHAnsi" w:cstheme="minorHAnsi"/>
          <w:lang w:val="fr-CA" w:eastAsia="en-CA"/>
        </w:rPr>
        <w:t>Margaret Robbins</w:t>
      </w:r>
    </w:p>
    <w:p w14:paraId="7C4FEA5F" w14:textId="62AF6B89" w:rsidR="00F77B58" w:rsidRPr="009C6218" w:rsidRDefault="00E0233F" w:rsidP="00F77B58">
      <w:pPr>
        <w:jc w:val="left"/>
        <w:rPr>
          <w:rFonts w:asciiTheme="minorHAnsi" w:eastAsia="Times New Roman" w:hAnsiTheme="minorHAnsi" w:cstheme="minorHAnsi"/>
          <w:lang w:val="fr-CA" w:eastAsia="en-CA"/>
        </w:rPr>
      </w:pPr>
      <w:r w:rsidRPr="009C6218">
        <w:rPr>
          <w:rFonts w:asciiTheme="minorHAnsi" w:eastAsia="Times New Roman" w:hAnsiTheme="minorHAnsi" w:cstheme="minorHAnsi"/>
          <w:lang w:val="fr-CA" w:eastAsia="en-CA"/>
        </w:rPr>
        <w:t>Avocats de l’intervenante, l’</w:t>
      </w:r>
      <w:r w:rsidR="00F77B58" w:rsidRPr="009C6218">
        <w:rPr>
          <w:rFonts w:asciiTheme="minorHAnsi" w:eastAsia="Times New Roman" w:hAnsiTheme="minorHAnsi" w:cstheme="minorHAnsi"/>
          <w:lang w:val="fr-CA" w:eastAsia="en-CA"/>
        </w:rPr>
        <w:t>Association of Justices of the Peace of Ontario</w:t>
      </w:r>
    </w:p>
    <w:p w14:paraId="20DF26AA" w14:textId="77777777" w:rsidR="00F77B58" w:rsidRPr="009C6218" w:rsidRDefault="00F77B58" w:rsidP="00F77B58">
      <w:pPr>
        <w:jc w:val="left"/>
        <w:rPr>
          <w:rFonts w:asciiTheme="minorHAnsi" w:eastAsia="Times New Roman" w:hAnsiTheme="minorHAnsi" w:cstheme="minorHAnsi"/>
          <w:lang w:val="fr-CA" w:eastAsia="en-CA"/>
        </w:rPr>
      </w:pPr>
    </w:p>
    <w:p w14:paraId="2BDB0DD1" w14:textId="360C0736" w:rsidR="00F77B58" w:rsidRPr="009C6218" w:rsidRDefault="000F5A97" w:rsidP="00F77B58">
      <w:pPr>
        <w:jc w:val="left"/>
        <w:rPr>
          <w:rFonts w:asciiTheme="minorHAnsi" w:eastAsia="Times New Roman" w:hAnsiTheme="minorHAnsi" w:cstheme="minorHAnsi"/>
          <w:lang w:val="fr-CA" w:eastAsia="en-CA"/>
        </w:rPr>
      </w:pPr>
      <w:r w:rsidRPr="009C6218">
        <w:rPr>
          <w:rFonts w:asciiTheme="minorHAnsi" w:eastAsia="Times New Roman" w:hAnsiTheme="minorHAnsi" w:cstheme="minorHAnsi"/>
          <w:lang w:val="fr-CA" w:eastAsia="en-CA"/>
        </w:rPr>
        <w:t>Me</w:t>
      </w:r>
      <w:r w:rsidR="00F77B58" w:rsidRPr="009C6218">
        <w:rPr>
          <w:rFonts w:asciiTheme="minorHAnsi" w:eastAsia="Times New Roman" w:hAnsiTheme="minorHAnsi" w:cstheme="minorHAnsi"/>
          <w:lang w:val="fr-CA" w:eastAsia="en-CA"/>
        </w:rPr>
        <w:t xml:space="preserve"> Savitri Gordian </w:t>
      </w:r>
      <w:r w:rsidRPr="009C6218">
        <w:rPr>
          <w:rFonts w:asciiTheme="minorHAnsi" w:eastAsia="Times New Roman" w:hAnsiTheme="minorHAnsi" w:cstheme="minorHAnsi"/>
          <w:lang w:val="fr-CA" w:eastAsia="en-CA"/>
        </w:rPr>
        <w:t>et Me</w:t>
      </w:r>
      <w:r w:rsidR="00E5223E" w:rsidRPr="009C6218">
        <w:rPr>
          <w:rFonts w:asciiTheme="minorHAnsi" w:eastAsia="Times New Roman" w:hAnsiTheme="minorHAnsi" w:cstheme="minorHAnsi"/>
          <w:lang w:val="fr-CA" w:eastAsia="en-CA"/>
        </w:rPr>
        <w:t xml:space="preserve"> Mark Crow</w:t>
      </w:r>
    </w:p>
    <w:p w14:paraId="0DADDE66" w14:textId="2E15E3E5" w:rsidR="00F77B58" w:rsidRPr="009C6218" w:rsidRDefault="000F5A97" w:rsidP="00F77B58">
      <w:pPr>
        <w:jc w:val="left"/>
        <w:rPr>
          <w:rFonts w:asciiTheme="minorHAnsi" w:eastAsia="Times New Roman" w:hAnsiTheme="minorHAnsi" w:cstheme="minorHAnsi"/>
          <w:lang w:val="fr-CA" w:eastAsia="en-CA"/>
        </w:rPr>
      </w:pPr>
      <w:r w:rsidRPr="009C6218">
        <w:rPr>
          <w:rFonts w:asciiTheme="minorHAnsi" w:eastAsia="Times New Roman" w:hAnsiTheme="minorHAnsi" w:cstheme="minorHAnsi"/>
          <w:lang w:val="fr-CA" w:eastAsia="en-CA"/>
        </w:rPr>
        <w:t>Avocats du procureur général de l’Ontario, Direction du droit constitutionnel</w:t>
      </w:r>
    </w:p>
    <w:p w14:paraId="4682710A" w14:textId="77777777" w:rsidR="00231975" w:rsidRPr="009C6218" w:rsidRDefault="001B0EA0" w:rsidP="009675AF">
      <w:pPr>
        <w:pStyle w:val="Heading1"/>
        <w:rPr>
          <w:lang w:val="fr-CA"/>
        </w:rPr>
      </w:pPr>
      <w:r w:rsidRPr="009C6218">
        <w:rPr>
          <w:lang w:val="fr-CA"/>
        </w:rPr>
        <w:br w:type="page"/>
      </w:r>
    </w:p>
    <w:sdt>
      <w:sdtPr>
        <w:rPr>
          <w:rFonts w:ascii="Arial" w:eastAsiaTheme="minorHAnsi" w:hAnsi="Arial" w:cs="Arial"/>
          <w:b w:val="0"/>
          <w:bCs w:val="0"/>
          <w:caps w:val="0"/>
          <w:sz w:val="24"/>
          <w:lang w:val="fr-CA" w:bidi="ar-SA"/>
        </w:rPr>
        <w:id w:val="7735065"/>
        <w:docPartObj>
          <w:docPartGallery w:val="Table of Contents"/>
          <w:docPartUnique/>
        </w:docPartObj>
      </w:sdtPr>
      <w:sdtEndPr>
        <w:rPr>
          <w:noProof/>
        </w:rPr>
      </w:sdtEndPr>
      <w:sdtContent>
        <w:p w14:paraId="153775D6" w14:textId="7E35EEDD" w:rsidR="00231975" w:rsidRPr="009C6218" w:rsidRDefault="00444076" w:rsidP="00444076">
          <w:pPr>
            <w:pStyle w:val="TOCHeading"/>
            <w:jc w:val="center"/>
            <w:rPr>
              <w:lang w:val="fr-CA"/>
            </w:rPr>
          </w:pPr>
          <w:r w:rsidRPr="009C6218">
            <w:rPr>
              <w:lang w:val="fr-CA"/>
            </w:rPr>
            <w:t xml:space="preserve">Table </w:t>
          </w:r>
          <w:r w:rsidR="000F5A97" w:rsidRPr="009C6218">
            <w:rPr>
              <w:lang w:val="fr-CA"/>
            </w:rPr>
            <w:t>DES MATIÈRES</w:t>
          </w:r>
        </w:p>
        <w:p w14:paraId="550D488B" w14:textId="77777777" w:rsidR="00D74CBA" w:rsidRPr="009C6218" w:rsidRDefault="00D74CBA" w:rsidP="00D74CBA">
          <w:pPr>
            <w:rPr>
              <w:lang w:val="fr-CA" w:bidi="en-US"/>
            </w:rPr>
          </w:pPr>
        </w:p>
        <w:p w14:paraId="4AD5BC5A" w14:textId="77777777" w:rsidR="001818E3" w:rsidRPr="009C6218" w:rsidRDefault="00231975">
          <w:pPr>
            <w:pStyle w:val="TOC1"/>
            <w:tabs>
              <w:tab w:val="right" w:leader="dot" w:pos="9350"/>
            </w:tabs>
            <w:rPr>
              <w:rFonts w:asciiTheme="minorHAnsi" w:eastAsiaTheme="minorEastAsia" w:hAnsiTheme="minorHAnsi" w:cstheme="minorBidi"/>
              <w:noProof/>
              <w:sz w:val="22"/>
              <w:szCs w:val="22"/>
              <w:lang w:val="fr-CA" w:eastAsia="en-CA"/>
            </w:rPr>
          </w:pPr>
          <w:r w:rsidRPr="009C6218">
            <w:rPr>
              <w:lang w:val="fr-CA"/>
            </w:rPr>
            <w:fldChar w:fldCharType="begin"/>
          </w:r>
          <w:r w:rsidRPr="009C6218">
            <w:rPr>
              <w:lang w:val="fr-CA"/>
            </w:rPr>
            <w:instrText xml:space="preserve"> TOC \o "1-3" \h \z \u </w:instrText>
          </w:r>
          <w:r w:rsidRPr="009C6218">
            <w:rPr>
              <w:lang w:val="fr-CA"/>
            </w:rPr>
            <w:fldChar w:fldCharType="separate"/>
          </w:r>
          <w:hyperlink w:anchor="_Toc42946520" w:history="1">
            <w:r w:rsidR="001818E3" w:rsidRPr="009C6218">
              <w:rPr>
                <w:rStyle w:val="Hyperlink"/>
                <w:noProof/>
                <w:lang w:val="fr-CA"/>
              </w:rPr>
              <w:t>PARTIE I : SURVOL ET HISTORIQUE PROCÉDURAL</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_Toc42946520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3</w:t>
            </w:r>
            <w:r w:rsidR="001818E3" w:rsidRPr="009C6218">
              <w:rPr>
                <w:noProof/>
                <w:webHidden/>
                <w:lang w:val="fr-CA"/>
              </w:rPr>
              <w:fldChar w:fldCharType="end"/>
            </w:r>
          </w:hyperlink>
        </w:p>
        <w:p w14:paraId="04A7944D" w14:textId="77777777" w:rsidR="001818E3" w:rsidRPr="009C6218" w:rsidRDefault="0068641E">
          <w:pPr>
            <w:pStyle w:val="TOC2"/>
            <w:tabs>
              <w:tab w:val="right" w:leader="dot" w:pos="9350"/>
            </w:tabs>
            <w:rPr>
              <w:rFonts w:asciiTheme="minorHAnsi" w:eastAsiaTheme="minorEastAsia" w:hAnsiTheme="minorHAnsi" w:cstheme="minorBidi"/>
              <w:noProof/>
              <w:sz w:val="22"/>
              <w:szCs w:val="22"/>
              <w:lang w:val="fr-CA" w:eastAsia="en-CA"/>
            </w:rPr>
          </w:pPr>
          <w:hyperlink w:anchor="_Toc42946521" w:history="1">
            <w:r w:rsidR="001818E3" w:rsidRPr="009C6218">
              <w:rPr>
                <w:rStyle w:val="Hyperlink"/>
                <w:noProof/>
                <w:lang w:val="fr-CA"/>
              </w:rPr>
              <w:t>Renseignements sur la juge de paix Lauzon</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_Toc42946521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6</w:t>
            </w:r>
            <w:r w:rsidR="001818E3" w:rsidRPr="009C6218">
              <w:rPr>
                <w:noProof/>
                <w:webHidden/>
                <w:lang w:val="fr-CA"/>
              </w:rPr>
              <w:fldChar w:fldCharType="end"/>
            </w:r>
          </w:hyperlink>
        </w:p>
        <w:p w14:paraId="2BF10C04" w14:textId="77777777" w:rsidR="001818E3" w:rsidRPr="009C6218" w:rsidRDefault="0068641E">
          <w:pPr>
            <w:pStyle w:val="TOC1"/>
            <w:tabs>
              <w:tab w:val="right" w:leader="dot" w:pos="9350"/>
            </w:tabs>
            <w:rPr>
              <w:rFonts w:asciiTheme="minorHAnsi" w:eastAsiaTheme="minorEastAsia" w:hAnsiTheme="minorHAnsi" w:cstheme="minorBidi"/>
              <w:noProof/>
              <w:sz w:val="22"/>
              <w:szCs w:val="22"/>
              <w:lang w:val="fr-CA" w:eastAsia="en-CA"/>
            </w:rPr>
          </w:pPr>
          <w:hyperlink w:anchor="_Toc42946522" w:history="1">
            <w:r w:rsidR="001818E3" w:rsidRPr="009C6218">
              <w:rPr>
                <w:rStyle w:val="Hyperlink"/>
                <w:noProof/>
                <w:lang w:val="fr-CA"/>
              </w:rPr>
              <w:t>PARTIE II : CADRE GÉNÉRAL DE L’INSTANCE</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_Toc42946522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7</w:t>
            </w:r>
            <w:r w:rsidR="001818E3" w:rsidRPr="009C6218">
              <w:rPr>
                <w:noProof/>
                <w:webHidden/>
                <w:lang w:val="fr-CA"/>
              </w:rPr>
              <w:fldChar w:fldCharType="end"/>
            </w:r>
          </w:hyperlink>
        </w:p>
        <w:p w14:paraId="5966B837" w14:textId="77777777" w:rsidR="001818E3" w:rsidRPr="009C6218" w:rsidRDefault="0068641E">
          <w:pPr>
            <w:pStyle w:val="TOC2"/>
            <w:tabs>
              <w:tab w:val="right" w:leader="dot" w:pos="9350"/>
            </w:tabs>
            <w:rPr>
              <w:rFonts w:asciiTheme="minorHAnsi" w:eastAsiaTheme="minorEastAsia" w:hAnsiTheme="minorHAnsi" w:cstheme="minorBidi"/>
              <w:noProof/>
              <w:sz w:val="22"/>
              <w:szCs w:val="22"/>
              <w:lang w:val="fr-CA" w:eastAsia="en-CA"/>
            </w:rPr>
          </w:pPr>
          <w:hyperlink w:anchor="_Toc42946523" w:history="1">
            <w:r w:rsidR="001818E3" w:rsidRPr="009C6218">
              <w:rPr>
                <w:rStyle w:val="Hyperlink"/>
                <w:noProof/>
                <w:lang w:val="fr-CA"/>
              </w:rPr>
              <w:t>Cadre législatif</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_Toc42946523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7</w:t>
            </w:r>
            <w:r w:rsidR="001818E3" w:rsidRPr="009C6218">
              <w:rPr>
                <w:noProof/>
                <w:webHidden/>
                <w:lang w:val="fr-CA"/>
              </w:rPr>
              <w:fldChar w:fldCharType="end"/>
            </w:r>
          </w:hyperlink>
        </w:p>
        <w:p w14:paraId="54B5E9C0" w14:textId="77777777" w:rsidR="001818E3" w:rsidRPr="009C6218" w:rsidRDefault="0068641E">
          <w:pPr>
            <w:pStyle w:val="TOC2"/>
            <w:tabs>
              <w:tab w:val="right" w:leader="dot" w:pos="9350"/>
            </w:tabs>
            <w:rPr>
              <w:rFonts w:asciiTheme="minorHAnsi" w:eastAsiaTheme="minorEastAsia" w:hAnsiTheme="minorHAnsi" w:cstheme="minorBidi"/>
              <w:noProof/>
              <w:sz w:val="22"/>
              <w:szCs w:val="22"/>
              <w:lang w:val="fr-CA" w:eastAsia="en-CA"/>
            </w:rPr>
          </w:pPr>
          <w:hyperlink w:anchor="_Toc42946524" w:history="1">
            <w:r w:rsidR="001818E3" w:rsidRPr="009C6218">
              <w:rPr>
                <w:rStyle w:val="Hyperlink"/>
                <w:noProof/>
                <w:lang w:val="fr-CA"/>
              </w:rPr>
              <w:t>Compétence</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_Toc42946524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7</w:t>
            </w:r>
            <w:r w:rsidR="001818E3" w:rsidRPr="009C6218">
              <w:rPr>
                <w:noProof/>
                <w:webHidden/>
                <w:lang w:val="fr-CA"/>
              </w:rPr>
              <w:fldChar w:fldCharType="end"/>
            </w:r>
          </w:hyperlink>
        </w:p>
        <w:p w14:paraId="61D5476F" w14:textId="77777777" w:rsidR="001818E3" w:rsidRPr="009C6218" w:rsidRDefault="0068641E">
          <w:pPr>
            <w:pStyle w:val="TOC2"/>
            <w:tabs>
              <w:tab w:val="right" w:leader="dot" w:pos="9350"/>
            </w:tabs>
            <w:rPr>
              <w:rFonts w:asciiTheme="minorHAnsi" w:eastAsiaTheme="minorEastAsia" w:hAnsiTheme="minorHAnsi" w:cstheme="minorBidi"/>
              <w:noProof/>
              <w:sz w:val="22"/>
              <w:szCs w:val="22"/>
              <w:lang w:val="fr-CA" w:eastAsia="en-CA"/>
            </w:rPr>
          </w:pPr>
          <w:hyperlink w:anchor="_Toc42946525" w:history="1">
            <w:r w:rsidR="001818E3" w:rsidRPr="009C6218">
              <w:rPr>
                <w:rStyle w:val="Hyperlink"/>
                <w:noProof/>
                <w:lang w:val="fr-CA"/>
              </w:rPr>
              <w:t>Fardeau de la preuve et norme de preuve</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_Toc42946525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7</w:t>
            </w:r>
            <w:r w:rsidR="001818E3" w:rsidRPr="009C6218">
              <w:rPr>
                <w:noProof/>
                <w:webHidden/>
                <w:lang w:val="fr-CA"/>
              </w:rPr>
              <w:fldChar w:fldCharType="end"/>
            </w:r>
          </w:hyperlink>
        </w:p>
        <w:p w14:paraId="4E22619D" w14:textId="77777777" w:rsidR="001818E3" w:rsidRPr="009C6218" w:rsidRDefault="0068641E">
          <w:pPr>
            <w:pStyle w:val="TOC2"/>
            <w:tabs>
              <w:tab w:val="right" w:leader="dot" w:pos="9350"/>
            </w:tabs>
            <w:rPr>
              <w:rFonts w:asciiTheme="minorHAnsi" w:eastAsiaTheme="minorEastAsia" w:hAnsiTheme="minorHAnsi" w:cstheme="minorBidi"/>
              <w:noProof/>
              <w:sz w:val="22"/>
              <w:szCs w:val="22"/>
              <w:lang w:val="fr-CA" w:eastAsia="en-CA"/>
            </w:rPr>
          </w:pPr>
          <w:hyperlink w:anchor="_Toc42946526" w:history="1">
            <w:r w:rsidR="001818E3" w:rsidRPr="009C6218">
              <w:rPr>
                <w:rStyle w:val="Hyperlink"/>
                <w:noProof/>
                <w:lang w:val="fr-CA"/>
              </w:rPr>
              <w:t>Rôle réparateur du comité d’audition</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_Toc42946526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7</w:t>
            </w:r>
            <w:r w:rsidR="001818E3" w:rsidRPr="009C6218">
              <w:rPr>
                <w:noProof/>
                <w:webHidden/>
                <w:lang w:val="fr-CA"/>
              </w:rPr>
              <w:fldChar w:fldCharType="end"/>
            </w:r>
          </w:hyperlink>
        </w:p>
        <w:p w14:paraId="18079A48" w14:textId="262F28C6" w:rsidR="001818E3" w:rsidRPr="009C6218" w:rsidRDefault="0068641E">
          <w:pPr>
            <w:pStyle w:val="TOC1"/>
            <w:tabs>
              <w:tab w:val="right" w:leader="dot" w:pos="9350"/>
            </w:tabs>
            <w:rPr>
              <w:rFonts w:asciiTheme="minorHAnsi" w:eastAsiaTheme="minorEastAsia" w:hAnsiTheme="minorHAnsi" w:cstheme="minorBidi"/>
              <w:noProof/>
              <w:sz w:val="22"/>
              <w:szCs w:val="22"/>
              <w:lang w:val="fr-CA" w:eastAsia="en-CA"/>
            </w:rPr>
          </w:pPr>
          <w:hyperlink w:anchor="_Toc42946527" w:history="1">
            <w:r w:rsidR="001818E3" w:rsidRPr="009C6218">
              <w:rPr>
                <w:rStyle w:val="Hyperlink"/>
                <w:noProof/>
                <w:lang w:val="fr-CA"/>
              </w:rPr>
              <w:t xml:space="preserve">PARTIE III : DÉCISION EN MATIÈRE DE PREUVE ET </w:t>
            </w:r>
            <w:r w:rsidR="00392BD9">
              <w:rPr>
                <w:rStyle w:val="Hyperlink"/>
                <w:noProof/>
                <w:lang w:val="fr-CA"/>
              </w:rPr>
              <w:t>AUTRES QUESTIONS</w:t>
            </w:r>
            <w:r w:rsidR="001818E3" w:rsidRPr="009C6218">
              <w:rPr>
                <w:rStyle w:val="Hyperlink"/>
                <w:noProof/>
                <w:lang w:val="fr-CA"/>
              </w:rPr>
              <w:t xml:space="preserve"> PRÉLIMINAIRES</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_Toc42946527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9</w:t>
            </w:r>
            <w:r w:rsidR="001818E3" w:rsidRPr="009C6218">
              <w:rPr>
                <w:noProof/>
                <w:webHidden/>
                <w:lang w:val="fr-CA"/>
              </w:rPr>
              <w:fldChar w:fldCharType="end"/>
            </w:r>
          </w:hyperlink>
        </w:p>
        <w:p w14:paraId="76B67240" w14:textId="77777777" w:rsidR="001818E3" w:rsidRPr="009C6218" w:rsidRDefault="0068641E">
          <w:pPr>
            <w:pStyle w:val="TOC2"/>
            <w:tabs>
              <w:tab w:val="right" w:leader="dot" w:pos="9350"/>
            </w:tabs>
            <w:rPr>
              <w:rFonts w:asciiTheme="minorHAnsi" w:eastAsiaTheme="minorEastAsia" w:hAnsiTheme="minorHAnsi" w:cstheme="minorBidi"/>
              <w:noProof/>
              <w:sz w:val="22"/>
              <w:szCs w:val="22"/>
              <w:lang w:val="fr-CA" w:eastAsia="en-CA"/>
            </w:rPr>
          </w:pPr>
          <w:hyperlink w:anchor="_Toc42946528" w:history="1">
            <w:r w:rsidR="001818E3" w:rsidRPr="009C6218">
              <w:rPr>
                <w:rStyle w:val="Hyperlink"/>
                <w:noProof/>
                <w:lang w:val="fr-CA"/>
              </w:rPr>
              <w:t>Décision sur l’admissibilité de preuves par affidavit</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_Toc42946528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9</w:t>
            </w:r>
            <w:r w:rsidR="001818E3" w:rsidRPr="009C6218">
              <w:rPr>
                <w:noProof/>
                <w:webHidden/>
                <w:lang w:val="fr-CA"/>
              </w:rPr>
              <w:fldChar w:fldCharType="end"/>
            </w:r>
          </w:hyperlink>
        </w:p>
        <w:p w14:paraId="504A06FF" w14:textId="052EAE73" w:rsidR="001818E3" w:rsidRPr="009C6218" w:rsidRDefault="0068641E">
          <w:pPr>
            <w:pStyle w:val="TOC2"/>
            <w:tabs>
              <w:tab w:val="right" w:leader="dot" w:pos="9350"/>
            </w:tabs>
            <w:rPr>
              <w:rFonts w:asciiTheme="minorHAnsi" w:eastAsiaTheme="minorEastAsia" w:hAnsiTheme="minorHAnsi" w:cstheme="minorBidi"/>
              <w:noProof/>
              <w:sz w:val="22"/>
              <w:szCs w:val="22"/>
              <w:lang w:val="fr-CA" w:eastAsia="en-CA"/>
            </w:rPr>
          </w:pPr>
          <w:hyperlink w:anchor="_Toc42946529" w:history="1">
            <w:r w:rsidR="001818E3" w:rsidRPr="009C6218">
              <w:rPr>
                <w:rStyle w:val="Hyperlink"/>
                <w:noProof/>
                <w:lang w:val="fr-CA"/>
              </w:rPr>
              <w:t xml:space="preserve">Observations de l’avocat chargé </w:t>
            </w:r>
            <w:r w:rsidR="001818E3" w:rsidRPr="009C6218">
              <w:rPr>
                <w:rStyle w:val="Hyperlink"/>
                <w:rFonts w:eastAsia="Arial" w:cs="Times New Roman"/>
                <w:noProof/>
                <w:lang w:val="fr-CA"/>
              </w:rPr>
              <w:t xml:space="preserve">de la présentation </w:t>
            </w:r>
            <w:r w:rsidR="001818E3" w:rsidRPr="009C6218">
              <w:rPr>
                <w:rStyle w:val="Hyperlink"/>
                <w:noProof/>
                <w:lang w:val="fr-CA"/>
              </w:rPr>
              <w:t>sur la décision</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_Toc42946529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10</w:t>
            </w:r>
            <w:r w:rsidR="001818E3" w:rsidRPr="009C6218">
              <w:rPr>
                <w:noProof/>
                <w:webHidden/>
                <w:lang w:val="fr-CA"/>
              </w:rPr>
              <w:fldChar w:fldCharType="end"/>
            </w:r>
          </w:hyperlink>
        </w:p>
        <w:p w14:paraId="42FB4751" w14:textId="77777777" w:rsidR="001818E3" w:rsidRPr="009C6218" w:rsidRDefault="0068641E">
          <w:pPr>
            <w:pStyle w:val="TOC2"/>
            <w:tabs>
              <w:tab w:val="right" w:leader="dot" w:pos="9350"/>
            </w:tabs>
            <w:rPr>
              <w:rFonts w:asciiTheme="minorHAnsi" w:eastAsiaTheme="minorEastAsia" w:hAnsiTheme="minorHAnsi" w:cstheme="minorBidi"/>
              <w:noProof/>
              <w:sz w:val="22"/>
              <w:szCs w:val="22"/>
              <w:lang w:val="fr-CA" w:eastAsia="en-CA"/>
            </w:rPr>
          </w:pPr>
          <w:hyperlink w:anchor="_Toc42946530" w:history="1">
            <w:r w:rsidR="001818E3" w:rsidRPr="009C6218">
              <w:rPr>
                <w:rStyle w:val="Hyperlink"/>
                <w:noProof/>
                <w:lang w:val="fr-CA"/>
              </w:rPr>
              <w:t>Observations de l’AJPO sur la décision</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_Toc42946530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11</w:t>
            </w:r>
            <w:r w:rsidR="001818E3" w:rsidRPr="009C6218">
              <w:rPr>
                <w:noProof/>
                <w:webHidden/>
                <w:lang w:val="fr-CA"/>
              </w:rPr>
              <w:fldChar w:fldCharType="end"/>
            </w:r>
          </w:hyperlink>
        </w:p>
        <w:p w14:paraId="3CEBD0BB" w14:textId="6C8D1460" w:rsidR="001818E3" w:rsidRPr="009C6218" w:rsidRDefault="0068641E">
          <w:pPr>
            <w:pStyle w:val="TOC1"/>
            <w:tabs>
              <w:tab w:val="right" w:leader="dot" w:pos="9350"/>
            </w:tabs>
            <w:rPr>
              <w:rFonts w:asciiTheme="minorHAnsi" w:eastAsiaTheme="minorEastAsia" w:hAnsiTheme="minorHAnsi" w:cstheme="minorBidi"/>
              <w:noProof/>
              <w:sz w:val="22"/>
              <w:szCs w:val="22"/>
              <w:lang w:val="fr-CA" w:eastAsia="en-CA"/>
            </w:rPr>
          </w:pPr>
          <w:hyperlink w:anchor="_Toc42946531" w:history="1">
            <w:r w:rsidR="001818E3" w:rsidRPr="009C6218">
              <w:rPr>
                <w:rStyle w:val="Hyperlink"/>
                <w:noProof/>
                <w:lang w:val="fr-CA"/>
              </w:rPr>
              <w:t xml:space="preserve">PARTIE IV : </w:t>
            </w:r>
            <w:r w:rsidR="00392BD9" w:rsidRPr="009C6218">
              <w:rPr>
                <w:rStyle w:val="Hyperlink"/>
                <w:noProof/>
                <w:lang w:val="fr-CA"/>
              </w:rPr>
              <w:t>CADRE ANALYTIQUE</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_Toc42946531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13</w:t>
            </w:r>
            <w:r w:rsidR="001818E3" w:rsidRPr="009C6218">
              <w:rPr>
                <w:noProof/>
                <w:webHidden/>
                <w:lang w:val="fr-CA"/>
              </w:rPr>
              <w:fldChar w:fldCharType="end"/>
            </w:r>
          </w:hyperlink>
        </w:p>
        <w:p w14:paraId="3DB37BC3" w14:textId="4FF06209" w:rsidR="001818E3" w:rsidRPr="009C6218" w:rsidRDefault="0068641E">
          <w:pPr>
            <w:pStyle w:val="TOC1"/>
            <w:tabs>
              <w:tab w:val="right" w:leader="dot" w:pos="9350"/>
            </w:tabs>
            <w:rPr>
              <w:rFonts w:asciiTheme="minorHAnsi" w:eastAsiaTheme="minorEastAsia" w:hAnsiTheme="minorHAnsi" w:cstheme="minorBidi"/>
              <w:noProof/>
              <w:sz w:val="22"/>
              <w:szCs w:val="22"/>
              <w:lang w:val="fr-CA" w:eastAsia="en-CA"/>
            </w:rPr>
          </w:pPr>
          <w:hyperlink w:anchor="_Toc42946532" w:history="1">
            <w:r w:rsidR="001818E3" w:rsidRPr="009C6218">
              <w:rPr>
                <w:rStyle w:val="Hyperlink"/>
                <w:noProof/>
                <w:lang w:val="fr-CA"/>
              </w:rPr>
              <w:t xml:space="preserve">PARTIE V : </w:t>
            </w:r>
            <w:r w:rsidR="00392BD9" w:rsidRPr="009C6218">
              <w:rPr>
                <w:rStyle w:val="Hyperlink"/>
                <w:noProof/>
                <w:lang w:val="fr-CA"/>
              </w:rPr>
              <w:t>NORMES DE CONDUITE JUDICIAIRE ET CRITÈRE APPLICABLE POUR DÉTERMINER L’INCONDUITE</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_Toc42946532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15</w:t>
            </w:r>
            <w:r w:rsidR="001818E3" w:rsidRPr="009C6218">
              <w:rPr>
                <w:noProof/>
                <w:webHidden/>
                <w:lang w:val="fr-CA"/>
              </w:rPr>
              <w:fldChar w:fldCharType="end"/>
            </w:r>
          </w:hyperlink>
        </w:p>
        <w:p w14:paraId="299FBBE9" w14:textId="77777777" w:rsidR="001818E3" w:rsidRPr="009C6218" w:rsidRDefault="0068641E">
          <w:pPr>
            <w:pStyle w:val="TOC2"/>
            <w:tabs>
              <w:tab w:val="right" w:leader="dot" w:pos="9350"/>
            </w:tabs>
            <w:rPr>
              <w:rFonts w:asciiTheme="minorHAnsi" w:eastAsiaTheme="minorEastAsia" w:hAnsiTheme="minorHAnsi" w:cstheme="minorBidi"/>
              <w:noProof/>
              <w:sz w:val="22"/>
              <w:szCs w:val="22"/>
              <w:lang w:val="fr-CA" w:eastAsia="en-CA"/>
            </w:rPr>
          </w:pPr>
          <w:hyperlink w:anchor="_Toc42946533" w:history="1">
            <w:r w:rsidR="001818E3" w:rsidRPr="009C6218">
              <w:rPr>
                <w:rStyle w:val="Hyperlink"/>
                <w:noProof/>
                <w:lang w:val="fr-CA"/>
              </w:rPr>
              <w:t>Principes de la charge judiciaire des juges de paix de la Cour de justice de l’Ontario</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_Toc42946533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15</w:t>
            </w:r>
            <w:r w:rsidR="001818E3" w:rsidRPr="009C6218">
              <w:rPr>
                <w:noProof/>
                <w:webHidden/>
                <w:lang w:val="fr-CA"/>
              </w:rPr>
              <w:fldChar w:fldCharType="end"/>
            </w:r>
          </w:hyperlink>
        </w:p>
        <w:p w14:paraId="6FF8ABD7" w14:textId="77777777" w:rsidR="001818E3" w:rsidRPr="009C6218" w:rsidRDefault="0068641E">
          <w:pPr>
            <w:pStyle w:val="TOC2"/>
            <w:tabs>
              <w:tab w:val="right" w:leader="dot" w:pos="9350"/>
            </w:tabs>
            <w:rPr>
              <w:rFonts w:asciiTheme="minorHAnsi" w:eastAsiaTheme="minorEastAsia" w:hAnsiTheme="minorHAnsi" w:cstheme="minorBidi"/>
              <w:noProof/>
              <w:sz w:val="22"/>
              <w:szCs w:val="22"/>
              <w:lang w:val="fr-CA" w:eastAsia="en-CA"/>
            </w:rPr>
          </w:pPr>
          <w:hyperlink w:anchor="_Toc42946534" w:history="1">
            <w:r w:rsidR="001818E3" w:rsidRPr="009C6218">
              <w:rPr>
                <w:rStyle w:val="Hyperlink"/>
                <w:noProof/>
                <w:lang w:val="fr-CA"/>
              </w:rPr>
              <w:t>Principes de déontologie judiciaire</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_Toc42946534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17</w:t>
            </w:r>
            <w:r w:rsidR="001818E3" w:rsidRPr="009C6218">
              <w:rPr>
                <w:noProof/>
                <w:webHidden/>
                <w:lang w:val="fr-CA"/>
              </w:rPr>
              <w:fldChar w:fldCharType="end"/>
            </w:r>
          </w:hyperlink>
        </w:p>
        <w:p w14:paraId="31E53AE9" w14:textId="77777777" w:rsidR="001818E3" w:rsidRPr="009C6218" w:rsidRDefault="0068641E">
          <w:pPr>
            <w:pStyle w:val="TOC2"/>
            <w:tabs>
              <w:tab w:val="right" w:leader="dot" w:pos="9350"/>
            </w:tabs>
            <w:rPr>
              <w:rFonts w:asciiTheme="minorHAnsi" w:eastAsiaTheme="minorEastAsia" w:hAnsiTheme="minorHAnsi" w:cstheme="minorBidi"/>
              <w:noProof/>
              <w:sz w:val="22"/>
              <w:szCs w:val="22"/>
              <w:lang w:val="fr-CA" w:eastAsia="en-CA"/>
            </w:rPr>
          </w:pPr>
          <w:hyperlink w:anchor="_Toc42946535" w:history="1">
            <w:r w:rsidR="001818E3" w:rsidRPr="009C6218">
              <w:rPr>
                <w:rStyle w:val="Hyperlink"/>
                <w:noProof/>
                <w:lang w:val="fr-CA"/>
              </w:rPr>
              <w:t>Le critère applicable pour déterminer l’inconduite judiciaire</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_Toc42946535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20</w:t>
            </w:r>
            <w:r w:rsidR="001818E3" w:rsidRPr="009C6218">
              <w:rPr>
                <w:noProof/>
                <w:webHidden/>
                <w:lang w:val="fr-CA"/>
              </w:rPr>
              <w:fldChar w:fldCharType="end"/>
            </w:r>
          </w:hyperlink>
        </w:p>
        <w:p w14:paraId="4211D463" w14:textId="77777777" w:rsidR="001818E3" w:rsidRPr="009C6218" w:rsidRDefault="0068641E">
          <w:pPr>
            <w:pStyle w:val="TOC1"/>
            <w:tabs>
              <w:tab w:val="right" w:leader="dot" w:pos="9350"/>
            </w:tabs>
            <w:rPr>
              <w:rFonts w:asciiTheme="minorHAnsi" w:eastAsiaTheme="minorEastAsia" w:hAnsiTheme="minorHAnsi" w:cstheme="minorBidi"/>
              <w:noProof/>
              <w:sz w:val="22"/>
              <w:szCs w:val="22"/>
              <w:lang w:val="fr-CA" w:eastAsia="en-CA"/>
            </w:rPr>
          </w:pPr>
          <w:hyperlink w:anchor="_Toc42946536" w:history="1">
            <w:r w:rsidR="001818E3" w:rsidRPr="009C6218">
              <w:rPr>
                <w:rStyle w:val="Hyperlink"/>
                <w:noProof/>
                <w:lang w:val="fr-CA"/>
              </w:rPr>
              <w:t>PARTIE VI : DÉCISIONS EN MATIÈRE D’ABUS DE PROCÉDURE ET DE QUESTIONS CONSTITUTIONNELLES</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_Toc42946536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22</w:t>
            </w:r>
            <w:r w:rsidR="001818E3" w:rsidRPr="009C6218">
              <w:rPr>
                <w:noProof/>
                <w:webHidden/>
                <w:lang w:val="fr-CA"/>
              </w:rPr>
              <w:fldChar w:fldCharType="end"/>
            </w:r>
          </w:hyperlink>
        </w:p>
        <w:p w14:paraId="410DA857" w14:textId="77777777" w:rsidR="001818E3" w:rsidRPr="009C6218" w:rsidRDefault="0068641E">
          <w:pPr>
            <w:pStyle w:val="TOC1"/>
            <w:tabs>
              <w:tab w:val="left" w:pos="480"/>
              <w:tab w:val="right" w:leader="dot" w:pos="9350"/>
            </w:tabs>
            <w:rPr>
              <w:rFonts w:asciiTheme="minorHAnsi" w:eastAsiaTheme="minorEastAsia" w:hAnsiTheme="minorHAnsi" w:cstheme="minorBidi"/>
              <w:noProof/>
              <w:sz w:val="22"/>
              <w:szCs w:val="22"/>
              <w:lang w:val="fr-CA" w:eastAsia="en-CA"/>
            </w:rPr>
          </w:pPr>
          <w:hyperlink w:anchor="_Toc42946537" w:history="1">
            <w:r w:rsidR="001818E3" w:rsidRPr="009C6218">
              <w:rPr>
                <w:rStyle w:val="Hyperlink"/>
                <w:noProof/>
                <w:lang w:val="fr-CA"/>
              </w:rPr>
              <w:t>A.</w:t>
            </w:r>
            <w:r w:rsidR="001818E3" w:rsidRPr="009C6218">
              <w:rPr>
                <w:rFonts w:asciiTheme="minorHAnsi" w:eastAsiaTheme="minorEastAsia" w:hAnsiTheme="minorHAnsi" w:cstheme="minorBidi"/>
                <w:noProof/>
                <w:sz w:val="22"/>
                <w:szCs w:val="22"/>
                <w:lang w:val="fr-CA" w:eastAsia="en-CA"/>
              </w:rPr>
              <w:tab/>
            </w:r>
            <w:r w:rsidR="001818E3" w:rsidRPr="009C6218">
              <w:rPr>
                <w:rStyle w:val="Hyperlink"/>
                <w:noProof/>
                <w:lang w:val="fr-CA"/>
              </w:rPr>
              <w:t>Abus de procédure</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_Toc42946537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22</w:t>
            </w:r>
            <w:r w:rsidR="001818E3" w:rsidRPr="009C6218">
              <w:rPr>
                <w:noProof/>
                <w:webHidden/>
                <w:lang w:val="fr-CA"/>
              </w:rPr>
              <w:fldChar w:fldCharType="end"/>
            </w:r>
          </w:hyperlink>
        </w:p>
        <w:p w14:paraId="43FFEB4B" w14:textId="77777777" w:rsidR="001818E3" w:rsidRPr="009C6218" w:rsidRDefault="0068641E">
          <w:pPr>
            <w:pStyle w:val="TOC2"/>
            <w:tabs>
              <w:tab w:val="right" w:leader="dot" w:pos="9350"/>
            </w:tabs>
            <w:rPr>
              <w:rFonts w:asciiTheme="minorHAnsi" w:eastAsiaTheme="minorEastAsia" w:hAnsiTheme="minorHAnsi" w:cstheme="minorBidi"/>
              <w:noProof/>
              <w:sz w:val="22"/>
              <w:szCs w:val="22"/>
              <w:lang w:val="fr-CA" w:eastAsia="en-CA"/>
            </w:rPr>
          </w:pPr>
          <w:hyperlink w:anchor="_Toc42946538" w:history="1">
            <w:r w:rsidR="001818E3" w:rsidRPr="009C6218">
              <w:rPr>
                <w:rStyle w:val="Hyperlink"/>
                <w:noProof/>
                <w:lang w:val="fr-CA"/>
              </w:rPr>
              <w:t>Généralités</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_Toc42946538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22</w:t>
            </w:r>
            <w:r w:rsidR="001818E3" w:rsidRPr="009C6218">
              <w:rPr>
                <w:noProof/>
                <w:webHidden/>
                <w:lang w:val="fr-CA"/>
              </w:rPr>
              <w:fldChar w:fldCharType="end"/>
            </w:r>
          </w:hyperlink>
        </w:p>
        <w:p w14:paraId="4BF28658" w14:textId="77777777" w:rsidR="001818E3" w:rsidRPr="009C6218" w:rsidRDefault="0068641E">
          <w:pPr>
            <w:pStyle w:val="TOC2"/>
            <w:tabs>
              <w:tab w:val="right" w:leader="dot" w:pos="9350"/>
            </w:tabs>
            <w:rPr>
              <w:rFonts w:asciiTheme="minorHAnsi" w:eastAsiaTheme="minorEastAsia" w:hAnsiTheme="minorHAnsi" w:cstheme="minorBidi"/>
              <w:noProof/>
              <w:sz w:val="22"/>
              <w:szCs w:val="22"/>
              <w:lang w:val="fr-CA" w:eastAsia="en-CA"/>
            </w:rPr>
          </w:pPr>
          <w:hyperlink w:anchor="_Toc42946539" w:history="1">
            <w:r w:rsidR="001818E3" w:rsidRPr="009C6218">
              <w:rPr>
                <w:rStyle w:val="Hyperlink"/>
                <w:noProof/>
                <w:lang w:val="fr-CA"/>
              </w:rPr>
              <w:t>Analyse</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_Toc42946539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22</w:t>
            </w:r>
            <w:r w:rsidR="001818E3" w:rsidRPr="009C6218">
              <w:rPr>
                <w:noProof/>
                <w:webHidden/>
                <w:lang w:val="fr-CA"/>
              </w:rPr>
              <w:fldChar w:fldCharType="end"/>
            </w:r>
          </w:hyperlink>
        </w:p>
        <w:p w14:paraId="3218BF9A" w14:textId="77777777" w:rsidR="001818E3" w:rsidRPr="009C6218" w:rsidRDefault="0068641E">
          <w:pPr>
            <w:pStyle w:val="TOC1"/>
            <w:tabs>
              <w:tab w:val="left" w:pos="480"/>
              <w:tab w:val="right" w:leader="dot" w:pos="9350"/>
            </w:tabs>
            <w:rPr>
              <w:rFonts w:asciiTheme="minorHAnsi" w:eastAsiaTheme="minorEastAsia" w:hAnsiTheme="minorHAnsi" w:cstheme="minorBidi"/>
              <w:noProof/>
              <w:sz w:val="22"/>
              <w:szCs w:val="22"/>
              <w:lang w:val="fr-CA" w:eastAsia="en-CA"/>
            </w:rPr>
          </w:pPr>
          <w:hyperlink w:anchor="_Toc42946540" w:history="1">
            <w:r w:rsidR="001818E3" w:rsidRPr="009C6218">
              <w:rPr>
                <w:rStyle w:val="Hyperlink"/>
                <w:noProof/>
                <w:lang w:val="fr-CA"/>
              </w:rPr>
              <w:t>B.</w:t>
            </w:r>
            <w:r w:rsidR="001818E3" w:rsidRPr="009C6218">
              <w:rPr>
                <w:rFonts w:asciiTheme="minorHAnsi" w:eastAsiaTheme="minorEastAsia" w:hAnsiTheme="minorHAnsi" w:cstheme="minorBidi"/>
                <w:noProof/>
                <w:sz w:val="22"/>
                <w:szCs w:val="22"/>
                <w:lang w:val="fr-CA" w:eastAsia="en-CA"/>
              </w:rPr>
              <w:tab/>
            </w:r>
            <w:r w:rsidR="001818E3" w:rsidRPr="009C6218">
              <w:rPr>
                <w:rStyle w:val="Hyperlink"/>
                <w:noProof/>
                <w:lang w:val="fr-CA"/>
              </w:rPr>
              <w:t>Questions constitutionnelles</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_Toc42946540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25</w:t>
            </w:r>
            <w:r w:rsidR="001818E3" w:rsidRPr="009C6218">
              <w:rPr>
                <w:noProof/>
                <w:webHidden/>
                <w:lang w:val="fr-CA"/>
              </w:rPr>
              <w:fldChar w:fldCharType="end"/>
            </w:r>
          </w:hyperlink>
        </w:p>
        <w:p w14:paraId="7A7B446B" w14:textId="77777777" w:rsidR="001818E3" w:rsidRPr="009C6218" w:rsidRDefault="0068641E">
          <w:pPr>
            <w:pStyle w:val="TOC3"/>
            <w:rPr>
              <w:rFonts w:asciiTheme="minorHAnsi" w:eastAsiaTheme="minorEastAsia" w:hAnsiTheme="minorHAnsi" w:cstheme="minorBidi"/>
              <w:noProof/>
              <w:sz w:val="22"/>
              <w:szCs w:val="22"/>
              <w:lang w:val="fr-CA" w:eastAsia="en-CA"/>
            </w:rPr>
          </w:pPr>
          <w:hyperlink w:anchor="_Toc42946541" w:history="1">
            <w:r w:rsidR="001818E3" w:rsidRPr="009C6218">
              <w:rPr>
                <w:rStyle w:val="Hyperlink"/>
                <w:noProof/>
                <w:lang w:val="fr-CA"/>
              </w:rPr>
              <w:t>i.</w:t>
            </w:r>
            <w:r w:rsidR="001818E3" w:rsidRPr="009C6218">
              <w:rPr>
                <w:rFonts w:asciiTheme="minorHAnsi" w:eastAsiaTheme="minorEastAsia" w:hAnsiTheme="minorHAnsi" w:cstheme="minorBidi"/>
                <w:noProof/>
                <w:sz w:val="22"/>
                <w:szCs w:val="22"/>
                <w:lang w:val="fr-CA" w:eastAsia="en-CA"/>
              </w:rPr>
              <w:tab/>
            </w:r>
            <w:r w:rsidR="001818E3" w:rsidRPr="009C6218">
              <w:rPr>
                <w:rStyle w:val="Hyperlink"/>
                <w:noProof/>
                <w:lang w:val="fr-CA"/>
              </w:rPr>
              <w:t>Ingérence de l’exécutif dans l’indépendance judiciaire</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_Toc42946541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25</w:t>
            </w:r>
            <w:r w:rsidR="001818E3" w:rsidRPr="009C6218">
              <w:rPr>
                <w:noProof/>
                <w:webHidden/>
                <w:lang w:val="fr-CA"/>
              </w:rPr>
              <w:fldChar w:fldCharType="end"/>
            </w:r>
          </w:hyperlink>
        </w:p>
        <w:p w14:paraId="65FCB607" w14:textId="77777777" w:rsidR="001818E3" w:rsidRPr="009C6218" w:rsidRDefault="0068641E">
          <w:pPr>
            <w:pStyle w:val="TOC3"/>
            <w:rPr>
              <w:rFonts w:asciiTheme="minorHAnsi" w:eastAsiaTheme="minorEastAsia" w:hAnsiTheme="minorHAnsi" w:cstheme="minorBidi"/>
              <w:noProof/>
              <w:sz w:val="22"/>
              <w:szCs w:val="22"/>
              <w:lang w:val="fr-CA" w:eastAsia="en-CA"/>
            </w:rPr>
          </w:pPr>
          <w:hyperlink w:anchor="_Toc42946542" w:history="1">
            <w:r w:rsidR="001818E3" w:rsidRPr="009C6218">
              <w:rPr>
                <w:rStyle w:val="Hyperlink"/>
                <w:noProof/>
                <w:lang w:val="fr-CA"/>
              </w:rPr>
              <w:t>ii.</w:t>
            </w:r>
            <w:r w:rsidR="001818E3" w:rsidRPr="009C6218">
              <w:rPr>
                <w:rFonts w:asciiTheme="minorHAnsi" w:eastAsiaTheme="minorEastAsia" w:hAnsiTheme="minorHAnsi" w:cstheme="minorBidi"/>
                <w:noProof/>
                <w:sz w:val="22"/>
                <w:szCs w:val="22"/>
                <w:lang w:val="fr-CA" w:eastAsia="en-CA"/>
              </w:rPr>
              <w:tab/>
            </w:r>
            <w:r w:rsidR="001818E3" w:rsidRPr="009C6218">
              <w:rPr>
                <w:rStyle w:val="Hyperlink"/>
                <w:noProof/>
                <w:lang w:val="fr-CA"/>
              </w:rPr>
              <w:t>Alinéa 2 b) de la Charte – Liberté d’expression</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_Toc42946542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27</w:t>
            </w:r>
            <w:r w:rsidR="001818E3" w:rsidRPr="009C6218">
              <w:rPr>
                <w:noProof/>
                <w:webHidden/>
                <w:lang w:val="fr-CA"/>
              </w:rPr>
              <w:fldChar w:fldCharType="end"/>
            </w:r>
          </w:hyperlink>
        </w:p>
        <w:p w14:paraId="2AE01FCF" w14:textId="77777777" w:rsidR="001818E3" w:rsidRPr="009C6218" w:rsidRDefault="0068641E">
          <w:pPr>
            <w:pStyle w:val="TOC1"/>
            <w:tabs>
              <w:tab w:val="right" w:leader="dot" w:pos="9350"/>
            </w:tabs>
            <w:rPr>
              <w:rFonts w:asciiTheme="minorHAnsi" w:eastAsiaTheme="minorEastAsia" w:hAnsiTheme="minorHAnsi" w:cstheme="minorBidi"/>
              <w:noProof/>
              <w:sz w:val="22"/>
              <w:szCs w:val="22"/>
              <w:lang w:val="fr-CA" w:eastAsia="en-CA"/>
            </w:rPr>
          </w:pPr>
          <w:hyperlink w:anchor="_Toc42946543" w:history="1">
            <w:r w:rsidR="001818E3" w:rsidRPr="009C6218">
              <w:rPr>
                <w:rStyle w:val="Hyperlink"/>
                <w:noProof/>
                <w:lang w:val="fr-CA"/>
              </w:rPr>
              <w:t>PARTIE VII : RÉSUMÉ DES CONCLUSIONS EN MATIÈRE D’INCONDUITE</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_Toc42946543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30</w:t>
            </w:r>
            <w:r w:rsidR="001818E3" w:rsidRPr="009C6218">
              <w:rPr>
                <w:noProof/>
                <w:webHidden/>
                <w:lang w:val="fr-CA"/>
              </w:rPr>
              <w:fldChar w:fldCharType="end"/>
            </w:r>
          </w:hyperlink>
        </w:p>
        <w:p w14:paraId="733105F0" w14:textId="77777777" w:rsidR="001818E3" w:rsidRPr="009C6218" w:rsidRDefault="0068641E">
          <w:pPr>
            <w:pStyle w:val="TOC2"/>
            <w:tabs>
              <w:tab w:val="right" w:leader="dot" w:pos="9350"/>
            </w:tabs>
            <w:rPr>
              <w:rFonts w:asciiTheme="minorHAnsi" w:eastAsiaTheme="minorEastAsia" w:hAnsiTheme="minorHAnsi" w:cstheme="minorBidi"/>
              <w:noProof/>
              <w:sz w:val="22"/>
              <w:szCs w:val="22"/>
              <w:lang w:val="fr-CA" w:eastAsia="en-CA"/>
            </w:rPr>
          </w:pPr>
          <w:hyperlink w:anchor="_Toc42946544" w:history="1">
            <w:r w:rsidR="001818E3" w:rsidRPr="009C6218">
              <w:rPr>
                <w:rStyle w:val="Hyperlink"/>
                <w:noProof/>
                <w:lang w:val="fr-CA"/>
              </w:rPr>
              <w:t xml:space="preserve">Première allégation : l’article paru dans le </w:t>
            </w:r>
            <w:r w:rsidR="001818E3" w:rsidRPr="009C6218">
              <w:rPr>
                <w:rStyle w:val="Hyperlink"/>
                <w:i/>
                <w:noProof/>
                <w:lang w:val="fr-CA"/>
              </w:rPr>
              <w:t>National Post</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_Toc42946544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30</w:t>
            </w:r>
            <w:r w:rsidR="001818E3" w:rsidRPr="009C6218">
              <w:rPr>
                <w:noProof/>
                <w:webHidden/>
                <w:lang w:val="fr-CA"/>
              </w:rPr>
              <w:fldChar w:fldCharType="end"/>
            </w:r>
          </w:hyperlink>
        </w:p>
        <w:p w14:paraId="3ABDBBCD" w14:textId="77777777" w:rsidR="001818E3" w:rsidRPr="009C6218" w:rsidRDefault="0068641E">
          <w:pPr>
            <w:pStyle w:val="TOC2"/>
            <w:tabs>
              <w:tab w:val="right" w:leader="dot" w:pos="9350"/>
            </w:tabs>
            <w:rPr>
              <w:rFonts w:asciiTheme="minorHAnsi" w:eastAsiaTheme="minorEastAsia" w:hAnsiTheme="minorHAnsi" w:cstheme="minorBidi"/>
              <w:noProof/>
              <w:sz w:val="22"/>
              <w:szCs w:val="22"/>
              <w:lang w:val="fr-CA" w:eastAsia="en-CA"/>
            </w:rPr>
          </w:pPr>
          <w:hyperlink w:anchor="_Toc42946545" w:history="1">
            <w:r w:rsidR="001818E3" w:rsidRPr="009C6218">
              <w:rPr>
                <w:rStyle w:val="Hyperlink"/>
                <w:noProof/>
                <w:lang w:val="fr-CA"/>
              </w:rPr>
              <w:t>Deuxième allégation : les commentaires à l’audience de mise en liberté sous caution d’AJN</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_Toc42946545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32</w:t>
            </w:r>
            <w:r w:rsidR="001818E3" w:rsidRPr="009C6218">
              <w:rPr>
                <w:noProof/>
                <w:webHidden/>
                <w:lang w:val="fr-CA"/>
              </w:rPr>
              <w:fldChar w:fldCharType="end"/>
            </w:r>
          </w:hyperlink>
        </w:p>
        <w:p w14:paraId="1BDA8BCE" w14:textId="2CB9688B" w:rsidR="001818E3" w:rsidRPr="009C6218" w:rsidRDefault="0068641E">
          <w:pPr>
            <w:pStyle w:val="TOC1"/>
            <w:tabs>
              <w:tab w:val="right" w:leader="dot" w:pos="9350"/>
            </w:tabs>
            <w:rPr>
              <w:rFonts w:asciiTheme="minorHAnsi" w:eastAsiaTheme="minorEastAsia" w:hAnsiTheme="minorHAnsi" w:cstheme="minorBidi"/>
              <w:noProof/>
              <w:sz w:val="22"/>
              <w:szCs w:val="22"/>
              <w:lang w:val="fr-CA" w:eastAsia="en-CA"/>
            </w:rPr>
          </w:pPr>
          <w:hyperlink w:anchor="_Toc42946546" w:history="1">
            <w:r w:rsidR="001818E3" w:rsidRPr="009C6218">
              <w:rPr>
                <w:rStyle w:val="Hyperlink"/>
                <w:noProof/>
                <w:lang w:val="fr-CA"/>
              </w:rPr>
              <w:t xml:space="preserve">PARTIE VIII : </w:t>
            </w:r>
            <w:r w:rsidR="009C6218" w:rsidRPr="009C6218">
              <w:rPr>
                <w:rStyle w:val="Hyperlink"/>
                <w:noProof/>
                <w:lang w:val="fr-CA"/>
              </w:rPr>
              <w:t>ANALYS</w:t>
            </w:r>
            <w:r w:rsidR="001818E3" w:rsidRPr="009C6218">
              <w:rPr>
                <w:rStyle w:val="Hyperlink"/>
                <w:noProof/>
                <w:lang w:val="fr-CA"/>
              </w:rPr>
              <w:t>E DE LA PREMIÈRE ALLÉGATION D’INCONDUITE JUDICIAIRE</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_Toc42946546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32</w:t>
            </w:r>
            <w:r w:rsidR="001818E3" w:rsidRPr="009C6218">
              <w:rPr>
                <w:noProof/>
                <w:webHidden/>
                <w:lang w:val="fr-CA"/>
              </w:rPr>
              <w:fldChar w:fldCharType="end"/>
            </w:r>
          </w:hyperlink>
        </w:p>
        <w:p w14:paraId="2A3219A1" w14:textId="77777777" w:rsidR="001818E3" w:rsidRPr="009C6218" w:rsidRDefault="0068641E">
          <w:pPr>
            <w:pStyle w:val="TOC2"/>
            <w:tabs>
              <w:tab w:val="right" w:leader="dot" w:pos="9350"/>
            </w:tabs>
            <w:rPr>
              <w:rFonts w:asciiTheme="minorHAnsi" w:eastAsiaTheme="minorEastAsia" w:hAnsiTheme="minorHAnsi" w:cstheme="minorBidi"/>
              <w:noProof/>
              <w:sz w:val="22"/>
              <w:szCs w:val="22"/>
              <w:lang w:val="fr-CA" w:eastAsia="en-CA"/>
            </w:rPr>
          </w:pPr>
          <w:hyperlink w:anchor="_Toc42946547" w:history="1">
            <w:r w:rsidR="001818E3" w:rsidRPr="009C6218">
              <w:rPr>
                <w:rStyle w:val="Hyperlink"/>
                <w:noProof/>
                <w:lang w:val="fr-CA"/>
              </w:rPr>
              <w:t>L’Article</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_Toc42946547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32</w:t>
            </w:r>
            <w:r w:rsidR="001818E3" w:rsidRPr="009C6218">
              <w:rPr>
                <w:noProof/>
                <w:webHidden/>
                <w:lang w:val="fr-CA"/>
              </w:rPr>
              <w:fldChar w:fldCharType="end"/>
            </w:r>
          </w:hyperlink>
        </w:p>
        <w:p w14:paraId="5F0E0D61" w14:textId="77777777" w:rsidR="001818E3" w:rsidRPr="009C6218" w:rsidRDefault="0068641E">
          <w:pPr>
            <w:pStyle w:val="TOC2"/>
            <w:tabs>
              <w:tab w:val="right" w:leader="dot" w:pos="9350"/>
            </w:tabs>
            <w:rPr>
              <w:rFonts w:asciiTheme="minorHAnsi" w:eastAsiaTheme="minorEastAsia" w:hAnsiTheme="minorHAnsi" w:cstheme="minorBidi"/>
              <w:noProof/>
              <w:sz w:val="22"/>
              <w:szCs w:val="22"/>
              <w:lang w:val="fr-CA" w:eastAsia="en-CA"/>
            </w:rPr>
          </w:pPr>
          <w:hyperlink w:anchor="_Toc42946548" w:history="1">
            <w:r w:rsidR="001818E3" w:rsidRPr="009C6218">
              <w:rPr>
                <w:rStyle w:val="Hyperlink"/>
                <w:rFonts w:cstheme="minorHAnsi"/>
                <w:noProof/>
                <w:lang w:val="fr-CA"/>
              </w:rPr>
              <w:t>L’opportunité de l’Article au moment de la publication</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_Toc42946548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34</w:t>
            </w:r>
            <w:r w:rsidR="001818E3" w:rsidRPr="009C6218">
              <w:rPr>
                <w:noProof/>
                <w:webHidden/>
                <w:lang w:val="fr-CA"/>
              </w:rPr>
              <w:fldChar w:fldCharType="end"/>
            </w:r>
          </w:hyperlink>
        </w:p>
        <w:p w14:paraId="39241E8D" w14:textId="77777777" w:rsidR="001818E3" w:rsidRPr="009C6218" w:rsidRDefault="0068641E">
          <w:pPr>
            <w:pStyle w:val="TOC2"/>
            <w:tabs>
              <w:tab w:val="right" w:leader="dot" w:pos="9350"/>
            </w:tabs>
            <w:rPr>
              <w:rFonts w:asciiTheme="minorHAnsi" w:eastAsiaTheme="minorEastAsia" w:hAnsiTheme="minorHAnsi" w:cstheme="minorBidi"/>
              <w:noProof/>
              <w:sz w:val="22"/>
              <w:szCs w:val="22"/>
              <w:lang w:val="fr-CA" w:eastAsia="en-CA"/>
            </w:rPr>
          </w:pPr>
          <w:hyperlink w:anchor="_Toc42946549" w:history="1">
            <w:r w:rsidR="001818E3" w:rsidRPr="009C6218">
              <w:rPr>
                <w:rStyle w:val="Hyperlink"/>
                <w:rFonts w:cstheme="minorHAnsi"/>
                <w:noProof/>
                <w:lang w:val="fr-CA"/>
              </w:rPr>
              <w:t>Le forum choisi pour publier l’Article et le degré de visibilité</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_Toc42946549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38</w:t>
            </w:r>
            <w:r w:rsidR="001818E3" w:rsidRPr="009C6218">
              <w:rPr>
                <w:noProof/>
                <w:webHidden/>
                <w:lang w:val="fr-CA"/>
              </w:rPr>
              <w:fldChar w:fldCharType="end"/>
            </w:r>
          </w:hyperlink>
        </w:p>
        <w:p w14:paraId="39B4D8AC" w14:textId="77777777" w:rsidR="001818E3" w:rsidRPr="009C6218" w:rsidRDefault="0068641E">
          <w:pPr>
            <w:pStyle w:val="TOC2"/>
            <w:tabs>
              <w:tab w:val="right" w:leader="dot" w:pos="9350"/>
            </w:tabs>
            <w:rPr>
              <w:rFonts w:asciiTheme="minorHAnsi" w:eastAsiaTheme="minorEastAsia" w:hAnsiTheme="minorHAnsi" w:cstheme="minorBidi"/>
              <w:noProof/>
              <w:sz w:val="22"/>
              <w:szCs w:val="22"/>
              <w:lang w:val="fr-CA" w:eastAsia="en-CA"/>
            </w:rPr>
          </w:pPr>
          <w:hyperlink w:anchor="_Toc42946550" w:history="1">
            <w:r w:rsidR="001818E3" w:rsidRPr="009C6218">
              <w:rPr>
                <w:rStyle w:val="Hyperlink"/>
                <w:noProof/>
                <w:lang w:val="fr-CA"/>
              </w:rPr>
              <w:t>Deux versions de l’Article</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_Toc42946550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39</w:t>
            </w:r>
            <w:r w:rsidR="001818E3" w:rsidRPr="009C6218">
              <w:rPr>
                <w:noProof/>
                <w:webHidden/>
                <w:lang w:val="fr-CA"/>
              </w:rPr>
              <w:fldChar w:fldCharType="end"/>
            </w:r>
          </w:hyperlink>
        </w:p>
        <w:p w14:paraId="69E902F7" w14:textId="77777777" w:rsidR="001818E3" w:rsidRPr="009C6218" w:rsidRDefault="0068641E">
          <w:pPr>
            <w:pStyle w:val="TOC2"/>
            <w:tabs>
              <w:tab w:val="right" w:leader="dot" w:pos="9350"/>
            </w:tabs>
            <w:rPr>
              <w:rFonts w:asciiTheme="minorHAnsi" w:eastAsiaTheme="minorEastAsia" w:hAnsiTheme="minorHAnsi" w:cstheme="minorBidi"/>
              <w:noProof/>
              <w:sz w:val="22"/>
              <w:szCs w:val="22"/>
              <w:lang w:val="fr-CA" w:eastAsia="en-CA"/>
            </w:rPr>
          </w:pPr>
          <w:hyperlink w:anchor="_Toc42946551" w:history="1">
            <w:r w:rsidR="001818E3" w:rsidRPr="009C6218">
              <w:rPr>
                <w:rStyle w:val="Hyperlink"/>
                <w:rFonts w:cstheme="minorHAnsi"/>
                <w:noProof/>
                <w:lang w:val="fr-CA"/>
              </w:rPr>
              <w:t>La manière dont l’Article est rédigé, en particulier l’intensité de l’intervention ou son ton</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_Toc42946551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42</w:t>
            </w:r>
            <w:r w:rsidR="001818E3" w:rsidRPr="009C6218">
              <w:rPr>
                <w:noProof/>
                <w:webHidden/>
                <w:lang w:val="fr-CA"/>
              </w:rPr>
              <w:fldChar w:fldCharType="end"/>
            </w:r>
          </w:hyperlink>
        </w:p>
        <w:p w14:paraId="2B23BEAF" w14:textId="77777777" w:rsidR="001818E3" w:rsidRPr="009C6218" w:rsidRDefault="0068641E">
          <w:pPr>
            <w:pStyle w:val="TOC2"/>
            <w:tabs>
              <w:tab w:val="right" w:leader="dot" w:pos="9350"/>
            </w:tabs>
            <w:rPr>
              <w:rFonts w:asciiTheme="minorHAnsi" w:eastAsiaTheme="minorEastAsia" w:hAnsiTheme="minorHAnsi" w:cstheme="minorBidi"/>
              <w:noProof/>
              <w:sz w:val="22"/>
              <w:szCs w:val="22"/>
              <w:lang w:val="fr-CA" w:eastAsia="en-CA"/>
            </w:rPr>
          </w:pPr>
          <w:hyperlink w:anchor="_Toc42946552" w:history="1">
            <w:r w:rsidR="001818E3" w:rsidRPr="009C6218">
              <w:rPr>
                <w:rStyle w:val="Hyperlink"/>
                <w:noProof/>
                <w:lang w:val="fr-CA"/>
              </w:rPr>
              <w:t>Paragraphe 1 – Système de mise en liberté sous caution défectueux</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_Toc42946552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43</w:t>
            </w:r>
            <w:r w:rsidR="001818E3" w:rsidRPr="009C6218">
              <w:rPr>
                <w:noProof/>
                <w:webHidden/>
                <w:lang w:val="fr-CA"/>
              </w:rPr>
              <w:fldChar w:fldCharType="end"/>
            </w:r>
          </w:hyperlink>
        </w:p>
        <w:p w14:paraId="15570A35" w14:textId="77777777" w:rsidR="001818E3" w:rsidRPr="009C6218" w:rsidRDefault="0068641E">
          <w:pPr>
            <w:pStyle w:val="TOC2"/>
            <w:tabs>
              <w:tab w:val="right" w:leader="dot" w:pos="9350"/>
            </w:tabs>
            <w:rPr>
              <w:rFonts w:asciiTheme="minorHAnsi" w:eastAsiaTheme="minorEastAsia" w:hAnsiTheme="minorHAnsi" w:cstheme="minorBidi"/>
              <w:noProof/>
              <w:sz w:val="22"/>
              <w:szCs w:val="22"/>
              <w:lang w:val="fr-CA" w:eastAsia="en-CA"/>
            </w:rPr>
          </w:pPr>
          <w:hyperlink w:anchor="_Toc42946553" w:history="1">
            <w:r w:rsidR="001818E3" w:rsidRPr="009C6218">
              <w:rPr>
                <w:rStyle w:val="Hyperlink"/>
                <w:noProof/>
                <w:lang w:val="fr-CA"/>
              </w:rPr>
              <w:t>Paragraphe 2 – Droit à la mise en liberté sous caution et à la première comparution par vidéo</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_Toc42946553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43</w:t>
            </w:r>
            <w:r w:rsidR="001818E3" w:rsidRPr="009C6218">
              <w:rPr>
                <w:noProof/>
                <w:webHidden/>
                <w:lang w:val="fr-CA"/>
              </w:rPr>
              <w:fldChar w:fldCharType="end"/>
            </w:r>
          </w:hyperlink>
        </w:p>
        <w:p w14:paraId="472F436F" w14:textId="77777777" w:rsidR="001818E3" w:rsidRPr="009C6218" w:rsidRDefault="0068641E">
          <w:pPr>
            <w:pStyle w:val="TOC2"/>
            <w:tabs>
              <w:tab w:val="right" w:leader="dot" w:pos="9350"/>
            </w:tabs>
            <w:rPr>
              <w:rFonts w:asciiTheme="minorHAnsi" w:eastAsiaTheme="minorEastAsia" w:hAnsiTheme="minorHAnsi" w:cstheme="minorBidi"/>
              <w:noProof/>
              <w:sz w:val="22"/>
              <w:szCs w:val="22"/>
              <w:lang w:val="fr-CA" w:eastAsia="en-CA"/>
            </w:rPr>
          </w:pPr>
          <w:hyperlink w:anchor="_Toc42946554" w:history="1">
            <w:r w:rsidR="001818E3" w:rsidRPr="009C6218">
              <w:rPr>
                <w:rStyle w:val="Hyperlink"/>
                <w:noProof/>
                <w:lang w:val="fr-CA"/>
              </w:rPr>
              <w:t>Paragraphe 3 – Renvois et libérations sur consentement etc.</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_Toc42946554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44</w:t>
            </w:r>
            <w:r w:rsidR="001818E3" w:rsidRPr="009C6218">
              <w:rPr>
                <w:noProof/>
                <w:webHidden/>
                <w:lang w:val="fr-CA"/>
              </w:rPr>
              <w:fldChar w:fldCharType="end"/>
            </w:r>
          </w:hyperlink>
        </w:p>
        <w:p w14:paraId="7B3ACB4B" w14:textId="77777777" w:rsidR="001818E3" w:rsidRPr="009C6218" w:rsidRDefault="0068641E">
          <w:pPr>
            <w:pStyle w:val="TOC2"/>
            <w:tabs>
              <w:tab w:val="right" w:leader="dot" w:pos="9350"/>
            </w:tabs>
            <w:rPr>
              <w:rFonts w:asciiTheme="minorHAnsi" w:eastAsiaTheme="minorEastAsia" w:hAnsiTheme="minorHAnsi" w:cstheme="minorBidi"/>
              <w:noProof/>
              <w:sz w:val="22"/>
              <w:szCs w:val="22"/>
              <w:lang w:val="fr-CA" w:eastAsia="en-CA"/>
            </w:rPr>
          </w:pPr>
          <w:hyperlink w:anchor="_Toc42946555" w:history="1">
            <w:r w:rsidR="001818E3" w:rsidRPr="009C6218">
              <w:rPr>
                <w:rStyle w:val="Hyperlink"/>
                <w:noProof/>
                <w:lang w:val="fr-CA"/>
              </w:rPr>
              <w:t>Paragraphe 4 – La loi s’est volatilisée; le cynisme et l’intimidation font la loi</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_Toc42946555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44</w:t>
            </w:r>
            <w:r w:rsidR="001818E3" w:rsidRPr="009C6218">
              <w:rPr>
                <w:noProof/>
                <w:webHidden/>
                <w:lang w:val="fr-CA"/>
              </w:rPr>
              <w:fldChar w:fldCharType="end"/>
            </w:r>
          </w:hyperlink>
        </w:p>
        <w:p w14:paraId="1995F183" w14:textId="77777777" w:rsidR="001818E3" w:rsidRPr="009C6218" w:rsidRDefault="0068641E">
          <w:pPr>
            <w:pStyle w:val="TOC2"/>
            <w:tabs>
              <w:tab w:val="right" w:leader="dot" w:pos="9350"/>
            </w:tabs>
            <w:rPr>
              <w:rFonts w:asciiTheme="minorHAnsi" w:eastAsiaTheme="minorEastAsia" w:hAnsiTheme="minorHAnsi" w:cstheme="minorBidi"/>
              <w:noProof/>
              <w:sz w:val="22"/>
              <w:szCs w:val="22"/>
              <w:lang w:val="fr-CA" w:eastAsia="en-CA"/>
            </w:rPr>
          </w:pPr>
          <w:hyperlink w:anchor="_Toc42946556" w:history="1">
            <w:r w:rsidR="001818E3" w:rsidRPr="009C6218">
              <w:rPr>
                <w:rStyle w:val="Hyperlink"/>
                <w:noProof/>
                <w:lang w:val="fr-CA"/>
              </w:rPr>
              <w:t>Paragraphe 9 – Les tribunaux chargés de la mise en liberté sous caution sont dysfonctionnels et les poursuivants sont des intimidateurs</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_Toc42946556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45</w:t>
            </w:r>
            <w:r w:rsidR="001818E3" w:rsidRPr="009C6218">
              <w:rPr>
                <w:noProof/>
                <w:webHidden/>
                <w:lang w:val="fr-CA"/>
              </w:rPr>
              <w:fldChar w:fldCharType="end"/>
            </w:r>
          </w:hyperlink>
        </w:p>
        <w:p w14:paraId="285EEC68" w14:textId="77777777" w:rsidR="001818E3" w:rsidRPr="009C6218" w:rsidRDefault="0068641E">
          <w:pPr>
            <w:pStyle w:val="TOC2"/>
            <w:tabs>
              <w:tab w:val="right" w:leader="dot" w:pos="9350"/>
            </w:tabs>
            <w:rPr>
              <w:rFonts w:asciiTheme="minorHAnsi" w:eastAsiaTheme="minorEastAsia" w:hAnsiTheme="minorHAnsi" w:cstheme="minorBidi"/>
              <w:noProof/>
              <w:sz w:val="22"/>
              <w:szCs w:val="22"/>
              <w:lang w:val="fr-CA" w:eastAsia="en-CA"/>
            </w:rPr>
          </w:pPr>
          <w:hyperlink w:anchor="_Toc42946557" w:history="1">
            <w:r w:rsidR="001818E3" w:rsidRPr="009C6218">
              <w:rPr>
                <w:rStyle w:val="Hyperlink"/>
                <w:noProof/>
                <w:lang w:val="fr-CA"/>
              </w:rPr>
              <w:t>Équilibre et équité</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_Toc42946557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52</w:t>
            </w:r>
            <w:r w:rsidR="001818E3" w:rsidRPr="009C6218">
              <w:rPr>
                <w:noProof/>
                <w:webHidden/>
                <w:lang w:val="fr-CA"/>
              </w:rPr>
              <w:fldChar w:fldCharType="end"/>
            </w:r>
          </w:hyperlink>
        </w:p>
        <w:p w14:paraId="5CA02600" w14:textId="77777777" w:rsidR="001818E3" w:rsidRPr="009C6218" w:rsidRDefault="0068641E">
          <w:pPr>
            <w:pStyle w:val="TOC2"/>
            <w:tabs>
              <w:tab w:val="right" w:leader="dot" w:pos="9350"/>
            </w:tabs>
            <w:rPr>
              <w:rFonts w:asciiTheme="minorHAnsi" w:eastAsiaTheme="minorEastAsia" w:hAnsiTheme="minorHAnsi" w:cstheme="minorBidi"/>
              <w:noProof/>
              <w:sz w:val="22"/>
              <w:szCs w:val="22"/>
              <w:lang w:val="fr-CA" w:eastAsia="en-CA"/>
            </w:rPr>
          </w:pPr>
          <w:hyperlink w:anchor="_Toc42946558" w:history="1">
            <w:r w:rsidR="001818E3" w:rsidRPr="009C6218">
              <w:rPr>
                <w:rStyle w:val="Hyperlink"/>
                <w:noProof/>
                <w:lang w:val="fr-CA"/>
              </w:rPr>
              <w:t>Dire la vérité et l’apparence de partialité</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_Toc42946558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55</w:t>
            </w:r>
            <w:r w:rsidR="001818E3" w:rsidRPr="009C6218">
              <w:rPr>
                <w:noProof/>
                <w:webHidden/>
                <w:lang w:val="fr-CA"/>
              </w:rPr>
              <w:fldChar w:fldCharType="end"/>
            </w:r>
          </w:hyperlink>
        </w:p>
        <w:p w14:paraId="06DEAE23" w14:textId="77777777" w:rsidR="001818E3" w:rsidRPr="009C6218" w:rsidRDefault="0068641E">
          <w:pPr>
            <w:pStyle w:val="TOC2"/>
            <w:tabs>
              <w:tab w:val="right" w:leader="dot" w:pos="9350"/>
            </w:tabs>
            <w:rPr>
              <w:rFonts w:asciiTheme="minorHAnsi" w:eastAsiaTheme="minorEastAsia" w:hAnsiTheme="minorHAnsi" w:cstheme="minorBidi"/>
              <w:noProof/>
              <w:sz w:val="22"/>
              <w:szCs w:val="22"/>
              <w:lang w:val="fr-CA" w:eastAsia="en-CA"/>
            </w:rPr>
          </w:pPr>
          <w:hyperlink w:anchor="_Toc42946559" w:history="1">
            <w:r w:rsidR="001818E3" w:rsidRPr="009C6218">
              <w:rPr>
                <w:rStyle w:val="Hyperlink"/>
                <w:noProof/>
                <w:lang w:val="fr-CA"/>
              </w:rPr>
              <w:t>Incidence sur la confiance du public</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_Toc42946559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56</w:t>
            </w:r>
            <w:r w:rsidR="001818E3" w:rsidRPr="009C6218">
              <w:rPr>
                <w:noProof/>
                <w:webHidden/>
                <w:lang w:val="fr-CA"/>
              </w:rPr>
              <w:fldChar w:fldCharType="end"/>
            </w:r>
          </w:hyperlink>
        </w:p>
        <w:p w14:paraId="27CB29EA" w14:textId="77777777" w:rsidR="001818E3" w:rsidRPr="009C6218" w:rsidRDefault="0068641E">
          <w:pPr>
            <w:pStyle w:val="TOC2"/>
            <w:tabs>
              <w:tab w:val="right" w:leader="dot" w:pos="9350"/>
            </w:tabs>
            <w:rPr>
              <w:rFonts w:asciiTheme="minorHAnsi" w:eastAsiaTheme="minorEastAsia" w:hAnsiTheme="minorHAnsi" w:cstheme="minorBidi"/>
              <w:noProof/>
              <w:sz w:val="22"/>
              <w:szCs w:val="22"/>
              <w:lang w:val="fr-CA" w:eastAsia="en-CA"/>
            </w:rPr>
          </w:pPr>
          <w:hyperlink w:anchor="_Toc42946560" w:history="1">
            <w:r w:rsidR="001818E3" w:rsidRPr="009C6218">
              <w:rPr>
                <w:rStyle w:val="Hyperlink"/>
                <w:noProof/>
                <w:lang w:val="fr-CA"/>
              </w:rPr>
              <w:t>Réponse des médias à l’Article – « Visibilité » accrue</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_Toc42946560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57</w:t>
            </w:r>
            <w:r w:rsidR="001818E3" w:rsidRPr="009C6218">
              <w:rPr>
                <w:noProof/>
                <w:webHidden/>
                <w:lang w:val="fr-CA"/>
              </w:rPr>
              <w:fldChar w:fldCharType="end"/>
            </w:r>
          </w:hyperlink>
        </w:p>
        <w:p w14:paraId="3813CE80" w14:textId="77777777" w:rsidR="001818E3" w:rsidRPr="009C6218" w:rsidRDefault="0068641E">
          <w:pPr>
            <w:pStyle w:val="TOC2"/>
            <w:tabs>
              <w:tab w:val="right" w:leader="dot" w:pos="9350"/>
            </w:tabs>
            <w:rPr>
              <w:rFonts w:asciiTheme="minorHAnsi" w:eastAsiaTheme="minorEastAsia" w:hAnsiTheme="minorHAnsi" w:cstheme="minorBidi"/>
              <w:noProof/>
              <w:sz w:val="22"/>
              <w:szCs w:val="22"/>
              <w:lang w:val="fr-CA" w:eastAsia="en-CA"/>
            </w:rPr>
          </w:pPr>
          <w:hyperlink w:anchor="_Toc42946561" w:history="1">
            <w:r w:rsidR="001818E3" w:rsidRPr="009C6218">
              <w:rPr>
                <w:rStyle w:val="Hyperlink"/>
                <w:noProof/>
                <w:lang w:val="fr-CA"/>
              </w:rPr>
              <w:t>Preuve de l’apparence de partialité</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_Toc42946561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60</w:t>
            </w:r>
            <w:r w:rsidR="001818E3" w:rsidRPr="009C6218">
              <w:rPr>
                <w:noProof/>
                <w:webHidden/>
                <w:lang w:val="fr-CA"/>
              </w:rPr>
              <w:fldChar w:fldCharType="end"/>
            </w:r>
          </w:hyperlink>
        </w:p>
        <w:p w14:paraId="6AE5CBD4" w14:textId="77777777" w:rsidR="001818E3" w:rsidRPr="009C6218" w:rsidRDefault="0068641E">
          <w:pPr>
            <w:pStyle w:val="TOC2"/>
            <w:tabs>
              <w:tab w:val="right" w:leader="dot" w:pos="9350"/>
            </w:tabs>
            <w:rPr>
              <w:rFonts w:asciiTheme="minorHAnsi" w:eastAsiaTheme="minorEastAsia" w:hAnsiTheme="minorHAnsi" w:cstheme="minorBidi"/>
              <w:noProof/>
              <w:sz w:val="22"/>
              <w:szCs w:val="22"/>
              <w:lang w:val="fr-CA" w:eastAsia="en-CA"/>
            </w:rPr>
          </w:pPr>
          <w:hyperlink w:anchor="_Toc42946562" w:history="1">
            <w:r w:rsidR="001818E3" w:rsidRPr="009C6218">
              <w:rPr>
                <w:rStyle w:val="Hyperlink"/>
                <w:noProof/>
                <w:lang w:val="fr-CA"/>
              </w:rPr>
              <w:t xml:space="preserve">Demande de récusation </w:t>
            </w:r>
            <w:r w:rsidR="001818E3" w:rsidRPr="009C6218">
              <w:rPr>
                <w:rStyle w:val="Hyperlink"/>
                <w:i/>
                <w:noProof/>
                <w:lang w:val="fr-CA"/>
              </w:rPr>
              <w:t>après</w:t>
            </w:r>
            <w:r w:rsidR="001818E3" w:rsidRPr="009C6218">
              <w:rPr>
                <w:rStyle w:val="Hyperlink"/>
                <w:noProof/>
                <w:lang w:val="fr-CA"/>
              </w:rPr>
              <w:t xml:space="preserve"> la publication de l’Article</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_Toc42946562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62</w:t>
            </w:r>
            <w:r w:rsidR="001818E3" w:rsidRPr="009C6218">
              <w:rPr>
                <w:noProof/>
                <w:webHidden/>
                <w:lang w:val="fr-CA"/>
              </w:rPr>
              <w:fldChar w:fldCharType="end"/>
            </w:r>
          </w:hyperlink>
        </w:p>
        <w:p w14:paraId="0CC98139" w14:textId="77777777" w:rsidR="001818E3" w:rsidRPr="009C6218" w:rsidRDefault="0068641E">
          <w:pPr>
            <w:pStyle w:val="TOC2"/>
            <w:tabs>
              <w:tab w:val="right" w:leader="dot" w:pos="9350"/>
            </w:tabs>
            <w:rPr>
              <w:rFonts w:asciiTheme="minorHAnsi" w:eastAsiaTheme="minorEastAsia" w:hAnsiTheme="minorHAnsi" w:cstheme="minorBidi"/>
              <w:noProof/>
              <w:sz w:val="22"/>
              <w:szCs w:val="22"/>
              <w:lang w:val="fr-CA" w:eastAsia="en-CA"/>
            </w:rPr>
          </w:pPr>
          <w:hyperlink w:anchor="_Toc42946563" w:history="1">
            <w:r w:rsidR="001818E3" w:rsidRPr="009C6218">
              <w:rPr>
                <w:rStyle w:val="Hyperlink"/>
                <w:noProof/>
                <w:lang w:val="fr-CA"/>
              </w:rPr>
              <w:t>Motivation de bonne foi</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_Toc42946563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63</w:t>
            </w:r>
            <w:r w:rsidR="001818E3" w:rsidRPr="009C6218">
              <w:rPr>
                <w:noProof/>
                <w:webHidden/>
                <w:lang w:val="fr-CA"/>
              </w:rPr>
              <w:fldChar w:fldCharType="end"/>
            </w:r>
          </w:hyperlink>
        </w:p>
        <w:p w14:paraId="296F2F44" w14:textId="77777777" w:rsidR="001818E3" w:rsidRPr="009C6218" w:rsidRDefault="0068641E">
          <w:pPr>
            <w:pStyle w:val="TOC2"/>
            <w:tabs>
              <w:tab w:val="right" w:leader="dot" w:pos="9350"/>
            </w:tabs>
            <w:rPr>
              <w:rFonts w:asciiTheme="minorHAnsi" w:eastAsiaTheme="minorEastAsia" w:hAnsiTheme="minorHAnsi" w:cstheme="minorBidi"/>
              <w:noProof/>
              <w:sz w:val="22"/>
              <w:szCs w:val="22"/>
              <w:lang w:val="fr-CA" w:eastAsia="en-CA"/>
            </w:rPr>
          </w:pPr>
          <w:hyperlink w:anchor="_Toc42946564" w:history="1">
            <w:r w:rsidR="001818E3" w:rsidRPr="009C6218">
              <w:rPr>
                <w:rStyle w:val="Hyperlink"/>
                <w:noProof/>
                <w:lang w:val="fr-CA"/>
              </w:rPr>
              <w:t>Conclusion au sujet de l’inconduite.</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_Toc42946564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64</w:t>
            </w:r>
            <w:r w:rsidR="001818E3" w:rsidRPr="009C6218">
              <w:rPr>
                <w:noProof/>
                <w:webHidden/>
                <w:lang w:val="fr-CA"/>
              </w:rPr>
              <w:fldChar w:fldCharType="end"/>
            </w:r>
          </w:hyperlink>
        </w:p>
        <w:p w14:paraId="29750917" w14:textId="77777777" w:rsidR="001818E3" w:rsidRPr="009C6218" w:rsidRDefault="0068641E">
          <w:pPr>
            <w:pStyle w:val="TOC1"/>
            <w:tabs>
              <w:tab w:val="right" w:leader="dot" w:pos="9350"/>
            </w:tabs>
            <w:rPr>
              <w:rFonts w:asciiTheme="minorHAnsi" w:eastAsiaTheme="minorEastAsia" w:hAnsiTheme="minorHAnsi" w:cstheme="minorBidi"/>
              <w:noProof/>
              <w:sz w:val="22"/>
              <w:szCs w:val="22"/>
              <w:lang w:val="fr-CA" w:eastAsia="en-CA"/>
            </w:rPr>
          </w:pPr>
          <w:hyperlink w:anchor="_Toc42946565" w:history="1">
            <w:r w:rsidR="001818E3" w:rsidRPr="009C6218">
              <w:rPr>
                <w:rStyle w:val="Hyperlink"/>
                <w:noProof/>
                <w:lang w:val="fr-CA"/>
              </w:rPr>
              <w:t>PARTIE IX : AnalysE DE LA 2</w:t>
            </w:r>
            <w:r w:rsidR="001818E3" w:rsidRPr="009C6218">
              <w:rPr>
                <w:rStyle w:val="Hyperlink"/>
                <w:noProof/>
                <w:vertAlign w:val="superscript"/>
                <w:lang w:val="fr-CA"/>
              </w:rPr>
              <w:t>E</w:t>
            </w:r>
            <w:r w:rsidR="001818E3" w:rsidRPr="009C6218">
              <w:rPr>
                <w:rStyle w:val="Hyperlink"/>
                <w:noProof/>
                <w:lang w:val="fr-CA"/>
              </w:rPr>
              <w:t xml:space="preserve"> ALLÉGATION – REMARQUES AU SUJET D’UN AUTRE JURISTE</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_Toc42946565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67</w:t>
            </w:r>
            <w:r w:rsidR="001818E3" w:rsidRPr="009C6218">
              <w:rPr>
                <w:noProof/>
                <w:webHidden/>
                <w:lang w:val="fr-CA"/>
              </w:rPr>
              <w:fldChar w:fldCharType="end"/>
            </w:r>
          </w:hyperlink>
        </w:p>
        <w:p w14:paraId="09EA727A" w14:textId="77777777" w:rsidR="001818E3" w:rsidRPr="009C6218" w:rsidRDefault="0068641E">
          <w:pPr>
            <w:pStyle w:val="TOC2"/>
            <w:tabs>
              <w:tab w:val="right" w:leader="dot" w:pos="9350"/>
            </w:tabs>
            <w:rPr>
              <w:rFonts w:asciiTheme="minorHAnsi" w:eastAsiaTheme="minorEastAsia" w:hAnsiTheme="minorHAnsi" w:cstheme="minorBidi"/>
              <w:noProof/>
              <w:sz w:val="22"/>
              <w:szCs w:val="22"/>
              <w:lang w:val="fr-CA" w:eastAsia="en-CA"/>
            </w:rPr>
          </w:pPr>
          <w:hyperlink w:anchor="_Toc42946566" w:history="1">
            <w:r w:rsidR="001818E3" w:rsidRPr="009C6218">
              <w:rPr>
                <w:rStyle w:val="Hyperlink"/>
                <w:noProof/>
                <w:lang w:val="fr-CA"/>
              </w:rPr>
              <w:t>Contexte</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_Toc42946566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67</w:t>
            </w:r>
            <w:r w:rsidR="001818E3" w:rsidRPr="009C6218">
              <w:rPr>
                <w:noProof/>
                <w:webHidden/>
                <w:lang w:val="fr-CA"/>
              </w:rPr>
              <w:fldChar w:fldCharType="end"/>
            </w:r>
          </w:hyperlink>
        </w:p>
        <w:p w14:paraId="023671DD" w14:textId="77777777" w:rsidR="001818E3" w:rsidRPr="009C6218" w:rsidRDefault="0068641E">
          <w:pPr>
            <w:pStyle w:val="TOC2"/>
            <w:tabs>
              <w:tab w:val="right" w:leader="dot" w:pos="9350"/>
            </w:tabs>
            <w:rPr>
              <w:rFonts w:asciiTheme="minorHAnsi" w:eastAsiaTheme="minorEastAsia" w:hAnsiTheme="minorHAnsi" w:cstheme="minorBidi"/>
              <w:noProof/>
              <w:sz w:val="22"/>
              <w:szCs w:val="22"/>
              <w:lang w:val="fr-CA" w:eastAsia="en-CA"/>
            </w:rPr>
          </w:pPr>
          <w:hyperlink w:anchor="_Toc42946567" w:history="1">
            <w:r w:rsidR="001818E3" w:rsidRPr="009C6218">
              <w:rPr>
                <w:rStyle w:val="Hyperlink"/>
                <w:noProof/>
                <w:lang w:val="fr-CA"/>
              </w:rPr>
              <w:t>Analyse</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_Toc42946567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69</w:t>
            </w:r>
            <w:r w:rsidR="001818E3" w:rsidRPr="009C6218">
              <w:rPr>
                <w:noProof/>
                <w:webHidden/>
                <w:lang w:val="fr-CA"/>
              </w:rPr>
              <w:fldChar w:fldCharType="end"/>
            </w:r>
          </w:hyperlink>
        </w:p>
        <w:p w14:paraId="7DBADFF5" w14:textId="77777777" w:rsidR="001818E3" w:rsidRPr="009C6218" w:rsidRDefault="0068641E">
          <w:pPr>
            <w:pStyle w:val="TOC2"/>
            <w:tabs>
              <w:tab w:val="right" w:leader="dot" w:pos="9350"/>
            </w:tabs>
            <w:rPr>
              <w:rFonts w:asciiTheme="minorHAnsi" w:eastAsiaTheme="minorEastAsia" w:hAnsiTheme="minorHAnsi" w:cstheme="minorBidi"/>
              <w:noProof/>
              <w:sz w:val="22"/>
              <w:szCs w:val="22"/>
              <w:lang w:val="fr-CA" w:eastAsia="en-CA"/>
            </w:rPr>
          </w:pPr>
          <w:hyperlink w:anchor="_Toc42946568" w:history="1">
            <w:r w:rsidR="001818E3" w:rsidRPr="009C6218">
              <w:rPr>
                <w:rStyle w:val="Hyperlink"/>
                <w:noProof/>
                <w:lang w:val="fr-CA"/>
              </w:rPr>
              <w:t>Observations sur la mesure à prendre</w:t>
            </w:r>
            <w:r w:rsidR="001818E3" w:rsidRPr="009C6218">
              <w:rPr>
                <w:noProof/>
                <w:webHidden/>
                <w:lang w:val="fr-CA"/>
              </w:rPr>
              <w:tab/>
            </w:r>
            <w:r w:rsidR="001818E3" w:rsidRPr="009C6218">
              <w:rPr>
                <w:noProof/>
                <w:webHidden/>
                <w:lang w:val="fr-CA"/>
              </w:rPr>
              <w:fldChar w:fldCharType="begin"/>
            </w:r>
            <w:r w:rsidR="001818E3" w:rsidRPr="009C6218">
              <w:rPr>
                <w:noProof/>
                <w:webHidden/>
                <w:lang w:val="fr-CA"/>
              </w:rPr>
              <w:instrText xml:space="preserve"> PAGEREF _Toc42946568 \h </w:instrText>
            </w:r>
            <w:r w:rsidR="001818E3" w:rsidRPr="009C6218">
              <w:rPr>
                <w:noProof/>
                <w:webHidden/>
                <w:lang w:val="fr-CA"/>
              </w:rPr>
            </w:r>
            <w:r w:rsidR="001818E3" w:rsidRPr="009C6218">
              <w:rPr>
                <w:noProof/>
                <w:webHidden/>
                <w:lang w:val="fr-CA"/>
              </w:rPr>
              <w:fldChar w:fldCharType="separate"/>
            </w:r>
            <w:r w:rsidR="001818E3" w:rsidRPr="009C6218">
              <w:rPr>
                <w:noProof/>
                <w:webHidden/>
                <w:lang w:val="fr-CA"/>
              </w:rPr>
              <w:t>70</w:t>
            </w:r>
            <w:r w:rsidR="001818E3" w:rsidRPr="009C6218">
              <w:rPr>
                <w:noProof/>
                <w:webHidden/>
                <w:lang w:val="fr-CA"/>
              </w:rPr>
              <w:fldChar w:fldCharType="end"/>
            </w:r>
          </w:hyperlink>
        </w:p>
        <w:p w14:paraId="03A01305" w14:textId="0E6A5C79" w:rsidR="00E36AE5" w:rsidRPr="009C6218" w:rsidRDefault="00231975">
          <w:pPr>
            <w:rPr>
              <w:b/>
              <w:bCs/>
              <w:noProof/>
              <w:lang w:val="fr-CA"/>
            </w:rPr>
          </w:pPr>
          <w:r w:rsidRPr="009C6218">
            <w:rPr>
              <w:b/>
              <w:bCs/>
              <w:noProof/>
              <w:lang w:val="fr-CA"/>
            </w:rPr>
            <w:fldChar w:fldCharType="end"/>
          </w:r>
        </w:p>
        <w:p w14:paraId="31BD62DF" w14:textId="3A4AE07F" w:rsidR="00E36AE5" w:rsidRPr="009C6218" w:rsidRDefault="00E36AE5" w:rsidP="00E36AE5">
          <w:pPr>
            <w:rPr>
              <w:rFonts w:eastAsia="Times New Roman"/>
              <w:lang w:val="fr-CA"/>
            </w:rPr>
          </w:pPr>
          <w:r w:rsidRPr="009C6218">
            <w:rPr>
              <w:rFonts w:eastAsia="Times New Roman"/>
              <w:lang w:val="fr-CA"/>
            </w:rPr>
            <w:t>A</w:t>
          </w:r>
          <w:r w:rsidR="00F57445" w:rsidRPr="009C6218">
            <w:rPr>
              <w:rFonts w:eastAsia="Times New Roman"/>
              <w:lang w:val="fr-CA"/>
            </w:rPr>
            <w:t>NNEXES</w:t>
          </w:r>
        </w:p>
        <w:p w14:paraId="7C784696" w14:textId="3B61AFC2" w:rsidR="00E36AE5" w:rsidRPr="009C6218" w:rsidRDefault="00E36AE5" w:rsidP="00E36AE5">
          <w:pPr>
            <w:rPr>
              <w:rFonts w:eastAsia="Times New Roman"/>
              <w:lang w:val="fr-CA"/>
            </w:rPr>
          </w:pPr>
          <w:r w:rsidRPr="009C6218">
            <w:rPr>
              <w:rFonts w:eastAsia="Times New Roman"/>
              <w:lang w:val="fr-CA"/>
            </w:rPr>
            <w:t>A</w:t>
          </w:r>
          <w:r w:rsidR="00331794" w:rsidRPr="009C6218">
            <w:rPr>
              <w:rFonts w:eastAsia="Times New Roman"/>
              <w:lang w:val="fr-CA"/>
            </w:rPr>
            <w:t xml:space="preserve"> </w:t>
          </w:r>
          <w:r w:rsidR="00F57445" w:rsidRPr="009C6218">
            <w:rPr>
              <w:rFonts w:eastAsia="Times New Roman"/>
              <w:lang w:val="fr-CA"/>
            </w:rPr>
            <w:t>–</w:t>
          </w:r>
          <w:r w:rsidRPr="009C6218">
            <w:rPr>
              <w:rFonts w:eastAsia="Times New Roman"/>
              <w:lang w:val="fr-CA"/>
            </w:rPr>
            <w:t xml:space="preserve"> Histor</w:t>
          </w:r>
          <w:r w:rsidR="00F57445" w:rsidRPr="009C6218">
            <w:rPr>
              <w:rFonts w:eastAsia="Times New Roman"/>
              <w:lang w:val="fr-CA"/>
            </w:rPr>
            <w:t>ique de l’instance</w:t>
          </w:r>
        </w:p>
        <w:p w14:paraId="2D38D391" w14:textId="028C2FF1" w:rsidR="00E36AE5" w:rsidRPr="009C6218" w:rsidRDefault="00E36AE5" w:rsidP="00E36AE5">
          <w:pPr>
            <w:rPr>
              <w:rFonts w:eastAsia="Times New Roman"/>
              <w:lang w:val="fr-CA"/>
            </w:rPr>
          </w:pPr>
          <w:r w:rsidRPr="009C6218">
            <w:rPr>
              <w:rFonts w:eastAsia="Times New Roman"/>
              <w:lang w:val="fr-CA"/>
            </w:rPr>
            <w:t>B</w:t>
          </w:r>
          <w:r w:rsidR="00331794" w:rsidRPr="009C6218">
            <w:rPr>
              <w:rFonts w:eastAsia="Times New Roman"/>
              <w:lang w:val="fr-CA"/>
            </w:rPr>
            <w:t xml:space="preserve"> </w:t>
          </w:r>
          <w:r w:rsidR="00F57445" w:rsidRPr="009C6218">
            <w:rPr>
              <w:rFonts w:eastAsia="Times New Roman"/>
              <w:lang w:val="fr-CA"/>
            </w:rPr>
            <w:t>–</w:t>
          </w:r>
          <w:r w:rsidR="00A46C97" w:rsidRPr="009C6218">
            <w:rPr>
              <w:rFonts w:eastAsia="Times New Roman"/>
              <w:lang w:val="fr-CA"/>
            </w:rPr>
            <w:t xml:space="preserve"> </w:t>
          </w:r>
          <w:r w:rsidR="00F57445" w:rsidRPr="009C6218">
            <w:rPr>
              <w:rFonts w:eastAsia="Times New Roman"/>
              <w:lang w:val="fr-CA"/>
            </w:rPr>
            <w:t>L’a</w:t>
          </w:r>
          <w:r w:rsidRPr="009C6218">
            <w:rPr>
              <w:rFonts w:eastAsia="Times New Roman"/>
              <w:lang w:val="fr-CA"/>
            </w:rPr>
            <w:t xml:space="preserve">rticle </w:t>
          </w:r>
          <w:r w:rsidR="00F57445" w:rsidRPr="009C6218">
            <w:rPr>
              <w:rFonts w:eastAsia="Times New Roman"/>
              <w:lang w:val="fr-CA"/>
            </w:rPr>
            <w:t>–</w:t>
          </w:r>
          <w:r w:rsidR="005B4952" w:rsidRPr="009C6218">
            <w:rPr>
              <w:rFonts w:eastAsia="Times New Roman"/>
              <w:lang w:val="fr-CA"/>
            </w:rPr>
            <w:t xml:space="preserve"> </w:t>
          </w:r>
          <w:r w:rsidR="00F57445" w:rsidRPr="009C6218">
            <w:rPr>
              <w:rFonts w:eastAsia="Times New Roman"/>
              <w:lang w:val="fr-CA"/>
            </w:rPr>
            <w:t>version en ligne</w:t>
          </w:r>
          <w:r w:rsidRPr="009C6218">
            <w:rPr>
              <w:rFonts w:eastAsia="Times New Roman"/>
              <w:lang w:val="fr-CA"/>
            </w:rPr>
            <w:t xml:space="preserve"> (</w:t>
          </w:r>
          <w:r w:rsidR="00F57445" w:rsidRPr="009C6218">
            <w:rPr>
              <w:rFonts w:eastAsia="Times New Roman"/>
              <w:lang w:val="fr-CA"/>
            </w:rPr>
            <w:t>pièce</w:t>
          </w:r>
          <w:r w:rsidRPr="009C6218">
            <w:rPr>
              <w:rFonts w:eastAsia="Times New Roman"/>
              <w:lang w:val="fr-CA"/>
            </w:rPr>
            <w:t xml:space="preserve"> 3, </w:t>
          </w:r>
          <w:r w:rsidR="00F57445" w:rsidRPr="009C6218">
            <w:rPr>
              <w:rFonts w:eastAsia="Times New Roman"/>
              <w:lang w:val="fr-CA"/>
            </w:rPr>
            <w:t xml:space="preserve">onglet </w:t>
          </w:r>
          <w:r w:rsidRPr="009C6218">
            <w:rPr>
              <w:rFonts w:eastAsia="Times New Roman"/>
              <w:lang w:val="fr-CA"/>
            </w:rPr>
            <w:t>2)</w:t>
          </w:r>
        </w:p>
        <w:p w14:paraId="78192AE1" w14:textId="01ECB4C0" w:rsidR="00E36AE5" w:rsidRPr="009C6218" w:rsidRDefault="00E36AE5" w:rsidP="00E36AE5">
          <w:pPr>
            <w:rPr>
              <w:rFonts w:eastAsia="Times New Roman"/>
              <w:lang w:val="fr-CA"/>
            </w:rPr>
          </w:pPr>
          <w:r w:rsidRPr="009C6218">
            <w:rPr>
              <w:rFonts w:eastAsia="Times New Roman"/>
              <w:lang w:val="fr-CA"/>
            </w:rPr>
            <w:t>C</w:t>
          </w:r>
          <w:r w:rsidR="00331794" w:rsidRPr="009C6218">
            <w:rPr>
              <w:rFonts w:eastAsia="Times New Roman"/>
              <w:lang w:val="fr-CA"/>
            </w:rPr>
            <w:t xml:space="preserve"> </w:t>
          </w:r>
          <w:r w:rsidR="00F57445" w:rsidRPr="009C6218">
            <w:rPr>
              <w:rFonts w:eastAsia="Times New Roman"/>
              <w:lang w:val="fr-CA"/>
            </w:rPr>
            <w:t>–</w:t>
          </w:r>
          <w:r w:rsidRPr="009C6218">
            <w:rPr>
              <w:rFonts w:eastAsia="Times New Roman"/>
              <w:lang w:val="fr-CA"/>
            </w:rPr>
            <w:t xml:space="preserve"> </w:t>
          </w:r>
          <w:r w:rsidR="00F57445" w:rsidRPr="009C6218">
            <w:rPr>
              <w:rFonts w:eastAsia="Times New Roman"/>
              <w:lang w:val="fr-CA"/>
            </w:rPr>
            <w:t>L’a</w:t>
          </w:r>
          <w:r w:rsidRPr="009C6218">
            <w:rPr>
              <w:rFonts w:eastAsia="Times New Roman"/>
              <w:lang w:val="fr-CA"/>
            </w:rPr>
            <w:t>rticle</w:t>
          </w:r>
          <w:r w:rsidR="005B4952" w:rsidRPr="009C6218">
            <w:rPr>
              <w:rFonts w:eastAsia="Times New Roman"/>
              <w:lang w:val="fr-CA"/>
            </w:rPr>
            <w:t xml:space="preserve"> </w:t>
          </w:r>
          <w:r w:rsidR="00F57445" w:rsidRPr="009C6218">
            <w:rPr>
              <w:rFonts w:eastAsia="Times New Roman"/>
              <w:lang w:val="fr-CA"/>
            </w:rPr>
            <w:t>–</w:t>
          </w:r>
          <w:r w:rsidR="005B4952" w:rsidRPr="009C6218">
            <w:rPr>
              <w:rFonts w:eastAsia="Times New Roman"/>
              <w:lang w:val="fr-CA"/>
            </w:rPr>
            <w:t xml:space="preserve"> </w:t>
          </w:r>
          <w:r w:rsidR="00F57445" w:rsidRPr="009C6218">
            <w:rPr>
              <w:rFonts w:eastAsia="Times New Roman"/>
              <w:lang w:val="fr-CA"/>
            </w:rPr>
            <w:t>version imprimée</w:t>
          </w:r>
          <w:r w:rsidRPr="009C6218">
            <w:rPr>
              <w:rFonts w:eastAsia="Times New Roman"/>
              <w:lang w:val="fr-CA"/>
            </w:rPr>
            <w:t> </w:t>
          </w:r>
          <w:r w:rsidRPr="009C6218">
            <w:rPr>
              <w:rFonts w:ascii="HelveticaNeue" w:eastAsia="Times New Roman" w:hAnsi="HelveticaNeue"/>
              <w:shd w:val="clear" w:color="auto" w:fill="FFFFFF"/>
              <w:lang w:val="fr-CA"/>
            </w:rPr>
            <w:t>(</w:t>
          </w:r>
          <w:r w:rsidR="00F57445" w:rsidRPr="009C6218">
            <w:rPr>
              <w:rFonts w:eastAsia="Times New Roman"/>
              <w:lang w:val="fr-CA"/>
            </w:rPr>
            <w:t xml:space="preserve">pièce 3, onglet </w:t>
          </w:r>
          <w:r w:rsidRPr="009C6218">
            <w:rPr>
              <w:rFonts w:ascii="HelveticaNeue" w:eastAsia="Times New Roman" w:hAnsi="HelveticaNeue"/>
              <w:shd w:val="clear" w:color="auto" w:fill="FFFFFF"/>
              <w:lang w:val="fr-CA"/>
            </w:rPr>
            <w:t>3)</w:t>
          </w:r>
        </w:p>
        <w:p w14:paraId="24E3E044" w14:textId="54BBD41C" w:rsidR="00E36AE5" w:rsidRPr="009C6218" w:rsidRDefault="00E36AE5">
          <w:pPr>
            <w:rPr>
              <w:b/>
              <w:bCs/>
              <w:noProof/>
              <w:lang w:val="fr-CA"/>
            </w:rPr>
          </w:pPr>
          <w:r w:rsidRPr="009C6218">
            <w:rPr>
              <w:rFonts w:eastAsia="Times New Roman"/>
              <w:lang w:val="fr-CA"/>
            </w:rPr>
            <w:t>D</w:t>
          </w:r>
          <w:r w:rsidR="00331794" w:rsidRPr="009C6218">
            <w:rPr>
              <w:rFonts w:eastAsia="Times New Roman"/>
              <w:lang w:val="fr-CA"/>
            </w:rPr>
            <w:t xml:space="preserve"> </w:t>
          </w:r>
          <w:r w:rsidR="00F57445" w:rsidRPr="009C6218">
            <w:rPr>
              <w:rFonts w:eastAsia="Times New Roman"/>
              <w:lang w:val="fr-CA"/>
            </w:rPr>
            <w:t>–</w:t>
          </w:r>
          <w:r w:rsidRPr="009C6218">
            <w:rPr>
              <w:rFonts w:eastAsia="Times New Roman"/>
              <w:lang w:val="fr-CA"/>
            </w:rPr>
            <w:t xml:space="preserve"> </w:t>
          </w:r>
          <w:bookmarkStart w:id="2" w:name="_Hlk39831415"/>
          <w:r w:rsidR="00F57445" w:rsidRPr="009C6218">
            <w:rPr>
              <w:rFonts w:eastAsia="Times New Roman"/>
              <w:lang w:val="fr-CA"/>
            </w:rPr>
            <w:t>Versions comparées</w:t>
          </w:r>
          <w:r w:rsidRPr="009C6218">
            <w:rPr>
              <w:rFonts w:eastAsia="Times New Roman"/>
              <w:lang w:val="fr-CA"/>
            </w:rPr>
            <w:t xml:space="preserve"> (</w:t>
          </w:r>
          <w:r w:rsidR="00F57445" w:rsidRPr="009C6218">
            <w:rPr>
              <w:rFonts w:eastAsia="Times New Roman"/>
              <w:lang w:val="fr-CA"/>
            </w:rPr>
            <w:t>pièce</w:t>
          </w:r>
          <w:r w:rsidRPr="009C6218">
            <w:rPr>
              <w:rFonts w:eastAsia="Times New Roman"/>
              <w:lang w:val="fr-CA"/>
            </w:rPr>
            <w:t xml:space="preserve"> 11)</w:t>
          </w:r>
          <w:bookmarkEnd w:id="2"/>
        </w:p>
        <w:p w14:paraId="0BB0471F" w14:textId="3F2FB948" w:rsidR="00231975" w:rsidRPr="009C6218" w:rsidRDefault="0068641E">
          <w:pPr>
            <w:rPr>
              <w:lang w:val="fr-CA"/>
            </w:rPr>
          </w:pPr>
        </w:p>
      </w:sdtContent>
    </w:sdt>
    <w:p w14:paraId="3618A03D" w14:textId="77777777" w:rsidR="00231975" w:rsidRPr="009C6218" w:rsidRDefault="00231975">
      <w:pPr>
        <w:rPr>
          <w:rFonts w:ascii="Arial Bold" w:eastAsia="Times New Roman" w:hAnsi="Arial Bold"/>
          <w:b/>
          <w:caps/>
          <w:sz w:val="27"/>
          <w:szCs w:val="28"/>
          <w:lang w:val="fr-CA" w:eastAsia="en-CA"/>
        </w:rPr>
      </w:pPr>
      <w:r w:rsidRPr="009C6218">
        <w:rPr>
          <w:lang w:val="fr-CA"/>
        </w:rPr>
        <w:br w:type="page"/>
      </w:r>
    </w:p>
    <w:p w14:paraId="6239AFDE" w14:textId="66B819FB" w:rsidR="001B0EA0" w:rsidRPr="009C6218" w:rsidRDefault="00B50246" w:rsidP="00030781">
      <w:pPr>
        <w:jc w:val="center"/>
        <w:rPr>
          <w:b/>
          <w:sz w:val="27"/>
          <w:szCs w:val="27"/>
          <w:lang w:val="fr-CA"/>
        </w:rPr>
      </w:pPr>
      <w:r w:rsidRPr="009C6218">
        <w:rPr>
          <w:b/>
          <w:sz w:val="27"/>
          <w:szCs w:val="27"/>
          <w:lang w:val="fr-CA"/>
        </w:rPr>
        <w:lastRenderedPageBreak/>
        <w:t>MOTIFS DE DÉCISION</w:t>
      </w:r>
    </w:p>
    <w:p w14:paraId="398C3447" w14:textId="77777777" w:rsidR="00030781" w:rsidRPr="009C6218" w:rsidRDefault="00030781" w:rsidP="00030781">
      <w:pPr>
        <w:jc w:val="center"/>
        <w:rPr>
          <w:sz w:val="27"/>
          <w:szCs w:val="27"/>
          <w:lang w:val="fr-CA"/>
        </w:rPr>
      </w:pPr>
    </w:p>
    <w:p w14:paraId="5684B0E7" w14:textId="77777777" w:rsidR="00DB7148" w:rsidRPr="009C6218" w:rsidRDefault="00DB7148" w:rsidP="00835302">
      <w:pPr>
        <w:rPr>
          <w:lang w:val="fr-CA"/>
        </w:rPr>
      </w:pPr>
      <w:bookmarkStart w:id="3" w:name="_Hlk30166758"/>
    </w:p>
    <w:p w14:paraId="7E2666D1" w14:textId="171D0773" w:rsidR="004749BC" w:rsidRPr="009C6218" w:rsidRDefault="000A04CD" w:rsidP="009675AF">
      <w:pPr>
        <w:pStyle w:val="Heading1"/>
        <w:rPr>
          <w:lang w:val="fr-CA"/>
        </w:rPr>
      </w:pPr>
      <w:bookmarkStart w:id="4" w:name="_Toc42946520"/>
      <w:r w:rsidRPr="009C6218">
        <w:rPr>
          <w:lang w:val="fr-CA"/>
        </w:rPr>
        <w:t>PART</w:t>
      </w:r>
      <w:r w:rsidR="00B50246" w:rsidRPr="009C6218">
        <w:rPr>
          <w:lang w:val="fr-CA"/>
        </w:rPr>
        <w:t>IE</w:t>
      </w:r>
      <w:r w:rsidRPr="009C6218">
        <w:rPr>
          <w:lang w:val="fr-CA"/>
        </w:rPr>
        <w:t xml:space="preserve"> I</w:t>
      </w:r>
      <w:r w:rsidR="00B50246" w:rsidRPr="009C6218">
        <w:rPr>
          <w:lang w:val="fr-CA"/>
        </w:rPr>
        <w:t xml:space="preserve"> </w:t>
      </w:r>
      <w:r w:rsidR="001B0EA0" w:rsidRPr="009C6218">
        <w:rPr>
          <w:lang w:val="fr-CA"/>
        </w:rPr>
        <w:t xml:space="preserve">: </w:t>
      </w:r>
      <w:r w:rsidR="00B50246" w:rsidRPr="009C6218">
        <w:rPr>
          <w:lang w:val="fr-CA"/>
        </w:rPr>
        <w:t>SURVOL ET HISTORIQUE PROCÉDURAL</w:t>
      </w:r>
      <w:bookmarkEnd w:id="4"/>
    </w:p>
    <w:p w14:paraId="0916F4C2" w14:textId="77777777" w:rsidR="00D74CBA" w:rsidRPr="009C6218" w:rsidRDefault="00D74CBA" w:rsidP="00D74CBA">
      <w:pPr>
        <w:rPr>
          <w:lang w:val="fr-CA"/>
        </w:rPr>
      </w:pPr>
    </w:p>
    <w:bookmarkEnd w:id="3"/>
    <w:p w14:paraId="2C6A9373" w14:textId="1C42CD17" w:rsidR="00195AF3" w:rsidRPr="009C6218" w:rsidRDefault="00B50246" w:rsidP="003B1CB6">
      <w:pPr>
        <w:numPr>
          <w:ilvl w:val="0"/>
          <w:numId w:val="1"/>
        </w:numPr>
        <w:spacing w:after="360"/>
        <w:ind w:left="567" w:hanging="567"/>
        <w:rPr>
          <w:rFonts w:eastAsia="Arial" w:cs="Times New Roman"/>
          <w:szCs w:val="22"/>
          <w:lang w:val="fr-CA"/>
        </w:rPr>
      </w:pPr>
      <w:r w:rsidRPr="009C6218">
        <w:rPr>
          <w:rFonts w:eastAsia="Arial" w:cs="Times New Roman"/>
          <w:szCs w:val="22"/>
          <w:lang w:val="fr-CA"/>
        </w:rPr>
        <w:t xml:space="preserve">L’instance en question concerne la conduite de la juge de paix </w:t>
      </w:r>
      <w:r w:rsidR="00C10FF7" w:rsidRPr="009C6218">
        <w:rPr>
          <w:rFonts w:eastAsia="Arial" w:cs="Times New Roman"/>
          <w:szCs w:val="22"/>
          <w:lang w:val="fr-CA"/>
        </w:rPr>
        <w:t xml:space="preserve">Julie Lauzon, </w:t>
      </w:r>
      <w:r w:rsidRPr="009C6218">
        <w:rPr>
          <w:rFonts w:eastAsia="Arial" w:cs="Times New Roman"/>
          <w:szCs w:val="22"/>
          <w:lang w:val="fr-CA"/>
        </w:rPr>
        <w:t>membre de la Cour de justice de l’</w:t>
      </w:r>
      <w:r w:rsidR="00672498" w:rsidRPr="009C6218">
        <w:rPr>
          <w:rFonts w:eastAsia="Arial" w:cs="Times New Roman"/>
          <w:szCs w:val="22"/>
          <w:lang w:val="fr-CA"/>
        </w:rPr>
        <w:t xml:space="preserve">Ontario, à deux occasions distinctes : la première se rapporte à des déclarations faites hors du tribunal, dans le domaine public, et la deuxième, à des </w:t>
      </w:r>
      <w:r w:rsidR="009C6218" w:rsidRPr="009C6218">
        <w:rPr>
          <w:rFonts w:eastAsia="Arial" w:cs="Times New Roman"/>
          <w:szCs w:val="22"/>
          <w:lang w:val="fr-CA"/>
        </w:rPr>
        <w:t>remarques</w:t>
      </w:r>
      <w:r w:rsidR="00672498" w:rsidRPr="009C6218">
        <w:rPr>
          <w:rFonts w:eastAsia="Arial" w:cs="Times New Roman"/>
          <w:szCs w:val="22"/>
          <w:lang w:val="fr-CA"/>
        </w:rPr>
        <w:t xml:space="preserve"> formulé</w:t>
      </w:r>
      <w:r w:rsidR="009C6218" w:rsidRPr="009C6218">
        <w:rPr>
          <w:rFonts w:eastAsia="Arial" w:cs="Times New Roman"/>
          <w:szCs w:val="22"/>
          <w:lang w:val="fr-CA"/>
        </w:rPr>
        <w:t>e</w:t>
      </w:r>
      <w:r w:rsidR="00672498" w:rsidRPr="009C6218">
        <w:rPr>
          <w:rFonts w:eastAsia="Arial" w:cs="Times New Roman"/>
          <w:szCs w:val="22"/>
          <w:lang w:val="fr-CA"/>
        </w:rPr>
        <w:t>s au tribunal lors d’une audience de mise en liberté sous caution</w:t>
      </w:r>
      <w:r w:rsidR="0071680C" w:rsidRPr="009C6218">
        <w:rPr>
          <w:rFonts w:eastAsia="Arial" w:cs="Times New Roman"/>
          <w:szCs w:val="22"/>
          <w:lang w:val="fr-CA"/>
        </w:rPr>
        <w:t>.</w:t>
      </w:r>
    </w:p>
    <w:p w14:paraId="2095C6EB" w14:textId="4AAA5F2C" w:rsidR="0085317D" w:rsidRPr="009C6218" w:rsidRDefault="00672498" w:rsidP="000E7DCB">
      <w:pPr>
        <w:numPr>
          <w:ilvl w:val="0"/>
          <w:numId w:val="1"/>
        </w:numPr>
        <w:spacing w:after="200" w:line="276" w:lineRule="auto"/>
        <w:ind w:left="567" w:hanging="567"/>
        <w:rPr>
          <w:rFonts w:eastAsia="Arial" w:cs="Times New Roman"/>
          <w:szCs w:val="22"/>
          <w:lang w:val="fr-CA"/>
        </w:rPr>
      </w:pPr>
      <w:r w:rsidRPr="009C6218">
        <w:rPr>
          <w:rFonts w:eastAsia="Arial" w:cs="Times New Roman"/>
          <w:szCs w:val="22"/>
          <w:lang w:val="fr-CA"/>
        </w:rPr>
        <w:t xml:space="preserve">Le 14 mars </w:t>
      </w:r>
      <w:r w:rsidR="00F851D2" w:rsidRPr="009C6218">
        <w:rPr>
          <w:rFonts w:eastAsia="Arial" w:cs="Times New Roman"/>
          <w:szCs w:val="22"/>
          <w:lang w:val="fr-CA"/>
        </w:rPr>
        <w:t xml:space="preserve">2016, </w:t>
      </w:r>
      <w:r w:rsidRPr="009C6218">
        <w:rPr>
          <w:rFonts w:eastAsia="Arial" w:cs="Times New Roman"/>
          <w:szCs w:val="22"/>
          <w:lang w:val="fr-CA"/>
        </w:rPr>
        <w:t xml:space="preserve">la juge de paix a écrit un article intitulé </w:t>
      </w:r>
      <w:r w:rsidRPr="009C6218">
        <w:rPr>
          <w:color w:val="000000" w:themeColor="text1"/>
          <w:lang w:val="fr-CA"/>
        </w:rPr>
        <w:t>« </w:t>
      </w:r>
      <w:proofErr w:type="spellStart"/>
      <w:r w:rsidRPr="009C6218">
        <w:rPr>
          <w:bCs/>
          <w:color w:val="000000" w:themeColor="text1"/>
          <w:lang w:val="fr-CA"/>
        </w:rPr>
        <w:t>When</w:t>
      </w:r>
      <w:proofErr w:type="spellEnd"/>
      <w:r w:rsidRPr="009C6218">
        <w:rPr>
          <w:bCs/>
          <w:color w:val="000000" w:themeColor="text1"/>
          <w:lang w:val="fr-CA"/>
        </w:rPr>
        <w:t xml:space="preserve"> Bail Courts Don’t Follow the Law », </w:t>
      </w:r>
      <w:r w:rsidR="009C6218" w:rsidRPr="009C6218">
        <w:rPr>
          <w:bCs/>
          <w:color w:val="000000" w:themeColor="text1"/>
          <w:lang w:val="fr-CA"/>
        </w:rPr>
        <w:t xml:space="preserve">qui a </w:t>
      </w:r>
      <w:r w:rsidRPr="009C6218">
        <w:rPr>
          <w:bCs/>
          <w:color w:val="000000" w:themeColor="text1"/>
          <w:lang w:val="fr-CA"/>
        </w:rPr>
        <w:t xml:space="preserve">paru </w:t>
      </w:r>
      <w:r w:rsidR="009C6218" w:rsidRPr="009C6218">
        <w:rPr>
          <w:bCs/>
          <w:color w:val="000000" w:themeColor="text1"/>
          <w:lang w:val="fr-CA"/>
        </w:rPr>
        <w:t xml:space="preserve">en ligne </w:t>
      </w:r>
      <w:r w:rsidRPr="009C6218">
        <w:rPr>
          <w:bCs/>
          <w:color w:val="000000" w:themeColor="text1"/>
          <w:lang w:val="fr-CA"/>
        </w:rPr>
        <w:t xml:space="preserve">dans le </w:t>
      </w:r>
      <w:r w:rsidRPr="009C6218">
        <w:rPr>
          <w:i/>
          <w:color w:val="000000" w:themeColor="text1"/>
          <w:lang w:val="fr-CA"/>
        </w:rPr>
        <w:t>National Post</w:t>
      </w:r>
      <w:r w:rsidR="00C23099" w:rsidRPr="009C6218">
        <w:rPr>
          <w:rFonts w:eastAsia="Arial" w:cs="Times New Roman"/>
          <w:szCs w:val="22"/>
          <w:lang w:val="fr-CA"/>
        </w:rPr>
        <w:t>.</w:t>
      </w:r>
    </w:p>
    <w:p w14:paraId="486F5AC4" w14:textId="6FB22C9D" w:rsidR="009B1CFE" w:rsidRPr="009C6218" w:rsidRDefault="00672498" w:rsidP="00595495">
      <w:pPr>
        <w:numPr>
          <w:ilvl w:val="0"/>
          <w:numId w:val="1"/>
        </w:numPr>
        <w:spacing w:after="200" w:line="276" w:lineRule="auto"/>
        <w:ind w:left="567" w:hanging="567"/>
        <w:rPr>
          <w:rFonts w:eastAsia="Arial" w:cs="Times New Roman"/>
          <w:szCs w:val="22"/>
          <w:lang w:val="fr-CA"/>
        </w:rPr>
      </w:pPr>
      <w:r w:rsidRPr="009C6218">
        <w:rPr>
          <w:rFonts w:eastAsia="Arial" w:cs="Times New Roman"/>
          <w:szCs w:val="22"/>
          <w:lang w:val="fr-CA"/>
        </w:rPr>
        <w:t xml:space="preserve">Dans l’article, elle a qualifié la Cour où elle préside de </w:t>
      </w:r>
      <w:r w:rsidR="009C6218" w:rsidRPr="009C6218">
        <w:rPr>
          <w:rFonts w:eastAsia="Arial" w:cs="Times New Roman"/>
          <w:szCs w:val="22"/>
          <w:lang w:val="fr-CA"/>
        </w:rPr>
        <w:t xml:space="preserve">« a </w:t>
      </w:r>
      <w:proofErr w:type="spellStart"/>
      <w:r w:rsidR="009C6218" w:rsidRPr="009C6218">
        <w:rPr>
          <w:rFonts w:eastAsia="Arial" w:cs="Times New Roman"/>
          <w:szCs w:val="22"/>
          <w:lang w:val="fr-CA"/>
        </w:rPr>
        <w:t>disgrace</w:t>
      </w:r>
      <w:proofErr w:type="spellEnd"/>
      <w:r w:rsidR="009C6218" w:rsidRPr="009C6218">
        <w:rPr>
          <w:rFonts w:eastAsia="Arial" w:cs="Times New Roman"/>
          <w:szCs w:val="22"/>
          <w:lang w:val="fr-CA"/>
        </w:rPr>
        <w:t xml:space="preserve"> » </w:t>
      </w:r>
      <w:r w:rsidRPr="009C6218">
        <w:rPr>
          <w:rFonts w:eastAsia="Arial" w:cs="Times New Roman"/>
          <w:szCs w:val="22"/>
          <w:lang w:val="fr-CA"/>
        </w:rPr>
        <w:t>(</w:t>
      </w:r>
      <w:r w:rsidR="009C6218" w:rsidRPr="009C6218">
        <w:rPr>
          <w:rFonts w:eastAsia="Arial" w:cs="Times New Roman"/>
          <w:szCs w:val="22"/>
          <w:lang w:val="fr-CA"/>
        </w:rPr>
        <w:t>« une honte »</w:t>
      </w:r>
      <w:r w:rsidRPr="009C6218">
        <w:rPr>
          <w:rFonts w:eastAsia="Arial" w:cs="Times New Roman"/>
          <w:szCs w:val="22"/>
          <w:lang w:val="fr-CA"/>
        </w:rPr>
        <w:t>)</w:t>
      </w:r>
      <w:r w:rsidR="009B1CFE" w:rsidRPr="009C6218">
        <w:rPr>
          <w:rFonts w:eastAsia="Arial" w:cs="Times New Roman"/>
          <w:szCs w:val="22"/>
          <w:lang w:val="fr-CA"/>
        </w:rPr>
        <w:t xml:space="preserve">, </w:t>
      </w:r>
      <w:r w:rsidRPr="009C6218">
        <w:rPr>
          <w:rFonts w:eastAsia="Arial" w:cs="Times New Roman"/>
          <w:szCs w:val="22"/>
          <w:lang w:val="fr-CA"/>
        </w:rPr>
        <w:t xml:space="preserve">citant </w:t>
      </w:r>
      <w:r w:rsidR="009C6218" w:rsidRPr="009C6218">
        <w:rPr>
          <w:rFonts w:eastAsia="Arial" w:cs="Times New Roman"/>
          <w:szCs w:val="22"/>
          <w:lang w:val="fr-CA"/>
        </w:rPr>
        <w:t xml:space="preserve">« a </w:t>
      </w:r>
      <w:proofErr w:type="spellStart"/>
      <w:r w:rsidR="009C6218" w:rsidRPr="009C6218">
        <w:rPr>
          <w:rFonts w:eastAsia="Arial" w:cs="Times New Roman"/>
          <w:szCs w:val="22"/>
          <w:lang w:val="fr-CA"/>
        </w:rPr>
        <w:t>lack</w:t>
      </w:r>
      <w:proofErr w:type="spellEnd"/>
      <w:r w:rsidR="009C6218" w:rsidRPr="009C6218">
        <w:rPr>
          <w:rFonts w:eastAsia="Arial" w:cs="Times New Roman"/>
          <w:szCs w:val="22"/>
          <w:lang w:val="fr-CA"/>
        </w:rPr>
        <w:t xml:space="preserve"> of respect for the JP </w:t>
      </w:r>
      <w:proofErr w:type="spellStart"/>
      <w:r w:rsidR="009C6218" w:rsidRPr="009C6218">
        <w:rPr>
          <w:rFonts w:eastAsia="Arial" w:cs="Times New Roman"/>
          <w:szCs w:val="22"/>
          <w:lang w:val="fr-CA"/>
        </w:rPr>
        <w:t>bench</w:t>
      </w:r>
      <w:proofErr w:type="spellEnd"/>
      <w:r w:rsidR="009C6218" w:rsidRPr="009C6218">
        <w:rPr>
          <w:rFonts w:eastAsia="Arial" w:cs="Times New Roman"/>
          <w:szCs w:val="22"/>
          <w:lang w:val="fr-CA"/>
        </w:rPr>
        <w:t> » (</w:t>
      </w:r>
      <w:r w:rsidRPr="009C6218">
        <w:rPr>
          <w:rFonts w:eastAsia="Arial" w:cs="Times New Roman"/>
          <w:szCs w:val="22"/>
          <w:lang w:val="fr-CA"/>
        </w:rPr>
        <w:t xml:space="preserve">« un manque de respect pour les juges de paix ») et </w:t>
      </w:r>
      <w:r w:rsidR="009C6218" w:rsidRPr="009C6218">
        <w:rPr>
          <w:rFonts w:eastAsia="Arial" w:cs="Times New Roman"/>
          <w:szCs w:val="22"/>
          <w:lang w:val="fr-CA"/>
        </w:rPr>
        <w:t xml:space="preserve">« the absence of the </w:t>
      </w:r>
      <w:proofErr w:type="spellStart"/>
      <w:r w:rsidR="009C6218" w:rsidRPr="009C6218">
        <w:rPr>
          <w:rFonts w:eastAsia="Arial" w:cs="Times New Roman"/>
          <w:szCs w:val="22"/>
          <w:lang w:val="fr-CA"/>
        </w:rPr>
        <w:t>rule</w:t>
      </w:r>
      <w:proofErr w:type="spellEnd"/>
      <w:r w:rsidR="009C6218" w:rsidRPr="009C6218">
        <w:rPr>
          <w:rFonts w:eastAsia="Arial" w:cs="Times New Roman"/>
          <w:szCs w:val="22"/>
          <w:lang w:val="fr-CA"/>
        </w:rPr>
        <w:t xml:space="preserve"> of </w:t>
      </w:r>
      <w:proofErr w:type="spellStart"/>
      <w:r w:rsidR="009C6218" w:rsidRPr="009C6218">
        <w:rPr>
          <w:rFonts w:eastAsia="Arial" w:cs="Times New Roman"/>
          <w:szCs w:val="22"/>
          <w:lang w:val="fr-CA"/>
        </w:rPr>
        <w:t>law</w:t>
      </w:r>
      <w:proofErr w:type="spellEnd"/>
      <w:r w:rsidR="009C6218" w:rsidRPr="009C6218">
        <w:rPr>
          <w:rFonts w:eastAsia="Arial" w:cs="Times New Roman"/>
          <w:szCs w:val="22"/>
          <w:lang w:val="fr-CA"/>
        </w:rPr>
        <w:t xml:space="preserve"> in </w:t>
      </w:r>
      <w:proofErr w:type="spellStart"/>
      <w:r w:rsidR="009C6218" w:rsidRPr="009C6218">
        <w:rPr>
          <w:rFonts w:eastAsia="Arial" w:cs="Times New Roman"/>
          <w:szCs w:val="22"/>
          <w:lang w:val="fr-CA"/>
        </w:rPr>
        <w:t>this</w:t>
      </w:r>
      <w:proofErr w:type="spellEnd"/>
      <w:r w:rsidR="009C6218" w:rsidRPr="009C6218">
        <w:rPr>
          <w:rFonts w:eastAsia="Arial" w:cs="Times New Roman"/>
          <w:szCs w:val="22"/>
          <w:lang w:val="fr-CA"/>
        </w:rPr>
        <w:t xml:space="preserve"> court » (« l’absence de respect pour</w:t>
      </w:r>
      <w:r w:rsidRPr="009C6218">
        <w:rPr>
          <w:rFonts w:eastAsia="Arial" w:cs="Times New Roman"/>
          <w:szCs w:val="22"/>
          <w:lang w:val="fr-CA"/>
        </w:rPr>
        <w:t xml:space="preserve"> la règle de droit dans ce tribunal</w:t>
      </w:r>
      <w:r w:rsidR="009C6218" w:rsidRPr="009C6218">
        <w:rPr>
          <w:rFonts w:eastAsia="Arial" w:cs="Times New Roman"/>
          <w:szCs w:val="22"/>
          <w:lang w:val="fr-CA"/>
        </w:rPr>
        <w:t> »</w:t>
      </w:r>
      <w:r w:rsidRPr="009C6218">
        <w:rPr>
          <w:rFonts w:eastAsia="Arial" w:cs="Times New Roman"/>
          <w:szCs w:val="22"/>
          <w:lang w:val="fr-CA"/>
        </w:rPr>
        <w:t>)</w:t>
      </w:r>
      <w:r w:rsidR="009414F5" w:rsidRPr="009C6218">
        <w:rPr>
          <w:rFonts w:eastAsia="Arial" w:cs="Times New Roman"/>
          <w:szCs w:val="22"/>
          <w:lang w:val="fr-CA"/>
        </w:rPr>
        <w:t xml:space="preserve">. </w:t>
      </w:r>
      <w:r w:rsidRPr="009C6218">
        <w:rPr>
          <w:rFonts w:eastAsia="Arial" w:cs="Times New Roman"/>
          <w:szCs w:val="22"/>
          <w:lang w:val="fr-CA"/>
        </w:rPr>
        <w:t xml:space="preserve">Elle a également décrit le tribunal </w:t>
      </w:r>
      <w:r w:rsidR="009C6218" w:rsidRPr="009C6218">
        <w:rPr>
          <w:rFonts w:eastAsia="Arial" w:cs="Times New Roman"/>
          <w:szCs w:val="22"/>
          <w:lang w:val="fr-CA"/>
        </w:rPr>
        <w:t>comme étant</w:t>
      </w:r>
      <w:r w:rsidRPr="009C6218">
        <w:rPr>
          <w:rFonts w:eastAsia="Arial" w:cs="Times New Roman"/>
          <w:szCs w:val="22"/>
          <w:lang w:val="fr-CA"/>
        </w:rPr>
        <w:t xml:space="preserve"> </w:t>
      </w:r>
      <w:r w:rsidR="009C6218" w:rsidRPr="009C6218">
        <w:rPr>
          <w:rFonts w:eastAsia="Arial" w:cs="Times New Roman"/>
          <w:szCs w:val="22"/>
          <w:lang w:val="fr-CA"/>
        </w:rPr>
        <w:t>« </w:t>
      </w:r>
      <w:proofErr w:type="spellStart"/>
      <w:r w:rsidR="009C6218" w:rsidRPr="009C6218">
        <w:rPr>
          <w:rFonts w:eastAsia="Arial" w:cs="Times New Roman"/>
          <w:szCs w:val="22"/>
          <w:lang w:val="fr-CA"/>
        </w:rPr>
        <w:t>dysfunctional</w:t>
      </w:r>
      <w:proofErr w:type="spellEnd"/>
      <w:r w:rsidR="009C6218" w:rsidRPr="009C6218">
        <w:rPr>
          <w:rFonts w:eastAsia="Arial" w:cs="Times New Roman"/>
          <w:szCs w:val="22"/>
          <w:lang w:val="fr-CA"/>
        </w:rPr>
        <w:t xml:space="preserve"> and punitive » (</w:t>
      </w:r>
      <w:r w:rsidRPr="009C6218">
        <w:rPr>
          <w:rFonts w:eastAsia="Arial" w:cs="Times New Roman"/>
          <w:szCs w:val="22"/>
          <w:lang w:val="fr-CA"/>
        </w:rPr>
        <w:t xml:space="preserve">« dysfonctionnel et punitif »), répétant au dernier paragraphe qu’il était </w:t>
      </w:r>
      <w:r w:rsidR="009C6218" w:rsidRPr="009C6218">
        <w:rPr>
          <w:rFonts w:eastAsia="Arial" w:cs="Times New Roman"/>
          <w:szCs w:val="22"/>
          <w:lang w:val="fr-CA"/>
        </w:rPr>
        <w:t>« </w:t>
      </w:r>
      <w:proofErr w:type="spellStart"/>
      <w:r w:rsidR="009C6218" w:rsidRPr="009C6218">
        <w:rPr>
          <w:rFonts w:eastAsia="Arial" w:cs="Times New Roman"/>
          <w:szCs w:val="22"/>
          <w:lang w:val="fr-CA"/>
        </w:rPr>
        <w:t>devoid</w:t>
      </w:r>
      <w:proofErr w:type="spellEnd"/>
      <w:r w:rsidR="009C6218" w:rsidRPr="009C6218">
        <w:rPr>
          <w:rFonts w:eastAsia="Arial" w:cs="Times New Roman"/>
          <w:szCs w:val="22"/>
          <w:lang w:val="fr-CA"/>
        </w:rPr>
        <w:t xml:space="preserve"> of the </w:t>
      </w:r>
      <w:proofErr w:type="spellStart"/>
      <w:r w:rsidR="009C6218" w:rsidRPr="009C6218">
        <w:rPr>
          <w:rFonts w:eastAsia="Arial" w:cs="Times New Roman"/>
          <w:szCs w:val="22"/>
          <w:lang w:val="fr-CA"/>
        </w:rPr>
        <w:t>rule</w:t>
      </w:r>
      <w:proofErr w:type="spellEnd"/>
      <w:r w:rsidR="009C6218" w:rsidRPr="009C6218">
        <w:rPr>
          <w:rFonts w:eastAsia="Arial" w:cs="Times New Roman"/>
          <w:szCs w:val="22"/>
          <w:lang w:val="fr-CA"/>
        </w:rPr>
        <w:t xml:space="preserve"> of </w:t>
      </w:r>
      <w:proofErr w:type="spellStart"/>
      <w:r w:rsidR="009C6218" w:rsidRPr="009C6218">
        <w:rPr>
          <w:rFonts w:eastAsia="Arial" w:cs="Times New Roman"/>
          <w:szCs w:val="22"/>
          <w:lang w:val="fr-CA"/>
        </w:rPr>
        <w:t>law</w:t>
      </w:r>
      <w:proofErr w:type="spellEnd"/>
      <w:r w:rsidR="009C6218" w:rsidRPr="009C6218">
        <w:rPr>
          <w:rFonts w:eastAsia="Arial" w:cs="Times New Roman"/>
          <w:szCs w:val="22"/>
          <w:lang w:val="fr-CA"/>
        </w:rPr>
        <w:t> » (</w:t>
      </w:r>
      <w:r w:rsidRPr="009C6218">
        <w:rPr>
          <w:rFonts w:eastAsia="Arial" w:cs="Times New Roman"/>
          <w:szCs w:val="22"/>
          <w:lang w:val="fr-CA"/>
        </w:rPr>
        <w:t>« </w:t>
      </w:r>
      <w:r w:rsidR="009C6218" w:rsidRPr="009C6218">
        <w:rPr>
          <w:rFonts w:eastAsia="Arial" w:cs="Times New Roman"/>
          <w:szCs w:val="22"/>
          <w:lang w:val="fr-CA"/>
        </w:rPr>
        <w:t>dénué</w:t>
      </w:r>
      <w:r w:rsidRPr="009C6218">
        <w:rPr>
          <w:rFonts w:eastAsia="Arial" w:cs="Times New Roman"/>
          <w:szCs w:val="22"/>
          <w:lang w:val="fr-CA"/>
        </w:rPr>
        <w:t xml:space="preserve"> de </w:t>
      </w:r>
      <w:r w:rsidR="009C6218" w:rsidRPr="009C6218">
        <w:rPr>
          <w:rFonts w:eastAsia="Arial" w:cs="Times New Roman"/>
          <w:szCs w:val="22"/>
          <w:lang w:val="fr-CA"/>
        </w:rPr>
        <w:t>toute règle de droit »</w:t>
      </w:r>
      <w:r w:rsidRPr="009C6218">
        <w:rPr>
          <w:rFonts w:eastAsia="Arial" w:cs="Times New Roman"/>
          <w:szCs w:val="22"/>
          <w:lang w:val="fr-CA"/>
        </w:rPr>
        <w:t>)</w:t>
      </w:r>
      <w:r w:rsidR="00985440" w:rsidRPr="009C6218">
        <w:rPr>
          <w:rFonts w:eastAsia="Arial" w:cs="Times New Roman"/>
          <w:szCs w:val="22"/>
          <w:lang w:val="fr-CA"/>
        </w:rPr>
        <w:t>.</w:t>
      </w:r>
    </w:p>
    <w:p w14:paraId="5543ECF4" w14:textId="68F85214" w:rsidR="00564305" w:rsidRPr="009C6218" w:rsidRDefault="00672498" w:rsidP="00595495">
      <w:pPr>
        <w:numPr>
          <w:ilvl w:val="0"/>
          <w:numId w:val="1"/>
        </w:numPr>
        <w:spacing w:after="200" w:line="276" w:lineRule="auto"/>
        <w:ind w:left="567" w:hanging="567"/>
        <w:rPr>
          <w:rFonts w:eastAsia="Arial" w:cs="Times New Roman"/>
          <w:szCs w:val="22"/>
          <w:lang w:val="fr-CA"/>
        </w:rPr>
      </w:pPr>
      <w:r w:rsidRPr="009C6218">
        <w:rPr>
          <w:rFonts w:eastAsia="Arial" w:cs="Times New Roman"/>
          <w:szCs w:val="22"/>
          <w:lang w:val="fr-CA"/>
        </w:rPr>
        <w:t xml:space="preserve">En particulier, la juge de paix a caractérisé le comportement des procureurs de la Couronne qui comparaissent devant elle comme empreint de </w:t>
      </w:r>
      <w:r w:rsidR="009C6218" w:rsidRPr="009C6218">
        <w:rPr>
          <w:rFonts w:eastAsia="Arial" w:cs="Times New Roman"/>
          <w:szCs w:val="22"/>
          <w:lang w:val="fr-CA"/>
        </w:rPr>
        <w:t>« </w:t>
      </w:r>
      <w:proofErr w:type="spellStart"/>
      <w:r w:rsidR="009C6218" w:rsidRPr="009C6218">
        <w:rPr>
          <w:rFonts w:eastAsia="Arial" w:cs="Times New Roman"/>
          <w:szCs w:val="22"/>
          <w:lang w:val="fr-CA"/>
        </w:rPr>
        <w:t>cynicism</w:t>
      </w:r>
      <w:proofErr w:type="spellEnd"/>
      <w:r w:rsidR="009C6218" w:rsidRPr="009C6218">
        <w:rPr>
          <w:rFonts w:eastAsia="Arial" w:cs="Times New Roman"/>
          <w:szCs w:val="22"/>
          <w:lang w:val="fr-CA"/>
        </w:rPr>
        <w:t xml:space="preserve"> and </w:t>
      </w:r>
      <w:proofErr w:type="spellStart"/>
      <w:r w:rsidR="009C6218" w:rsidRPr="009C6218">
        <w:rPr>
          <w:rFonts w:eastAsia="Arial" w:cs="Times New Roman"/>
          <w:szCs w:val="22"/>
          <w:lang w:val="fr-CA"/>
        </w:rPr>
        <w:t>bullying</w:t>
      </w:r>
      <w:proofErr w:type="spellEnd"/>
      <w:r w:rsidR="009C6218" w:rsidRPr="009C6218">
        <w:rPr>
          <w:rFonts w:eastAsia="Arial" w:cs="Times New Roman"/>
          <w:szCs w:val="22"/>
          <w:lang w:val="fr-CA"/>
        </w:rPr>
        <w:t> » (</w:t>
      </w:r>
      <w:r w:rsidRPr="009C6218">
        <w:rPr>
          <w:rFonts w:eastAsia="Arial" w:cs="Times New Roman"/>
          <w:szCs w:val="22"/>
          <w:lang w:val="fr-CA"/>
        </w:rPr>
        <w:t>« cynisme et d’intimidation »)</w:t>
      </w:r>
      <w:r w:rsidR="00733D7A" w:rsidRPr="009C6218">
        <w:rPr>
          <w:rFonts w:eastAsia="Arial" w:cs="Times New Roman"/>
          <w:szCs w:val="22"/>
          <w:lang w:val="fr-CA"/>
        </w:rPr>
        <w:t>.</w:t>
      </w:r>
      <w:r w:rsidRPr="009C6218">
        <w:rPr>
          <w:rFonts w:eastAsia="Arial" w:cs="Times New Roman"/>
          <w:szCs w:val="22"/>
          <w:lang w:val="fr-CA"/>
        </w:rPr>
        <w:t xml:space="preserve"> Elle a décrit trois incidents où elle estime que des procureurs de la Couronne se sont conduits d’une manière non professionnelle. Dans l’un de ces incidents, la juge de paix explique qu’après avoir </w:t>
      </w:r>
      <w:r w:rsidR="009C6218" w:rsidRPr="009C6218">
        <w:rPr>
          <w:rFonts w:eastAsia="Arial" w:cs="Times New Roman"/>
          <w:szCs w:val="22"/>
          <w:lang w:val="fr-CA"/>
        </w:rPr>
        <w:t>remis en question certaines condit</w:t>
      </w:r>
      <w:r w:rsidRPr="009C6218">
        <w:rPr>
          <w:rFonts w:eastAsia="Arial" w:cs="Times New Roman"/>
          <w:szCs w:val="22"/>
          <w:lang w:val="fr-CA"/>
        </w:rPr>
        <w:t xml:space="preserve">ions de la mise en liberté proposées, le procureur </w:t>
      </w:r>
      <w:r w:rsidR="009C6218" w:rsidRPr="009C6218">
        <w:rPr>
          <w:rFonts w:eastAsia="Arial" w:cs="Times New Roman"/>
          <w:szCs w:val="22"/>
          <w:lang w:val="fr-CA"/>
        </w:rPr>
        <w:t>a</w:t>
      </w:r>
      <w:r w:rsidRPr="009C6218">
        <w:rPr>
          <w:rFonts w:eastAsia="Arial" w:cs="Times New Roman"/>
          <w:szCs w:val="22"/>
          <w:lang w:val="fr-CA"/>
        </w:rPr>
        <w:t xml:space="preserve"> « </w:t>
      </w:r>
      <w:r w:rsidR="009C6218" w:rsidRPr="009C6218">
        <w:rPr>
          <w:rFonts w:eastAsia="Arial" w:cs="Times New Roman"/>
          <w:szCs w:val="22"/>
          <w:lang w:val="fr-CA"/>
        </w:rPr>
        <w:t>piqué une crise</w:t>
      </w:r>
      <w:r w:rsidRPr="009C6218">
        <w:rPr>
          <w:rFonts w:eastAsia="Arial" w:cs="Times New Roman"/>
          <w:szCs w:val="22"/>
          <w:lang w:val="fr-CA"/>
        </w:rPr>
        <w:t> »</w:t>
      </w:r>
      <w:r w:rsidR="009C6218" w:rsidRPr="009C6218">
        <w:rPr>
          <w:rFonts w:eastAsia="Arial" w:cs="Times New Roman"/>
          <w:szCs w:val="22"/>
          <w:lang w:val="fr-CA"/>
        </w:rPr>
        <w:t xml:space="preserve"> </w:t>
      </w:r>
      <w:r w:rsidR="009C6218">
        <w:rPr>
          <w:rFonts w:eastAsia="Arial" w:cs="Times New Roman"/>
          <w:szCs w:val="22"/>
          <w:lang w:val="fr-CA"/>
        </w:rPr>
        <w:t>(« </w:t>
      </w:r>
      <w:proofErr w:type="spellStart"/>
      <w:r w:rsidR="009C6218" w:rsidRPr="009C6218">
        <w:rPr>
          <w:rFonts w:eastAsia="Arial" w:cs="Times New Roman"/>
          <w:szCs w:val="22"/>
          <w:lang w:val="fr-CA"/>
        </w:rPr>
        <w:t>temper</w:t>
      </w:r>
      <w:proofErr w:type="spellEnd"/>
      <w:r w:rsidR="009C6218" w:rsidRPr="009C6218">
        <w:rPr>
          <w:rFonts w:eastAsia="Arial" w:cs="Times New Roman"/>
          <w:szCs w:val="22"/>
          <w:lang w:val="fr-CA"/>
        </w:rPr>
        <w:t xml:space="preserve"> </w:t>
      </w:r>
      <w:proofErr w:type="spellStart"/>
      <w:r w:rsidR="009C6218" w:rsidRPr="009C6218">
        <w:rPr>
          <w:rFonts w:eastAsia="Arial" w:cs="Times New Roman"/>
          <w:szCs w:val="22"/>
          <w:lang w:val="fr-CA"/>
        </w:rPr>
        <w:t>tantrum</w:t>
      </w:r>
      <w:proofErr w:type="spellEnd"/>
      <w:r w:rsidR="009C6218">
        <w:rPr>
          <w:rFonts w:eastAsia="Arial" w:cs="Times New Roman"/>
          <w:szCs w:val="22"/>
          <w:lang w:val="fr-CA"/>
        </w:rPr>
        <w:t> »)</w:t>
      </w:r>
      <w:r w:rsidRPr="009C6218">
        <w:rPr>
          <w:rFonts w:eastAsia="Arial" w:cs="Times New Roman"/>
          <w:szCs w:val="22"/>
          <w:lang w:val="fr-CA"/>
        </w:rPr>
        <w:t xml:space="preserve">. Elle </w:t>
      </w:r>
      <w:r w:rsidR="009C6218" w:rsidRPr="009C6218">
        <w:rPr>
          <w:rFonts w:eastAsia="Arial" w:cs="Times New Roman"/>
          <w:szCs w:val="22"/>
          <w:lang w:val="fr-CA"/>
        </w:rPr>
        <w:t xml:space="preserve">a aussi écrit que </w:t>
      </w:r>
      <w:r w:rsidRPr="009C6218">
        <w:rPr>
          <w:rFonts w:eastAsia="Arial" w:cs="Times New Roman"/>
          <w:szCs w:val="22"/>
          <w:lang w:val="fr-CA"/>
        </w:rPr>
        <w:t>des procureurs « </w:t>
      </w:r>
      <w:r w:rsidR="0007720F" w:rsidRPr="00797F52">
        <w:rPr>
          <w:rFonts w:eastAsia="Arial" w:cs="Times New Roman"/>
          <w:szCs w:val="22"/>
          <w:lang w:val="en-US"/>
        </w:rPr>
        <w:t>attempt to wrestle jurisdiction from the court through a variety of unacceptable tactics</w:t>
      </w:r>
      <w:r w:rsidR="0007720F">
        <w:rPr>
          <w:rFonts w:eastAsia="Arial" w:cs="Times New Roman"/>
          <w:szCs w:val="22"/>
        </w:rPr>
        <w:t xml:space="preserve"> </w:t>
      </w:r>
      <w:r w:rsidR="0007720F" w:rsidRPr="009C6218">
        <w:rPr>
          <w:rFonts w:eastAsia="Arial" w:cs="Times New Roman"/>
          <w:szCs w:val="22"/>
          <w:lang w:val="fr-CA"/>
        </w:rPr>
        <w:t xml:space="preserve">» </w:t>
      </w:r>
      <w:r w:rsidR="0007720F">
        <w:rPr>
          <w:rFonts w:eastAsia="Arial" w:cs="Times New Roman"/>
          <w:szCs w:val="22"/>
          <w:lang w:val="fr-CA"/>
        </w:rPr>
        <w:t>(« </w:t>
      </w:r>
      <w:r w:rsidRPr="009C6218">
        <w:rPr>
          <w:rFonts w:eastAsia="Arial" w:cs="Times New Roman"/>
          <w:szCs w:val="22"/>
          <w:lang w:val="fr-CA"/>
        </w:rPr>
        <w:t>tentent de s’approprier la compétence du tribunal par diverses tactiques inacceptables »</w:t>
      </w:r>
      <w:r w:rsidR="0007720F">
        <w:rPr>
          <w:rFonts w:eastAsia="Arial" w:cs="Times New Roman"/>
          <w:szCs w:val="22"/>
          <w:lang w:val="fr-CA"/>
        </w:rPr>
        <w:t>),</w:t>
      </w:r>
      <w:r w:rsidR="0007720F" w:rsidRPr="00797F52">
        <w:rPr>
          <w:rFonts w:eastAsia="Arial" w:cs="Times New Roman"/>
          <w:szCs w:val="22"/>
          <w:lang w:val="en-US"/>
        </w:rPr>
        <w:t xml:space="preserve"> </w:t>
      </w:r>
      <w:r w:rsidRPr="009C6218">
        <w:rPr>
          <w:rFonts w:eastAsia="Arial" w:cs="Times New Roman"/>
          <w:szCs w:val="22"/>
          <w:lang w:val="fr-CA"/>
        </w:rPr>
        <w:t xml:space="preserve">au lieu d’interjeter appel des décisions </w:t>
      </w:r>
      <w:r w:rsidR="000E3ACC" w:rsidRPr="009C6218">
        <w:rPr>
          <w:rFonts w:eastAsia="Arial" w:cs="Times New Roman"/>
          <w:szCs w:val="22"/>
          <w:lang w:val="fr-CA"/>
        </w:rPr>
        <w:t>avec lesquelles ils ne sont pas d’accord</w:t>
      </w:r>
      <w:r w:rsidR="00F851D2" w:rsidRPr="009C6218">
        <w:rPr>
          <w:rFonts w:eastAsia="Arial" w:cs="Times New Roman"/>
          <w:szCs w:val="22"/>
          <w:lang w:val="fr-CA"/>
        </w:rPr>
        <w:t>.</w:t>
      </w:r>
    </w:p>
    <w:p w14:paraId="5651A5DD" w14:textId="597DC861" w:rsidR="004B0FDA" w:rsidRPr="009C6218" w:rsidRDefault="000E3ACC" w:rsidP="00595495">
      <w:pPr>
        <w:numPr>
          <w:ilvl w:val="0"/>
          <w:numId w:val="1"/>
        </w:numPr>
        <w:spacing w:after="200" w:line="276" w:lineRule="auto"/>
        <w:ind w:left="567" w:hanging="567"/>
        <w:rPr>
          <w:rFonts w:eastAsia="Arial" w:cs="Times New Roman"/>
          <w:szCs w:val="22"/>
          <w:lang w:val="fr-CA"/>
        </w:rPr>
      </w:pPr>
      <w:r w:rsidRPr="009C6218">
        <w:rPr>
          <w:rFonts w:eastAsia="Arial" w:cs="Times New Roman"/>
          <w:szCs w:val="22"/>
          <w:lang w:val="fr-CA"/>
        </w:rPr>
        <w:t xml:space="preserve">L’article du </w:t>
      </w:r>
      <w:r w:rsidR="002B2D73" w:rsidRPr="009C6218">
        <w:rPr>
          <w:rFonts w:eastAsia="Arial" w:cs="Times New Roman"/>
          <w:i/>
          <w:szCs w:val="22"/>
          <w:lang w:val="fr-CA"/>
        </w:rPr>
        <w:t>National Post</w:t>
      </w:r>
      <w:r w:rsidR="002B2D73" w:rsidRPr="009C6218">
        <w:rPr>
          <w:rFonts w:eastAsia="Arial" w:cs="Times New Roman"/>
          <w:szCs w:val="22"/>
          <w:lang w:val="fr-CA"/>
        </w:rPr>
        <w:t xml:space="preserve"> </w:t>
      </w:r>
      <w:r w:rsidRPr="009C6218">
        <w:rPr>
          <w:rFonts w:eastAsia="Arial" w:cs="Times New Roman"/>
          <w:szCs w:val="22"/>
          <w:lang w:val="fr-CA"/>
        </w:rPr>
        <w:t>fait l’objet de la première des deux allégations d’inconduite judiciaire portées devant le comité d’audition</w:t>
      </w:r>
      <w:r w:rsidR="004C629F" w:rsidRPr="009C6218">
        <w:rPr>
          <w:rStyle w:val="FootnoteReference"/>
          <w:rFonts w:eastAsia="Arial" w:cs="Times New Roman"/>
          <w:szCs w:val="22"/>
          <w:lang w:val="fr-CA"/>
        </w:rPr>
        <w:footnoteReference w:id="1"/>
      </w:r>
      <w:r w:rsidRPr="009C6218">
        <w:rPr>
          <w:rFonts w:eastAsia="Arial" w:cs="Times New Roman"/>
          <w:szCs w:val="22"/>
          <w:lang w:val="fr-CA"/>
        </w:rPr>
        <w:t>.</w:t>
      </w:r>
    </w:p>
    <w:p w14:paraId="43DE1276" w14:textId="5F2E9EAB" w:rsidR="00552CD8" w:rsidRPr="009C6218" w:rsidRDefault="000E3ACC" w:rsidP="00595495">
      <w:pPr>
        <w:numPr>
          <w:ilvl w:val="0"/>
          <w:numId w:val="1"/>
        </w:numPr>
        <w:spacing w:after="200" w:line="276" w:lineRule="auto"/>
        <w:ind w:left="567" w:hanging="567"/>
        <w:rPr>
          <w:rFonts w:eastAsia="Arial" w:cs="Times New Roman"/>
          <w:szCs w:val="22"/>
          <w:lang w:val="fr-CA"/>
        </w:rPr>
      </w:pPr>
      <w:r w:rsidRPr="009C6218">
        <w:rPr>
          <w:rFonts w:eastAsia="Arial" w:cs="Times New Roman"/>
          <w:szCs w:val="22"/>
          <w:lang w:val="fr-CA"/>
        </w:rPr>
        <w:t xml:space="preserve">La deuxième allégation concerne un commentaire que la juge de paix a fait au tribunal, au cours d’une audience de mise en liberté sous caution, le 26 février </w:t>
      </w:r>
      <w:r w:rsidR="00B12047" w:rsidRPr="009C6218">
        <w:rPr>
          <w:rFonts w:eastAsia="Arial" w:cs="Times New Roman"/>
          <w:szCs w:val="22"/>
          <w:lang w:val="fr-CA"/>
        </w:rPr>
        <w:t xml:space="preserve">2015. </w:t>
      </w:r>
      <w:r w:rsidRPr="009C6218">
        <w:rPr>
          <w:rFonts w:eastAsia="Arial" w:cs="Times New Roman"/>
          <w:szCs w:val="22"/>
          <w:lang w:val="fr-CA"/>
        </w:rPr>
        <w:t xml:space="preserve">À cette audience, le procureur adjoint de la Couronne a porté à l’attention de la juge de paix une décision de la juge </w:t>
      </w:r>
      <w:r w:rsidR="005114F8" w:rsidRPr="009C6218">
        <w:rPr>
          <w:rFonts w:eastAsia="Arial" w:cs="Times New Roman"/>
          <w:szCs w:val="22"/>
          <w:lang w:val="fr-CA"/>
        </w:rPr>
        <w:t xml:space="preserve">Ratushny </w:t>
      </w:r>
      <w:r w:rsidRPr="009C6218">
        <w:rPr>
          <w:rFonts w:eastAsia="Arial" w:cs="Times New Roman"/>
          <w:szCs w:val="22"/>
          <w:lang w:val="fr-CA"/>
        </w:rPr>
        <w:t xml:space="preserve">de la Cour supérieure de justice dans le </w:t>
      </w:r>
      <w:r w:rsidRPr="009C6218">
        <w:rPr>
          <w:rFonts w:eastAsia="Arial" w:cs="Times New Roman"/>
          <w:szCs w:val="22"/>
          <w:lang w:val="fr-CA"/>
        </w:rPr>
        <w:lastRenderedPageBreak/>
        <w:t xml:space="preserve">cadre </w:t>
      </w:r>
      <w:r w:rsidR="0007720F">
        <w:rPr>
          <w:rFonts w:eastAsia="Arial" w:cs="Times New Roman"/>
          <w:szCs w:val="22"/>
          <w:lang w:val="fr-CA"/>
        </w:rPr>
        <w:t>d’une</w:t>
      </w:r>
      <w:r w:rsidRPr="009C6218">
        <w:rPr>
          <w:rFonts w:eastAsia="Arial" w:cs="Times New Roman"/>
          <w:szCs w:val="22"/>
          <w:lang w:val="fr-CA"/>
        </w:rPr>
        <w:t xml:space="preserve"> révision </w:t>
      </w:r>
      <w:r w:rsidR="0007720F">
        <w:rPr>
          <w:rFonts w:eastAsia="Arial" w:cs="Times New Roman"/>
          <w:szCs w:val="22"/>
          <w:lang w:val="fr-CA"/>
        </w:rPr>
        <w:t>de la</w:t>
      </w:r>
      <w:r w:rsidRPr="009C6218">
        <w:rPr>
          <w:rFonts w:eastAsia="Arial" w:cs="Times New Roman"/>
          <w:szCs w:val="22"/>
          <w:lang w:val="fr-CA"/>
        </w:rPr>
        <w:t xml:space="preserve"> mise en liberté sous caution</w:t>
      </w:r>
      <w:r w:rsidR="00105EBF" w:rsidRPr="009C6218">
        <w:rPr>
          <w:rFonts w:eastAsia="Arial" w:cs="Times New Roman"/>
          <w:szCs w:val="22"/>
          <w:lang w:val="fr-CA"/>
        </w:rPr>
        <w:t xml:space="preserve">. </w:t>
      </w:r>
      <w:r w:rsidRPr="009C6218">
        <w:rPr>
          <w:rFonts w:eastAsia="Arial" w:cs="Times New Roman"/>
          <w:szCs w:val="22"/>
          <w:lang w:val="fr-CA"/>
        </w:rPr>
        <w:t>La juge</w:t>
      </w:r>
      <w:r w:rsidR="005114F8" w:rsidRPr="009C6218">
        <w:rPr>
          <w:rFonts w:eastAsia="Arial" w:cs="Times New Roman"/>
          <w:szCs w:val="22"/>
          <w:lang w:val="fr-CA"/>
        </w:rPr>
        <w:t xml:space="preserve"> Ratushny</w:t>
      </w:r>
      <w:r w:rsidR="000E2349" w:rsidRPr="009C6218">
        <w:rPr>
          <w:rFonts w:eastAsia="Arial" w:cs="Times New Roman"/>
          <w:szCs w:val="22"/>
          <w:lang w:val="fr-CA"/>
        </w:rPr>
        <w:t xml:space="preserve"> </w:t>
      </w:r>
      <w:r w:rsidRPr="009C6218">
        <w:rPr>
          <w:rFonts w:eastAsia="Arial" w:cs="Times New Roman"/>
          <w:szCs w:val="22"/>
          <w:lang w:val="fr-CA"/>
        </w:rPr>
        <w:t xml:space="preserve">avait procédé à une révision de la mise en liberté sous caution et infirmé l’ordonnance de mise en liberté rendue par la juge de paix </w:t>
      </w:r>
      <w:r w:rsidR="00105EBF" w:rsidRPr="009C6218">
        <w:rPr>
          <w:rFonts w:eastAsia="Arial" w:cs="Times New Roman"/>
          <w:szCs w:val="22"/>
          <w:lang w:val="fr-CA"/>
        </w:rPr>
        <w:t>Lauzon</w:t>
      </w:r>
      <w:r w:rsidRPr="009C6218">
        <w:rPr>
          <w:rFonts w:eastAsia="Arial" w:cs="Times New Roman"/>
          <w:szCs w:val="22"/>
          <w:lang w:val="fr-CA"/>
        </w:rPr>
        <w:t xml:space="preserve">, le 30 décembre </w:t>
      </w:r>
      <w:r w:rsidR="00A31AA6" w:rsidRPr="009C6218">
        <w:rPr>
          <w:rFonts w:eastAsia="Arial" w:cs="Times New Roman"/>
          <w:szCs w:val="22"/>
          <w:lang w:val="fr-CA"/>
        </w:rPr>
        <w:t>2014</w:t>
      </w:r>
      <w:r w:rsidR="00552CD8" w:rsidRPr="009C6218">
        <w:rPr>
          <w:rFonts w:eastAsia="Arial" w:cs="Times New Roman"/>
          <w:szCs w:val="22"/>
          <w:lang w:val="fr-CA"/>
        </w:rPr>
        <w:t>.</w:t>
      </w:r>
      <w:r w:rsidR="00105EBF" w:rsidRPr="009C6218">
        <w:rPr>
          <w:rFonts w:eastAsia="Arial" w:cs="Times New Roman"/>
          <w:szCs w:val="22"/>
          <w:lang w:val="fr-CA"/>
        </w:rPr>
        <w:t xml:space="preserve"> </w:t>
      </w:r>
      <w:r w:rsidRPr="009C6218">
        <w:rPr>
          <w:rFonts w:eastAsia="Arial" w:cs="Times New Roman"/>
          <w:szCs w:val="22"/>
          <w:lang w:val="fr-CA"/>
        </w:rPr>
        <w:t xml:space="preserve">Le procureur adjoint de la Couronne </w:t>
      </w:r>
      <w:r w:rsidR="0007720F">
        <w:rPr>
          <w:rFonts w:eastAsia="Arial" w:cs="Times New Roman"/>
          <w:szCs w:val="22"/>
          <w:lang w:val="fr-CA"/>
        </w:rPr>
        <w:t>a invoqué</w:t>
      </w:r>
      <w:r w:rsidRPr="009C6218">
        <w:rPr>
          <w:rFonts w:eastAsia="Arial" w:cs="Times New Roman"/>
          <w:szCs w:val="22"/>
          <w:lang w:val="fr-CA"/>
        </w:rPr>
        <w:t xml:space="preserve"> la décision de la juge </w:t>
      </w:r>
      <w:r w:rsidR="009F62ED" w:rsidRPr="009C6218">
        <w:rPr>
          <w:rFonts w:eastAsia="Arial" w:cs="Times New Roman"/>
          <w:szCs w:val="22"/>
          <w:lang w:val="fr-CA"/>
        </w:rPr>
        <w:t>Ratushny</w:t>
      </w:r>
      <w:r w:rsidRPr="009C6218">
        <w:rPr>
          <w:rFonts w:eastAsia="Arial" w:cs="Times New Roman"/>
          <w:szCs w:val="22"/>
          <w:lang w:val="fr-CA"/>
        </w:rPr>
        <w:t xml:space="preserve">, plaidant qu’elle s’appliquait à l’affaire devant la juge de paix. Cette dernière ne connaissait pas la décision de la juge </w:t>
      </w:r>
      <w:r w:rsidR="00F851D2" w:rsidRPr="009C6218">
        <w:rPr>
          <w:rFonts w:eastAsia="Arial" w:cs="Times New Roman"/>
          <w:szCs w:val="22"/>
          <w:lang w:val="fr-CA"/>
        </w:rPr>
        <w:t>Ratushny</w:t>
      </w:r>
      <w:r w:rsidRPr="009C6218">
        <w:rPr>
          <w:rFonts w:eastAsia="Arial" w:cs="Times New Roman"/>
          <w:szCs w:val="22"/>
          <w:lang w:val="fr-CA"/>
        </w:rPr>
        <w:t xml:space="preserve"> avant l’audience de mise en liberté sous caution</w:t>
      </w:r>
      <w:r w:rsidR="00C55EFB" w:rsidRPr="009C6218">
        <w:rPr>
          <w:rFonts w:eastAsia="Arial" w:cs="Times New Roman"/>
          <w:szCs w:val="22"/>
          <w:lang w:val="fr-CA"/>
        </w:rPr>
        <w:t>.</w:t>
      </w:r>
    </w:p>
    <w:p w14:paraId="6C32FF01" w14:textId="5CC4FCE1" w:rsidR="00F854B1" w:rsidRPr="009C6218" w:rsidRDefault="00B92D08" w:rsidP="00E04AE2">
      <w:pPr>
        <w:numPr>
          <w:ilvl w:val="0"/>
          <w:numId w:val="1"/>
        </w:numPr>
        <w:spacing w:after="200" w:line="276" w:lineRule="auto"/>
        <w:ind w:left="567" w:hanging="567"/>
        <w:rPr>
          <w:rFonts w:eastAsia="Arial" w:cs="Times New Roman"/>
          <w:szCs w:val="22"/>
          <w:lang w:val="fr-CA"/>
        </w:rPr>
      </w:pPr>
      <w:r w:rsidRPr="009C6218">
        <w:rPr>
          <w:rFonts w:eastAsia="Arial" w:cs="Times New Roman"/>
          <w:szCs w:val="22"/>
          <w:lang w:val="fr-CA"/>
        </w:rPr>
        <w:t xml:space="preserve">La juge de paix a passé en revue la décision de la juge </w:t>
      </w:r>
      <w:r w:rsidR="00F851D2" w:rsidRPr="009C6218">
        <w:rPr>
          <w:rFonts w:eastAsia="Arial" w:cs="Times New Roman"/>
          <w:szCs w:val="22"/>
          <w:lang w:val="fr-CA"/>
        </w:rPr>
        <w:t>Ratushny</w:t>
      </w:r>
      <w:r w:rsidR="007773A2" w:rsidRPr="009C6218">
        <w:rPr>
          <w:rFonts w:eastAsia="Arial" w:cs="Times New Roman"/>
          <w:szCs w:val="22"/>
          <w:lang w:val="fr-CA"/>
        </w:rPr>
        <w:t xml:space="preserve">. </w:t>
      </w:r>
      <w:r w:rsidR="0007720F">
        <w:rPr>
          <w:rFonts w:eastAsia="Arial" w:cs="Times New Roman"/>
          <w:szCs w:val="22"/>
          <w:lang w:val="fr-CA"/>
        </w:rPr>
        <w:t>Elle a ensui</w:t>
      </w:r>
      <w:r w:rsidRPr="009C6218">
        <w:rPr>
          <w:rFonts w:eastAsia="Arial" w:cs="Times New Roman"/>
          <w:szCs w:val="22"/>
          <w:lang w:val="fr-CA"/>
        </w:rPr>
        <w:t xml:space="preserve">te renvoyé à un passage précis de la décision en disant </w:t>
      </w:r>
      <w:r w:rsidR="000E4E90" w:rsidRPr="009C6218">
        <w:rPr>
          <w:rFonts w:eastAsia="Arial" w:cs="Times New Roman"/>
          <w:szCs w:val="22"/>
          <w:lang w:val="fr-CA"/>
        </w:rPr>
        <w:t>:</w:t>
      </w:r>
      <w:r w:rsidR="00D9361B" w:rsidRPr="009C6218">
        <w:rPr>
          <w:rFonts w:eastAsia="Arial" w:cs="Times New Roman"/>
          <w:szCs w:val="22"/>
          <w:lang w:val="fr-CA"/>
        </w:rPr>
        <w:t xml:space="preserve"> </w:t>
      </w:r>
      <w:r w:rsidRPr="009C6218">
        <w:rPr>
          <w:rFonts w:eastAsia="Arial" w:cs="Times New Roman"/>
          <w:szCs w:val="22"/>
          <w:lang w:val="fr-CA"/>
        </w:rPr>
        <w:t>« </w:t>
      </w:r>
      <w:r w:rsidR="0007720F" w:rsidRPr="0007720F">
        <w:rPr>
          <w:rFonts w:eastAsia="Arial" w:cs="Times New Roman"/>
          <w:szCs w:val="22"/>
          <w:u w:val="single"/>
          <w:lang w:val="fr-CA"/>
        </w:rPr>
        <w:t xml:space="preserve">Eh bien, </w:t>
      </w:r>
      <w:r w:rsidR="0007720F">
        <w:rPr>
          <w:rFonts w:eastAsia="Arial" w:cs="Times New Roman"/>
          <w:szCs w:val="22"/>
          <w:u w:val="single"/>
          <w:lang w:val="fr-CA"/>
        </w:rPr>
        <w:t>i</w:t>
      </w:r>
      <w:r w:rsidRPr="009C6218">
        <w:rPr>
          <w:rFonts w:eastAsia="Arial" w:cs="Times New Roman"/>
          <w:szCs w:val="22"/>
          <w:u w:val="single"/>
          <w:lang w:val="fr-CA"/>
        </w:rPr>
        <w:t xml:space="preserve">l semble qu’il s’agisse d’une déclaration faite après la déclaration de culpabilité. Il n’y a aucune mention ou </w:t>
      </w:r>
      <w:r w:rsidR="003B12D2" w:rsidRPr="009C6218">
        <w:rPr>
          <w:rFonts w:eastAsia="Arial" w:cs="Times New Roman"/>
          <w:szCs w:val="22"/>
          <w:u w:val="single"/>
          <w:lang w:val="fr-CA"/>
        </w:rPr>
        <w:t xml:space="preserve">illusion </w:t>
      </w:r>
      <w:r w:rsidR="00723EAA" w:rsidRPr="009C6218">
        <w:rPr>
          <w:rFonts w:eastAsia="Arial" w:cs="Times New Roman"/>
          <w:szCs w:val="22"/>
          <w:u w:val="single"/>
          <w:lang w:val="fr-CA"/>
        </w:rPr>
        <w:t>[</w:t>
      </w:r>
      <w:r w:rsidR="003B12D2" w:rsidRPr="009C6218">
        <w:rPr>
          <w:rFonts w:eastAsia="Arial" w:cs="Times New Roman"/>
          <w:szCs w:val="22"/>
          <w:u w:val="single"/>
          <w:lang w:val="fr-CA"/>
        </w:rPr>
        <w:t>sic</w:t>
      </w:r>
      <w:r w:rsidR="00723EAA" w:rsidRPr="009C6218">
        <w:rPr>
          <w:rFonts w:eastAsia="Arial" w:cs="Times New Roman"/>
          <w:szCs w:val="22"/>
          <w:u w:val="single"/>
          <w:lang w:val="fr-CA"/>
        </w:rPr>
        <w:t>]</w:t>
      </w:r>
      <w:r w:rsidR="003B12D2" w:rsidRPr="009C6218">
        <w:rPr>
          <w:rFonts w:eastAsia="Arial" w:cs="Times New Roman"/>
          <w:szCs w:val="22"/>
          <w:u w:val="single"/>
          <w:lang w:val="fr-CA"/>
        </w:rPr>
        <w:t xml:space="preserve"> </w:t>
      </w:r>
      <w:r w:rsidRPr="009C6218">
        <w:rPr>
          <w:rFonts w:eastAsia="Arial" w:cs="Times New Roman"/>
          <w:szCs w:val="22"/>
          <w:u w:val="single"/>
          <w:lang w:val="fr-CA"/>
        </w:rPr>
        <w:t xml:space="preserve">de la présomption d’innocence </w:t>
      </w:r>
      <w:r w:rsidRPr="009C6218">
        <w:rPr>
          <w:rFonts w:eastAsia="Arial" w:cs="Times New Roman"/>
          <w:szCs w:val="22"/>
          <w:lang w:val="fr-CA"/>
        </w:rPr>
        <w:t xml:space="preserve">et pourtant la Charte est limpide, les gens sont présumés innocents </w:t>
      </w:r>
      <w:r w:rsidR="001119AA" w:rsidRPr="009C6218">
        <w:rPr>
          <w:rFonts w:eastAsia="Arial" w:cs="Times New Roman"/>
          <w:szCs w:val="22"/>
          <w:lang w:val="fr-CA"/>
        </w:rPr>
        <w:t>jusqu'à ce qu'ils soient reconnus coupables par un tribunal judiciaire</w:t>
      </w:r>
      <w:r w:rsidR="009C58DB" w:rsidRPr="009C6218">
        <w:rPr>
          <w:rFonts w:eastAsia="Arial" w:cs="Times New Roman"/>
          <w:szCs w:val="22"/>
          <w:lang w:val="fr-CA"/>
        </w:rPr>
        <w:t xml:space="preserve">. </w:t>
      </w:r>
      <w:r w:rsidR="00E833F8" w:rsidRPr="009C6218">
        <w:rPr>
          <w:rFonts w:eastAsia="Arial" w:cs="Times New Roman"/>
          <w:szCs w:val="22"/>
          <w:u w:val="single"/>
          <w:lang w:val="fr-CA"/>
        </w:rPr>
        <w:t>C’est la règle que je dois suivre</w:t>
      </w:r>
      <w:r w:rsidR="009C58DB" w:rsidRPr="009C6218">
        <w:rPr>
          <w:rFonts w:eastAsia="Arial" w:cs="Times New Roman"/>
          <w:szCs w:val="22"/>
          <w:lang w:val="fr-CA"/>
        </w:rPr>
        <w:t>.</w:t>
      </w:r>
      <w:r w:rsidR="00E833F8" w:rsidRPr="009C6218">
        <w:rPr>
          <w:rFonts w:eastAsia="Arial" w:cs="Times New Roman"/>
          <w:szCs w:val="22"/>
          <w:lang w:val="fr-CA"/>
        </w:rPr>
        <w:t> »</w:t>
      </w:r>
      <w:r w:rsidR="009C58DB" w:rsidRPr="009C6218">
        <w:rPr>
          <w:rFonts w:eastAsia="Arial" w:cs="Times New Roman"/>
          <w:szCs w:val="22"/>
          <w:lang w:val="fr-CA"/>
        </w:rPr>
        <w:t xml:space="preserve"> </w:t>
      </w:r>
      <w:r w:rsidR="00E833F8" w:rsidRPr="009C6218">
        <w:rPr>
          <w:rFonts w:eastAsia="Arial"/>
          <w:szCs w:val="22"/>
          <w:lang w:val="fr-CA"/>
        </w:rPr>
        <w:t xml:space="preserve">[TRADUCTION] </w:t>
      </w:r>
      <w:r w:rsidR="009C58DB" w:rsidRPr="009C6218">
        <w:rPr>
          <w:rFonts w:eastAsia="Arial" w:cs="Times New Roman"/>
          <w:szCs w:val="22"/>
          <w:lang w:val="fr-CA"/>
        </w:rPr>
        <w:t>(</w:t>
      </w:r>
      <w:r w:rsidR="00E833F8" w:rsidRPr="009C6218">
        <w:rPr>
          <w:rFonts w:eastAsia="Arial" w:cs="Times New Roman"/>
          <w:szCs w:val="22"/>
          <w:lang w:val="fr-CA"/>
        </w:rPr>
        <w:t>mise en valeur ajoutée</w:t>
      </w:r>
      <w:r w:rsidR="007773A2" w:rsidRPr="009C6218">
        <w:rPr>
          <w:rFonts w:eastAsia="Arial" w:cs="Times New Roman"/>
          <w:szCs w:val="22"/>
          <w:lang w:val="fr-CA"/>
        </w:rPr>
        <w:t>)</w:t>
      </w:r>
      <w:r w:rsidR="003B12D2" w:rsidRPr="009C6218">
        <w:rPr>
          <w:rFonts w:eastAsia="Arial" w:cs="Times New Roman"/>
          <w:szCs w:val="22"/>
          <w:lang w:val="fr-CA"/>
        </w:rPr>
        <w:t xml:space="preserve"> </w:t>
      </w:r>
    </w:p>
    <w:p w14:paraId="729C7768" w14:textId="1AFEF2C8" w:rsidR="004C1FDA" w:rsidRPr="009C6218" w:rsidRDefault="00834512" w:rsidP="00595495">
      <w:pPr>
        <w:numPr>
          <w:ilvl w:val="0"/>
          <w:numId w:val="1"/>
        </w:numPr>
        <w:spacing w:after="200" w:line="276" w:lineRule="auto"/>
        <w:ind w:left="567" w:hanging="567"/>
        <w:rPr>
          <w:rFonts w:eastAsia="Arial" w:cs="Times New Roman"/>
          <w:szCs w:val="22"/>
          <w:lang w:val="fr-CA"/>
        </w:rPr>
      </w:pPr>
      <w:r w:rsidRPr="009C6218">
        <w:rPr>
          <w:color w:val="212121"/>
          <w:lang w:val="fr-CA"/>
        </w:rPr>
        <w:t>E</w:t>
      </w:r>
      <w:r w:rsidR="00EB0F2E" w:rsidRPr="009C6218">
        <w:rPr>
          <w:color w:val="212121"/>
          <w:lang w:val="fr-CA"/>
        </w:rPr>
        <w:t xml:space="preserve">n </w:t>
      </w:r>
      <w:r w:rsidRPr="009C6218">
        <w:rPr>
          <w:color w:val="212121"/>
          <w:lang w:val="fr-CA"/>
        </w:rPr>
        <w:t>avril</w:t>
      </w:r>
      <w:r w:rsidR="00EB0F2E" w:rsidRPr="009C6218">
        <w:rPr>
          <w:color w:val="212121"/>
          <w:lang w:val="fr-CA"/>
        </w:rPr>
        <w:t xml:space="preserve"> 201</w:t>
      </w:r>
      <w:r w:rsidR="00F851D2" w:rsidRPr="009C6218">
        <w:rPr>
          <w:color w:val="212121"/>
          <w:lang w:val="fr-CA"/>
        </w:rPr>
        <w:t>7</w:t>
      </w:r>
      <w:r w:rsidR="00EB0F2E" w:rsidRPr="009C6218">
        <w:rPr>
          <w:color w:val="212121"/>
          <w:lang w:val="fr-CA"/>
        </w:rPr>
        <w:t xml:space="preserve">, </w:t>
      </w:r>
      <w:r w:rsidRPr="009C6218">
        <w:rPr>
          <w:color w:val="212121"/>
          <w:lang w:val="fr-CA"/>
        </w:rPr>
        <w:t xml:space="preserve">un comité des plaintes du Conseil d’évaluation des juges de paix (le « Conseil d’évaluation ») a reçu trois lettres de plainte au sujet de la conduite de la juge de paix </w:t>
      </w:r>
      <w:r w:rsidR="004C1FDA" w:rsidRPr="009C6218">
        <w:rPr>
          <w:color w:val="212121"/>
          <w:lang w:val="fr-CA"/>
        </w:rPr>
        <w:t xml:space="preserve">Julie Lauzon </w:t>
      </w:r>
      <w:r w:rsidRPr="009C6218">
        <w:rPr>
          <w:color w:val="212121"/>
          <w:lang w:val="fr-CA"/>
        </w:rPr>
        <w:t xml:space="preserve">des personnes suivantes </w:t>
      </w:r>
      <w:r w:rsidR="004C1FDA" w:rsidRPr="009C6218">
        <w:rPr>
          <w:color w:val="212121"/>
          <w:lang w:val="fr-CA"/>
        </w:rPr>
        <w:t>:</w:t>
      </w:r>
    </w:p>
    <w:p w14:paraId="779DD241" w14:textId="7B4991DF" w:rsidR="00ED61D9" w:rsidRPr="009C6218" w:rsidRDefault="00ED61D9" w:rsidP="00C471D3">
      <w:pPr>
        <w:pStyle w:val="ListParagraph"/>
        <w:widowControl w:val="0"/>
        <w:numPr>
          <w:ilvl w:val="0"/>
          <w:numId w:val="3"/>
        </w:numPr>
        <w:ind w:left="1134" w:right="855" w:hanging="283"/>
        <w:rPr>
          <w:lang w:val="fr-CA"/>
        </w:rPr>
      </w:pPr>
      <w:r w:rsidRPr="009C6218">
        <w:rPr>
          <w:lang w:val="fr-CA"/>
        </w:rPr>
        <w:t xml:space="preserve">M. James </w:t>
      </w:r>
      <w:proofErr w:type="spellStart"/>
      <w:r w:rsidRPr="009C6218">
        <w:rPr>
          <w:lang w:val="fr-CA"/>
        </w:rPr>
        <w:t>Cornish</w:t>
      </w:r>
      <w:proofErr w:type="spellEnd"/>
      <w:r w:rsidRPr="009C6218">
        <w:rPr>
          <w:lang w:val="fr-CA"/>
        </w:rPr>
        <w:t xml:space="preserve">, </w:t>
      </w:r>
      <w:r w:rsidR="00C471D3" w:rsidRPr="009C6218">
        <w:rPr>
          <w:lang w:val="fr-CA"/>
        </w:rPr>
        <w:t>sous-procureur général adjoint</w:t>
      </w:r>
      <w:r w:rsidR="004F0C3B" w:rsidRPr="009C6218">
        <w:rPr>
          <w:lang w:val="fr-CA"/>
        </w:rPr>
        <w:t xml:space="preserve">, </w:t>
      </w:r>
      <w:r w:rsidR="00292259" w:rsidRPr="009C6218">
        <w:rPr>
          <w:lang w:val="fr-CA"/>
        </w:rPr>
        <w:t>Division du droit criminel, ministère du Procureur général</w:t>
      </w:r>
      <w:r w:rsidRPr="009C6218">
        <w:rPr>
          <w:lang w:val="fr-CA"/>
        </w:rPr>
        <w:t>;</w:t>
      </w:r>
    </w:p>
    <w:p w14:paraId="7C980304" w14:textId="77777777" w:rsidR="00ED61D9" w:rsidRPr="009C6218" w:rsidRDefault="00ED61D9" w:rsidP="00C471D3">
      <w:pPr>
        <w:pStyle w:val="ListParagraph"/>
        <w:widowControl w:val="0"/>
        <w:ind w:left="1134" w:right="855" w:hanging="283"/>
        <w:rPr>
          <w:lang w:val="fr-CA"/>
        </w:rPr>
      </w:pPr>
    </w:p>
    <w:p w14:paraId="6EB8B6F2" w14:textId="264A8D63" w:rsidR="00EB0F2E" w:rsidRPr="009C6218" w:rsidRDefault="00EB0F2E" w:rsidP="00C471D3">
      <w:pPr>
        <w:pStyle w:val="ListParagraph"/>
        <w:widowControl w:val="0"/>
        <w:numPr>
          <w:ilvl w:val="0"/>
          <w:numId w:val="3"/>
        </w:numPr>
        <w:ind w:left="1134" w:right="855" w:hanging="283"/>
        <w:rPr>
          <w:lang w:val="fr-CA"/>
        </w:rPr>
      </w:pPr>
      <w:r w:rsidRPr="009C6218">
        <w:rPr>
          <w:lang w:val="fr-CA"/>
        </w:rPr>
        <w:t xml:space="preserve">M. Brian Saunders, </w:t>
      </w:r>
      <w:r w:rsidR="00292259" w:rsidRPr="009C6218">
        <w:rPr>
          <w:lang w:val="fr-CA"/>
        </w:rPr>
        <w:t>directeur des poursuites publiques</w:t>
      </w:r>
      <w:r w:rsidR="00ED61D9" w:rsidRPr="009C6218">
        <w:rPr>
          <w:lang w:val="fr-CA"/>
        </w:rPr>
        <w:t>,</w:t>
      </w:r>
      <w:r w:rsidR="00292259" w:rsidRPr="009C6218">
        <w:rPr>
          <w:lang w:val="fr-CA"/>
        </w:rPr>
        <w:t xml:space="preserve"> au nom du Service des poursuites pénales du Canada</w:t>
      </w:r>
      <w:r w:rsidR="00ED61D9" w:rsidRPr="009C6218">
        <w:rPr>
          <w:lang w:val="fr-CA"/>
        </w:rPr>
        <w:t>;</w:t>
      </w:r>
      <w:r w:rsidRPr="009C6218">
        <w:rPr>
          <w:lang w:val="fr-CA"/>
        </w:rPr>
        <w:t xml:space="preserve"> </w:t>
      </w:r>
    </w:p>
    <w:p w14:paraId="3F4F63EA" w14:textId="024B868E" w:rsidR="007169F6" w:rsidRPr="009C6218" w:rsidRDefault="007169F6" w:rsidP="00C471D3">
      <w:pPr>
        <w:pStyle w:val="ListParagraph"/>
        <w:widowControl w:val="0"/>
        <w:ind w:left="1134" w:right="855" w:hanging="283"/>
        <w:rPr>
          <w:lang w:val="fr-CA"/>
        </w:rPr>
      </w:pPr>
    </w:p>
    <w:p w14:paraId="63B8E78A" w14:textId="05A2DDFC" w:rsidR="00EB0F2E" w:rsidRPr="009C6218" w:rsidRDefault="00EB0F2E" w:rsidP="00C471D3">
      <w:pPr>
        <w:pStyle w:val="ListParagraph"/>
        <w:widowControl w:val="0"/>
        <w:numPr>
          <w:ilvl w:val="0"/>
          <w:numId w:val="3"/>
        </w:numPr>
        <w:ind w:left="1134" w:right="855" w:hanging="283"/>
        <w:rPr>
          <w:lang w:val="fr-CA"/>
        </w:rPr>
      </w:pPr>
      <w:r w:rsidRPr="009C6218">
        <w:rPr>
          <w:lang w:val="fr-CA"/>
        </w:rPr>
        <w:t>M</w:t>
      </w:r>
      <w:r w:rsidR="00292259" w:rsidRPr="009C6218">
        <w:rPr>
          <w:lang w:val="fr-CA"/>
        </w:rPr>
        <w:t>me</w:t>
      </w:r>
      <w:r w:rsidRPr="009C6218">
        <w:rPr>
          <w:lang w:val="fr-CA"/>
        </w:rPr>
        <w:t xml:space="preserve"> Kate Matthews, </w:t>
      </w:r>
      <w:r w:rsidR="00292259" w:rsidRPr="009C6218">
        <w:rPr>
          <w:lang w:val="fr-CA"/>
        </w:rPr>
        <w:t>présidente de l’</w:t>
      </w:r>
      <w:r w:rsidRPr="009C6218">
        <w:rPr>
          <w:lang w:val="fr-CA"/>
        </w:rPr>
        <w:t xml:space="preserve">Ontario </w:t>
      </w:r>
      <w:r w:rsidR="0080032A" w:rsidRPr="009C6218">
        <w:rPr>
          <w:lang w:val="fr-CA"/>
        </w:rPr>
        <w:t>Crown</w:t>
      </w:r>
      <w:r w:rsidRPr="009C6218">
        <w:rPr>
          <w:lang w:val="fr-CA"/>
        </w:rPr>
        <w:t xml:space="preserve"> </w:t>
      </w:r>
      <w:proofErr w:type="spellStart"/>
      <w:r w:rsidRPr="009C6218">
        <w:rPr>
          <w:lang w:val="fr-CA"/>
        </w:rPr>
        <w:t>Attorney</w:t>
      </w:r>
      <w:r w:rsidR="00320722" w:rsidRPr="009C6218">
        <w:rPr>
          <w:lang w:val="fr-CA"/>
        </w:rPr>
        <w:t>’</w:t>
      </w:r>
      <w:r w:rsidRPr="009C6218">
        <w:rPr>
          <w:lang w:val="fr-CA"/>
        </w:rPr>
        <w:t>s</w:t>
      </w:r>
      <w:proofErr w:type="spellEnd"/>
      <w:r w:rsidRPr="009C6218">
        <w:rPr>
          <w:lang w:val="fr-CA"/>
        </w:rPr>
        <w:t xml:space="preserve"> Association</w:t>
      </w:r>
      <w:r w:rsidR="00ED61D9" w:rsidRPr="009C6218">
        <w:rPr>
          <w:lang w:val="fr-CA"/>
        </w:rPr>
        <w:t xml:space="preserve">, </w:t>
      </w:r>
      <w:r w:rsidR="00292259" w:rsidRPr="009C6218">
        <w:rPr>
          <w:lang w:val="fr-CA"/>
        </w:rPr>
        <w:t>au nom de l’</w:t>
      </w:r>
      <w:r w:rsidR="00ED61D9" w:rsidRPr="009C6218">
        <w:rPr>
          <w:lang w:val="fr-CA"/>
        </w:rPr>
        <w:t xml:space="preserve">Ontario </w:t>
      </w:r>
      <w:r w:rsidR="0080032A" w:rsidRPr="009C6218">
        <w:rPr>
          <w:lang w:val="fr-CA"/>
        </w:rPr>
        <w:t>Crown</w:t>
      </w:r>
      <w:r w:rsidR="00ED61D9" w:rsidRPr="009C6218">
        <w:rPr>
          <w:lang w:val="fr-CA"/>
        </w:rPr>
        <w:t xml:space="preserve"> Attorneys’ Association.</w:t>
      </w:r>
    </w:p>
    <w:p w14:paraId="479789AD" w14:textId="77777777" w:rsidR="007169F6" w:rsidRPr="009C6218" w:rsidRDefault="007169F6" w:rsidP="004749BC">
      <w:pPr>
        <w:pStyle w:val="ListParagraph"/>
        <w:ind w:left="1134" w:right="855" w:hanging="283"/>
        <w:rPr>
          <w:lang w:val="fr-CA"/>
        </w:rPr>
      </w:pPr>
    </w:p>
    <w:p w14:paraId="1B8984F2" w14:textId="3A19E922" w:rsidR="00F77B58" w:rsidRPr="009C6218" w:rsidRDefault="00292259" w:rsidP="00595495">
      <w:pPr>
        <w:numPr>
          <w:ilvl w:val="0"/>
          <w:numId w:val="1"/>
        </w:numPr>
        <w:spacing w:after="200" w:line="276" w:lineRule="auto"/>
        <w:ind w:left="567" w:hanging="567"/>
        <w:rPr>
          <w:rFonts w:eastAsia="Arial" w:cs="Times New Roman"/>
          <w:szCs w:val="22"/>
          <w:lang w:val="fr-CA"/>
        </w:rPr>
      </w:pPr>
      <w:r w:rsidRPr="009C6218">
        <w:rPr>
          <w:rFonts w:eastAsia="Arial" w:cs="Times New Roman"/>
          <w:szCs w:val="22"/>
          <w:lang w:val="fr-CA"/>
        </w:rPr>
        <w:t xml:space="preserve">Après une enquête, le comité des plaintes a ordonné que les trois plaintes soient renvoyées à un comité d’audition du Conseil d’évaluation pour qu’une audience formelle soit tenue en application de l’article </w:t>
      </w:r>
      <w:r w:rsidR="00F77B58" w:rsidRPr="009C6218">
        <w:rPr>
          <w:rFonts w:eastAsia="Arial" w:cs="Times New Roman"/>
          <w:szCs w:val="22"/>
          <w:lang w:val="fr-CA"/>
        </w:rPr>
        <w:t xml:space="preserve">11.1 </w:t>
      </w:r>
      <w:r w:rsidRPr="009C6218">
        <w:rPr>
          <w:rFonts w:eastAsia="Arial" w:cs="Times New Roman"/>
          <w:szCs w:val="22"/>
          <w:lang w:val="fr-CA"/>
        </w:rPr>
        <w:t xml:space="preserve">de la </w:t>
      </w:r>
      <w:r w:rsidRPr="009C6218">
        <w:rPr>
          <w:rFonts w:eastAsia="Arial" w:cs="Times New Roman"/>
          <w:i/>
          <w:szCs w:val="22"/>
          <w:lang w:val="fr-CA"/>
        </w:rPr>
        <w:t>Loi sur les juges de paix</w:t>
      </w:r>
      <w:r w:rsidRPr="009C6218">
        <w:rPr>
          <w:rFonts w:eastAsia="Arial" w:cs="Times New Roman"/>
          <w:szCs w:val="22"/>
          <w:lang w:val="fr-CA"/>
        </w:rPr>
        <w:t xml:space="preserve">, L.R.O. </w:t>
      </w:r>
      <w:r w:rsidR="00F77B58" w:rsidRPr="009C6218">
        <w:rPr>
          <w:rFonts w:eastAsia="Arial" w:cs="Times New Roman"/>
          <w:szCs w:val="22"/>
          <w:lang w:val="fr-CA"/>
        </w:rPr>
        <w:t>1990, c</w:t>
      </w:r>
      <w:r w:rsidRPr="009C6218">
        <w:rPr>
          <w:rFonts w:eastAsia="Arial" w:cs="Times New Roman"/>
          <w:szCs w:val="22"/>
          <w:lang w:val="fr-CA"/>
        </w:rPr>
        <w:t>hap</w:t>
      </w:r>
      <w:r w:rsidR="00F77B58" w:rsidRPr="009C6218">
        <w:rPr>
          <w:rFonts w:eastAsia="Arial" w:cs="Times New Roman"/>
          <w:szCs w:val="22"/>
          <w:lang w:val="fr-CA"/>
        </w:rPr>
        <w:t xml:space="preserve">. J.4, </w:t>
      </w:r>
      <w:r w:rsidRPr="009C6218">
        <w:rPr>
          <w:rFonts w:eastAsia="Arial" w:cs="Times New Roman"/>
          <w:szCs w:val="22"/>
          <w:lang w:val="fr-CA"/>
        </w:rPr>
        <w:t>dans sa version modifiée</w:t>
      </w:r>
      <w:r w:rsidR="00F77B58" w:rsidRPr="009C6218">
        <w:rPr>
          <w:rFonts w:eastAsia="Arial" w:cs="Times New Roman"/>
          <w:szCs w:val="22"/>
          <w:lang w:val="fr-CA"/>
        </w:rPr>
        <w:t xml:space="preserve"> (</w:t>
      </w:r>
      <w:r w:rsidRPr="009C6218">
        <w:rPr>
          <w:rFonts w:eastAsia="Arial" w:cs="Times New Roman"/>
          <w:szCs w:val="22"/>
          <w:lang w:val="fr-CA"/>
        </w:rPr>
        <w:t>la « Loi »</w:t>
      </w:r>
      <w:r w:rsidR="00F77B58" w:rsidRPr="009C6218">
        <w:rPr>
          <w:rFonts w:eastAsia="Arial" w:cs="Times New Roman"/>
          <w:szCs w:val="22"/>
          <w:lang w:val="fr-CA"/>
        </w:rPr>
        <w:t>).</w:t>
      </w:r>
    </w:p>
    <w:p w14:paraId="05BDFC41" w14:textId="048C7447" w:rsidR="001B0EA0" w:rsidRPr="009C6218" w:rsidRDefault="00292259" w:rsidP="00595495">
      <w:pPr>
        <w:numPr>
          <w:ilvl w:val="0"/>
          <w:numId w:val="1"/>
        </w:numPr>
        <w:spacing w:after="200" w:line="276" w:lineRule="auto"/>
        <w:ind w:left="567" w:hanging="567"/>
        <w:rPr>
          <w:rFonts w:eastAsia="Arial" w:cs="Times New Roman"/>
          <w:szCs w:val="22"/>
          <w:lang w:val="fr-CA"/>
        </w:rPr>
      </w:pPr>
      <w:r w:rsidRPr="009C6218">
        <w:rPr>
          <w:rFonts w:eastAsia="Arial" w:cs="Times New Roman"/>
          <w:szCs w:val="22"/>
          <w:lang w:val="fr-CA"/>
        </w:rPr>
        <w:t xml:space="preserve">La juge de paix </w:t>
      </w:r>
      <w:r w:rsidR="001B0EA0" w:rsidRPr="009C6218">
        <w:rPr>
          <w:rFonts w:eastAsia="Arial" w:cs="Times New Roman"/>
          <w:szCs w:val="22"/>
          <w:lang w:val="fr-CA"/>
        </w:rPr>
        <w:t xml:space="preserve">Lauzon </w:t>
      </w:r>
      <w:r w:rsidRPr="009C6218">
        <w:rPr>
          <w:rFonts w:eastAsia="Arial" w:cs="Times New Roman"/>
          <w:szCs w:val="22"/>
          <w:lang w:val="fr-CA"/>
        </w:rPr>
        <w:t xml:space="preserve">a comparu devant notre comité d’audition en juin </w:t>
      </w:r>
      <w:r w:rsidR="001B0EA0" w:rsidRPr="009C6218">
        <w:rPr>
          <w:rFonts w:eastAsia="Arial" w:cs="Times New Roman"/>
          <w:szCs w:val="22"/>
          <w:lang w:val="fr-CA"/>
        </w:rPr>
        <w:t xml:space="preserve">2018. </w:t>
      </w:r>
      <w:r w:rsidRPr="009C6218">
        <w:rPr>
          <w:rFonts w:eastAsia="Arial" w:cs="Times New Roman"/>
          <w:szCs w:val="22"/>
          <w:lang w:val="fr-CA"/>
        </w:rPr>
        <w:t xml:space="preserve">Un Avis d’audience a été déposé </w:t>
      </w:r>
      <w:r w:rsidR="0006012F" w:rsidRPr="009C6218">
        <w:rPr>
          <w:rFonts w:eastAsia="Arial" w:cs="Times New Roman"/>
          <w:szCs w:val="22"/>
          <w:lang w:val="fr-CA"/>
        </w:rPr>
        <w:t xml:space="preserve">comme pièce le 22 juin </w:t>
      </w:r>
      <w:r w:rsidR="00F77B58" w:rsidRPr="009C6218">
        <w:rPr>
          <w:rFonts w:eastAsia="Arial" w:cs="Times New Roman"/>
          <w:szCs w:val="22"/>
          <w:lang w:val="fr-CA"/>
        </w:rPr>
        <w:t>2018</w:t>
      </w:r>
      <w:r w:rsidR="004C629F" w:rsidRPr="009C6218">
        <w:rPr>
          <w:rFonts w:eastAsia="Arial" w:cs="Times New Roman"/>
          <w:szCs w:val="22"/>
          <w:lang w:val="fr-CA"/>
        </w:rPr>
        <w:t>.</w:t>
      </w:r>
    </w:p>
    <w:p w14:paraId="6482EFE6" w14:textId="23871B26" w:rsidR="00F77B58" w:rsidRPr="009C6218" w:rsidRDefault="0006012F" w:rsidP="00595495">
      <w:pPr>
        <w:numPr>
          <w:ilvl w:val="0"/>
          <w:numId w:val="1"/>
        </w:numPr>
        <w:spacing w:after="200" w:line="276" w:lineRule="auto"/>
        <w:ind w:left="567" w:hanging="567"/>
        <w:rPr>
          <w:rFonts w:eastAsia="Arial" w:cs="Times New Roman"/>
          <w:szCs w:val="22"/>
          <w:lang w:val="fr-CA"/>
        </w:rPr>
      </w:pPr>
      <w:r w:rsidRPr="009C6218">
        <w:rPr>
          <w:rFonts w:eastAsia="Arial" w:cs="Times New Roman"/>
          <w:szCs w:val="22"/>
          <w:lang w:val="fr-CA"/>
        </w:rPr>
        <w:t>Les allégations contenues dans l’Avis d’audience peuvent être résumées comme suit </w:t>
      </w:r>
      <w:r w:rsidR="00F77B58" w:rsidRPr="009C6218">
        <w:rPr>
          <w:rFonts w:eastAsia="Arial" w:cs="Times New Roman"/>
          <w:szCs w:val="22"/>
          <w:lang w:val="fr-CA"/>
        </w:rPr>
        <w:t>:</w:t>
      </w:r>
    </w:p>
    <w:p w14:paraId="622ECBD0" w14:textId="47C6042C" w:rsidR="00BC77EF" w:rsidRPr="009C6218" w:rsidRDefault="00BC77EF" w:rsidP="004749BC">
      <w:pPr>
        <w:pStyle w:val="ListParagraph"/>
        <w:ind w:left="1134" w:right="855"/>
        <w:rPr>
          <w:rFonts w:eastAsia="Arial" w:cs="Times New Roman"/>
          <w:b/>
          <w:szCs w:val="22"/>
          <w:lang w:val="fr-CA"/>
        </w:rPr>
      </w:pPr>
      <w:r w:rsidRPr="009C6218">
        <w:rPr>
          <w:rFonts w:eastAsia="Arial" w:cs="Times New Roman"/>
          <w:b/>
          <w:i/>
          <w:szCs w:val="22"/>
          <w:lang w:val="fr-CA"/>
        </w:rPr>
        <w:t>1</w:t>
      </w:r>
      <w:r w:rsidR="0006012F" w:rsidRPr="009C6218">
        <w:rPr>
          <w:rFonts w:eastAsia="Arial" w:cs="Times New Roman"/>
          <w:b/>
          <w:i/>
          <w:szCs w:val="22"/>
          <w:vertAlign w:val="superscript"/>
          <w:lang w:val="fr-CA"/>
        </w:rPr>
        <w:t>ère</w:t>
      </w:r>
      <w:r w:rsidR="0006012F" w:rsidRPr="009C6218">
        <w:rPr>
          <w:rFonts w:eastAsia="Arial" w:cs="Times New Roman"/>
          <w:b/>
          <w:i/>
          <w:szCs w:val="22"/>
          <w:lang w:val="fr-CA"/>
        </w:rPr>
        <w:t xml:space="preserve"> allégation</w:t>
      </w:r>
      <w:r w:rsidR="005C05FE" w:rsidRPr="009C6218">
        <w:rPr>
          <w:rFonts w:eastAsia="Arial" w:cs="Times New Roman"/>
          <w:b/>
          <w:i/>
          <w:szCs w:val="22"/>
          <w:lang w:val="fr-CA"/>
        </w:rPr>
        <w:t xml:space="preserve"> (</w:t>
      </w:r>
      <w:r w:rsidR="0006012F" w:rsidRPr="009C6218">
        <w:rPr>
          <w:rFonts w:eastAsia="Arial" w:cs="Times New Roman"/>
          <w:b/>
          <w:i/>
          <w:szCs w:val="22"/>
          <w:lang w:val="fr-CA"/>
        </w:rPr>
        <w:t>l’« </w:t>
      </w:r>
      <w:r w:rsidR="0007720F">
        <w:rPr>
          <w:rFonts w:eastAsia="Arial" w:cs="Times New Roman"/>
          <w:b/>
          <w:i/>
          <w:szCs w:val="22"/>
          <w:lang w:val="fr-CA"/>
        </w:rPr>
        <w:t>A</w:t>
      </w:r>
      <w:r w:rsidR="0006012F" w:rsidRPr="009C6218">
        <w:rPr>
          <w:rFonts w:eastAsia="Arial" w:cs="Times New Roman"/>
          <w:b/>
          <w:i/>
          <w:szCs w:val="22"/>
          <w:lang w:val="fr-CA"/>
        </w:rPr>
        <w:t>rticle »</w:t>
      </w:r>
      <w:r w:rsidR="00631DFB" w:rsidRPr="009C6218">
        <w:rPr>
          <w:rFonts w:eastAsia="Arial" w:cs="Times New Roman"/>
          <w:b/>
          <w:i/>
          <w:szCs w:val="22"/>
          <w:lang w:val="fr-CA"/>
        </w:rPr>
        <w:t>)</w:t>
      </w:r>
      <w:r w:rsidR="0006012F" w:rsidRPr="009C6218">
        <w:rPr>
          <w:rFonts w:eastAsia="Arial" w:cs="Times New Roman"/>
          <w:b/>
          <w:i/>
          <w:szCs w:val="22"/>
          <w:lang w:val="fr-CA"/>
        </w:rPr>
        <w:t xml:space="preserve"> </w:t>
      </w:r>
      <w:r w:rsidRPr="009C6218">
        <w:rPr>
          <w:rFonts w:eastAsia="Arial" w:cs="Times New Roman"/>
          <w:b/>
          <w:szCs w:val="22"/>
          <w:lang w:val="fr-CA"/>
        </w:rPr>
        <w:t>:</w:t>
      </w:r>
    </w:p>
    <w:p w14:paraId="02280C10" w14:textId="77777777" w:rsidR="00520BF1" w:rsidRPr="009C6218" w:rsidRDefault="00520BF1" w:rsidP="004749BC">
      <w:pPr>
        <w:pStyle w:val="ListParagraph"/>
        <w:ind w:left="1134" w:right="855"/>
        <w:rPr>
          <w:rFonts w:eastAsia="Arial" w:cs="Times New Roman"/>
          <w:b/>
          <w:szCs w:val="22"/>
          <w:lang w:val="fr-CA"/>
        </w:rPr>
      </w:pPr>
    </w:p>
    <w:p w14:paraId="113FC5FE" w14:textId="78F71554" w:rsidR="00705F5D" w:rsidRPr="009C6218" w:rsidRDefault="0006012F" w:rsidP="004749BC">
      <w:pPr>
        <w:pStyle w:val="ListParagraph"/>
        <w:ind w:left="1134" w:right="855"/>
        <w:rPr>
          <w:rFonts w:eastAsia="Arial" w:cs="Times New Roman"/>
          <w:szCs w:val="22"/>
          <w:lang w:val="fr-CA"/>
        </w:rPr>
      </w:pPr>
      <w:r w:rsidRPr="009C6218">
        <w:rPr>
          <w:rFonts w:eastAsia="Arial" w:cs="Times New Roman"/>
          <w:szCs w:val="22"/>
          <w:lang w:val="fr-CA"/>
        </w:rPr>
        <w:t xml:space="preserve">La juge de paix n’a pas respecté les principes d’intégrité, d’impartialité et d’indépendance de la magistrature lorsqu’elle a utilisé de façon inappropriée le pouvoir et le prestige de sa fonction judiciaire pour faire des déclarations extrajudiciaires dans les médias dans un éditorial </w:t>
      </w:r>
      <w:r w:rsidRPr="009C6218">
        <w:rPr>
          <w:rFonts w:eastAsia="Arial" w:cs="Times New Roman"/>
          <w:szCs w:val="22"/>
          <w:lang w:val="fr-CA"/>
        </w:rPr>
        <w:lastRenderedPageBreak/>
        <w:t xml:space="preserve">intitulé « </w:t>
      </w:r>
      <w:proofErr w:type="spellStart"/>
      <w:r w:rsidRPr="009C6218">
        <w:rPr>
          <w:rFonts w:eastAsia="Arial" w:cs="Times New Roman"/>
          <w:szCs w:val="22"/>
          <w:lang w:val="fr-CA"/>
        </w:rPr>
        <w:t>When</w:t>
      </w:r>
      <w:proofErr w:type="spellEnd"/>
      <w:r w:rsidRPr="009C6218">
        <w:rPr>
          <w:rFonts w:eastAsia="Arial" w:cs="Times New Roman"/>
          <w:szCs w:val="22"/>
          <w:lang w:val="fr-CA"/>
        </w:rPr>
        <w:t xml:space="preserve"> Bail Courts Don’t Follow the Law », paru dans le </w:t>
      </w:r>
      <w:r w:rsidRPr="009C6218">
        <w:rPr>
          <w:rFonts w:eastAsia="Arial" w:cs="Times New Roman"/>
          <w:i/>
          <w:szCs w:val="22"/>
          <w:lang w:val="fr-CA"/>
        </w:rPr>
        <w:t>National Post</w:t>
      </w:r>
      <w:r w:rsidRPr="009C6218">
        <w:rPr>
          <w:rFonts w:eastAsia="Arial" w:cs="Times New Roman"/>
          <w:szCs w:val="22"/>
          <w:lang w:val="fr-CA"/>
        </w:rPr>
        <w:t xml:space="preserve"> le 15 mars 2016, et dans lequel elle a fait des remarques désobligeantes et formulé des allégati</w:t>
      </w:r>
      <w:r w:rsidR="0007720F">
        <w:rPr>
          <w:rFonts w:eastAsia="Arial" w:cs="Times New Roman"/>
          <w:szCs w:val="22"/>
          <w:lang w:val="fr-CA"/>
        </w:rPr>
        <w:t xml:space="preserve">ons d’inconduite à l’endroit de procureurs de la Couronne </w:t>
      </w:r>
      <w:r w:rsidRPr="009C6218">
        <w:rPr>
          <w:rFonts w:eastAsia="Arial" w:cs="Times New Roman"/>
          <w:szCs w:val="22"/>
          <w:lang w:val="fr-CA"/>
        </w:rPr>
        <w:t>et d’autres membres de la magistrature sans égard pour leurs réputations personnelle et professionnelle</w:t>
      </w:r>
      <w:r w:rsidR="006A1779" w:rsidRPr="009C6218">
        <w:rPr>
          <w:rFonts w:eastAsia="Arial" w:cs="Times New Roman"/>
          <w:szCs w:val="22"/>
          <w:lang w:val="fr-CA"/>
        </w:rPr>
        <w:t xml:space="preserve">. </w:t>
      </w:r>
    </w:p>
    <w:p w14:paraId="169D8894" w14:textId="348D4CD7" w:rsidR="00BC77EF" w:rsidRPr="009C6218" w:rsidRDefault="00BC77EF" w:rsidP="004749BC">
      <w:pPr>
        <w:pStyle w:val="ListParagraph"/>
        <w:ind w:left="1134" w:right="855"/>
        <w:rPr>
          <w:rFonts w:eastAsia="Arial" w:cs="Times New Roman"/>
          <w:szCs w:val="22"/>
          <w:lang w:val="fr-CA"/>
        </w:rPr>
      </w:pPr>
    </w:p>
    <w:p w14:paraId="2BC99AFD" w14:textId="7C712DA6" w:rsidR="00BC77EF" w:rsidRPr="009C6218" w:rsidRDefault="0001463A" w:rsidP="004749BC">
      <w:pPr>
        <w:pStyle w:val="ListParagraph"/>
        <w:ind w:left="1134" w:right="855"/>
        <w:rPr>
          <w:rFonts w:eastAsia="Arial" w:cs="Times New Roman"/>
          <w:b/>
          <w:szCs w:val="22"/>
          <w:lang w:val="fr-CA"/>
        </w:rPr>
      </w:pPr>
      <w:r w:rsidRPr="009C6218">
        <w:rPr>
          <w:rFonts w:eastAsia="Arial" w:cs="Times New Roman"/>
          <w:b/>
          <w:i/>
          <w:szCs w:val="22"/>
          <w:lang w:val="fr-CA"/>
        </w:rPr>
        <w:t>2</w:t>
      </w:r>
      <w:r w:rsidR="0006012F" w:rsidRPr="009C6218">
        <w:rPr>
          <w:rFonts w:eastAsia="Arial" w:cs="Times New Roman"/>
          <w:b/>
          <w:i/>
          <w:szCs w:val="22"/>
          <w:vertAlign w:val="superscript"/>
          <w:lang w:val="fr-CA"/>
        </w:rPr>
        <w:t>e</w:t>
      </w:r>
      <w:r w:rsidR="0006012F" w:rsidRPr="009C6218">
        <w:rPr>
          <w:rFonts w:eastAsia="Arial" w:cs="Times New Roman"/>
          <w:b/>
          <w:i/>
          <w:szCs w:val="22"/>
          <w:lang w:val="fr-CA"/>
        </w:rPr>
        <w:t xml:space="preserve"> allégation</w:t>
      </w:r>
      <w:r w:rsidR="005C05FE" w:rsidRPr="009C6218">
        <w:rPr>
          <w:rFonts w:eastAsia="Arial" w:cs="Times New Roman"/>
          <w:b/>
          <w:i/>
          <w:szCs w:val="22"/>
          <w:lang w:val="fr-CA"/>
        </w:rPr>
        <w:t xml:space="preserve"> (</w:t>
      </w:r>
      <w:r w:rsidR="0006012F" w:rsidRPr="009C6218">
        <w:rPr>
          <w:rFonts w:eastAsia="Arial" w:cs="Times New Roman"/>
          <w:b/>
          <w:i/>
          <w:szCs w:val="22"/>
          <w:lang w:val="fr-CA"/>
        </w:rPr>
        <w:t>l’« audience de mise en liberté sous caution d’AJN »</w:t>
      </w:r>
      <w:r w:rsidR="00631DFB" w:rsidRPr="009C6218">
        <w:rPr>
          <w:rFonts w:eastAsia="Arial" w:cs="Times New Roman"/>
          <w:b/>
          <w:i/>
          <w:szCs w:val="22"/>
          <w:lang w:val="fr-CA"/>
        </w:rPr>
        <w:t>)</w:t>
      </w:r>
      <w:r w:rsidR="00831B2E" w:rsidRPr="009C6218">
        <w:rPr>
          <w:rFonts w:eastAsia="Arial" w:cs="Times New Roman"/>
          <w:b/>
          <w:i/>
          <w:szCs w:val="22"/>
          <w:lang w:val="fr-CA"/>
        </w:rPr>
        <w:t xml:space="preserve"> </w:t>
      </w:r>
      <w:r w:rsidR="00BC77EF" w:rsidRPr="009C6218">
        <w:rPr>
          <w:rFonts w:eastAsia="Arial" w:cs="Times New Roman"/>
          <w:b/>
          <w:szCs w:val="22"/>
          <w:lang w:val="fr-CA"/>
        </w:rPr>
        <w:t>:</w:t>
      </w:r>
    </w:p>
    <w:p w14:paraId="63526CA9" w14:textId="77777777" w:rsidR="00520BF1" w:rsidRPr="009C6218" w:rsidRDefault="00520BF1" w:rsidP="004749BC">
      <w:pPr>
        <w:pStyle w:val="ListParagraph"/>
        <w:ind w:left="1134" w:right="855"/>
        <w:rPr>
          <w:rFonts w:eastAsia="Arial" w:cs="Times New Roman"/>
          <w:b/>
          <w:szCs w:val="22"/>
          <w:lang w:val="fr-CA"/>
        </w:rPr>
      </w:pPr>
    </w:p>
    <w:p w14:paraId="1FE2F687" w14:textId="68577098" w:rsidR="006A1779" w:rsidRPr="009C6218" w:rsidRDefault="0006012F" w:rsidP="00195AF3">
      <w:pPr>
        <w:pStyle w:val="ListParagraph"/>
        <w:ind w:left="1134" w:right="855"/>
        <w:rPr>
          <w:rFonts w:eastAsia="Arial" w:cs="Times New Roman"/>
          <w:szCs w:val="22"/>
          <w:lang w:val="fr-CA"/>
        </w:rPr>
      </w:pPr>
      <w:r w:rsidRPr="009C6218">
        <w:rPr>
          <w:rFonts w:eastAsia="Arial" w:cs="Times New Roman"/>
          <w:szCs w:val="22"/>
          <w:lang w:val="fr-CA"/>
        </w:rPr>
        <w:t xml:space="preserve">La juge de paix a </w:t>
      </w:r>
      <w:r w:rsidR="0007720F">
        <w:rPr>
          <w:rFonts w:eastAsia="Arial" w:cs="Times New Roman"/>
          <w:szCs w:val="22"/>
          <w:lang w:val="fr-CA"/>
        </w:rPr>
        <w:t>fait des remarques</w:t>
      </w:r>
      <w:r w:rsidRPr="009C6218">
        <w:rPr>
          <w:rFonts w:eastAsia="Arial" w:cs="Times New Roman"/>
          <w:szCs w:val="22"/>
          <w:lang w:val="fr-CA"/>
        </w:rPr>
        <w:t xml:space="preserve"> inapproprié</w:t>
      </w:r>
      <w:r w:rsidR="0007720F">
        <w:rPr>
          <w:rFonts w:eastAsia="Arial" w:cs="Times New Roman"/>
          <w:szCs w:val="22"/>
          <w:lang w:val="fr-CA"/>
        </w:rPr>
        <w:t>e</w:t>
      </w:r>
      <w:r w:rsidRPr="009C6218">
        <w:rPr>
          <w:rFonts w:eastAsia="Arial" w:cs="Times New Roman"/>
          <w:szCs w:val="22"/>
          <w:lang w:val="fr-CA"/>
        </w:rPr>
        <w:t>s au tribunal qui pourraient être perçu</w:t>
      </w:r>
      <w:r w:rsidR="0007720F">
        <w:rPr>
          <w:rFonts w:eastAsia="Arial" w:cs="Times New Roman"/>
          <w:szCs w:val="22"/>
          <w:lang w:val="fr-CA"/>
        </w:rPr>
        <w:t>e</w:t>
      </w:r>
      <w:r w:rsidRPr="009C6218">
        <w:rPr>
          <w:rFonts w:eastAsia="Arial" w:cs="Times New Roman"/>
          <w:szCs w:val="22"/>
          <w:lang w:val="fr-CA"/>
        </w:rPr>
        <w:t xml:space="preserve">s comme étant incompatibles avec le respect des principes d’intégrité, d’impartialité et d’indépendance </w:t>
      </w:r>
      <w:r w:rsidR="0007720F">
        <w:rPr>
          <w:rFonts w:eastAsia="Arial" w:cs="Times New Roman"/>
          <w:szCs w:val="22"/>
          <w:lang w:val="fr-CA"/>
        </w:rPr>
        <w:t>attendu</w:t>
      </w:r>
      <w:r w:rsidRPr="009C6218">
        <w:rPr>
          <w:rFonts w:eastAsia="Arial" w:cs="Times New Roman"/>
          <w:szCs w:val="22"/>
          <w:lang w:val="fr-CA"/>
        </w:rPr>
        <w:t xml:space="preserve"> des membres de la magistrature</w:t>
      </w:r>
      <w:r w:rsidR="006A1779" w:rsidRPr="009C6218">
        <w:rPr>
          <w:rFonts w:eastAsia="Arial" w:cs="Times New Roman"/>
          <w:szCs w:val="22"/>
          <w:lang w:val="fr-CA"/>
        </w:rPr>
        <w:t>.</w:t>
      </w:r>
    </w:p>
    <w:p w14:paraId="46270022" w14:textId="77777777" w:rsidR="00195AF3" w:rsidRPr="009C6218" w:rsidRDefault="00195AF3" w:rsidP="00195AF3">
      <w:pPr>
        <w:ind w:left="567"/>
        <w:rPr>
          <w:rFonts w:eastAsia="Arial" w:cs="Times New Roman"/>
          <w:szCs w:val="22"/>
          <w:lang w:val="fr-CA"/>
        </w:rPr>
      </w:pPr>
    </w:p>
    <w:p w14:paraId="29754998" w14:textId="2173897C" w:rsidR="00573A64" w:rsidRPr="009C6218" w:rsidRDefault="000518FB" w:rsidP="00195AF3">
      <w:pPr>
        <w:numPr>
          <w:ilvl w:val="0"/>
          <w:numId w:val="1"/>
        </w:numPr>
        <w:ind w:left="567" w:hanging="567"/>
        <w:rPr>
          <w:rFonts w:eastAsia="Arial" w:cs="Times New Roman"/>
          <w:szCs w:val="22"/>
          <w:lang w:val="fr-CA"/>
        </w:rPr>
      </w:pPr>
      <w:r w:rsidRPr="009C6218">
        <w:rPr>
          <w:rFonts w:eastAsia="Arial" w:cs="Times New Roman"/>
          <w:szCs w:val="22"/>
          <w:lang w:val="fr-CA"/>
        </w:rPr>
        <w:t>Le 1</w:t>
      </w:r>
      <w:r w:rsidRPr="009C6218">
        <w:rPr>
          <w:rFonts w:eastAsia="Arial" w:cs="Times New Roman"/>
          <w:szCs w:val="22"/>
          <w:vertAlign w:val="superscript"/>
          <w:lang w:val="fr-CA"/>
        </w:rPr>
        <w:t>er</w:t>
      </w:r>
      <w:r w:rsidRPr="009C6218">
        <w:rPr>
          <w:rFonts w:eastAsia="Arial" w:cs="Times New Roman"/>
          <w:szCs w:val="22"/>
          <w:lang w:val="fr-CA"/>
        </w:rPr>
        <w:t xml:space="preserve"> août </w:t>
      </w:r>
      <w:r w:rsidR="00C8157B" w:rsidRPr="009C6218">
        <w:rPr>
          <w:rFonts w:eastAsia="Arial" w:cs="Times New Roman"/>
          <w:szCs w:val="22"/>
          <w:lang w:val="fr-CA"/>
        </w:rPr>
        <w:t xml:space="preserve">2018, </w:t>
      </w:r>
      <w:r w:rsidRPr="009C6218">
        <w:rPr>
          <w:rFonts w:eastAsia="Arial" w:cs="Times New Roman"/>
          <w:szCs w:val="22"/>
          <w:lang w:val="fr-CA"/>
        </w:rPr>
        <w:t>l’</w:t>
      </w:r>
      <w:r w:rsidR="00C8157B" w:rsidRPr="009C6218">
        <w:rPr>
          <w:rFonts w:eastAsia="Arial" w:cs="Times New Roman"/>
          <w:szCs w:val="22"/>
          <w:lang w:val="fr-CA"/>
        </w:rPr>
        <w:t>Association of Justices of the Peace o</w:t>
      </w:r>
      <w:r w:rsidR="00D731FE" w:rsidRPr="009C6218">
        <w:rPr>
          <w:rFonts w:eastAsia="Arial" w:cs="Times New Roman"/>
          <w:szCs w:val="22"/>
          <w:lang w:val="fr-CA"/>
        </w:rPr>
        <w:t>f</w:t>
      </w:r>
      <w:r w:rsidR="00C8157B" w:rsidRPr="009C6218">
        <w:rPr>
          <w:rFonts w:eastAsia="Arial" w:cs="Times New Roman"/>
          <w:szCs w:val="22"/>
          <w:lang w:val="fr-CA"/>
        </w:rPr>
        <w:t xml:space="preserve"> Ontario (</w:t>
      </w:r>
      <w:r w:rsidRPr="009C6218">
        <w:rPr>
          <w:rFonts w:eastAsia="Arial" w:cs="Times New Roman"/>
          <w:szCs w:val="22"/>
          <w:lang w:val="fr-CA"/>
        </w:rPr>
        <w:t>l’« </w:t>
      </w:r>
      <w:r w:rsidR="00C8157B" w:rsidRPr="009C6218">
        <w:rPr>
          <w:rFonts w:eastAsia="Arial" w:cs="Times New Roman"/>
          <w:szCs w:val="22"/>
          <w:lang w:val="fr-CA"/>
        </w:rPr>
        <w:t>AJPO</w:t>
      </w:r>
      <w:r w:rsidRPr="009C6218">
        <w:rPr>
          <w:rFonts w:eastAsia="Arial" w:cs="Times New Roman"/>
          <w:szCs w:val="22"/>
          <w:lang w:val="fr-CA"/>
        </w:rPr>
        <w:t> »</w:t>
      </w:r>
      <w:r w:rsidR="00C8157B" w:rsidRPr="009C6218">
        <w:rPr>
          <w:rFonts w:eastAsia="Arial" w:cs="Times New Roman"/>
          <w:szCs w:val="22"/>
          <w:lang w:val="fr-CA"/>
        </w:rPr>
        <w:t xml:space="preserve">) </w:t>
      </w:r>
      <w:r w:rsidRPr="009C6218">
        <w:rPr>
          <w:rFonts w:eastAsia="Arial" w:cs="Times New Roman"/>
          <w:szCs w:val="22"/>
          <w:lang w:val="fr-CA"/>
        </w:rPr>
        <w:t xml:space="preserve">a </w:t>
      </w:r>
      <w:r w:rsidR="00CC0E77" w:rsidRPr="009C6218">
        <w:rPr>
          <w:rFonts w:eastAsia="Arial" w:cs="Times New Roman"/>
          <w:szCs w:val="22"/>
          <w:lang w:val="fr-CA"/>
        </w:rPr>
        <w:t xml:space="preserve">obtenu </w:t>
      </w:r>
      <w:r w:rsidRPr="009C6218">
        <w:rPr>
          <w:rFonts w:eastAsia="Arial" w:cs="Times New Roman"/>
          <w:szCs w:val="22"/>
          <w:lang w:val="fr-CA"/>
        </w:rPr>
        <w:t>la qualité d’intervenant</w:t>
      </w:r>
      <w:r w:rsidR="00CC0E77" w:rsidRPr="009C6218">
        <w:rPr>
          <w:rFonts w:eastAsia="Arial" w:cs="Times New Roman"/>
          <w:szCs w:val="22"/>
          <w:lang w:val="fr-CA"/>
        </w:rPr>
        <w:t>e</w:t>
      </w:r>
      <w:r w:rsidRPr="009C6218">
        <w:rPr>
          <w:rFonts w:eastAsia="Arial" w:cs="Times New Roman"/>
          <w:szCs w:val="22"/>
          <w:lang w:val="fr-CA"/>
        </w:rPr>
        <w:t xml:space="preserve"> dans l’instance</w:t>
      </w:r>
      <w:r w:rsidR="00C8157B" w:rsidRPr="009C6218">
        <w:rPr>
          <w:rFonts w:eastAsia="Arial" w:cs="Times New Roman"/>
          <w:szCs w:val="22"/>
          <w:lang w:val="fr-CA"/>
        </w:rPr>
        <w:t>.</w:t>
      </w:r>
    </w:p>
    <w:p w14:paraId="0538B868" w14:textId="77777777" w:rsidR="00B91991" w:rsidRPr="009C6218" w:rsidRDefault="00B91991" w:rsidP="00B91991">
      <w:pPr>
        <w:ind w:left="567"/>
        <w:rPr>
          <w:rFonts w:eastAsia="Arial" w:cs="Times New Roman"/>
          <w:szCs w:val="22"/>
          <w:lang w:val="fr-CA"/>
        </w:rPr>
      </w:pPr>
    </w:p>
    <w:p w14:paraId="0F5F7DFE" w14:textId="09A5AF72" w:rsidR="00F31441" w:rsidRPr="009C6218" w:rsidRDefault="000518FB" w:rsidP="00595495">
      <w:pPr>
        <w:numPr>
          <w:ilvl w:val="0"/>
          <w:numId w:val="1"/>
        </w:numPr>
        <w:spacing w:after="200" w:line="276" w:lineRule="auto"/>
        <w:ind w:left="567" w:hanging="567"/>
        <w:rPr>
          <w:rFonts w:eastAsia="Arial" w:cs="Times New Roman"/>
          <w:szCs w:val="22"/>
          <w:lang w:val="fr-CA"/>
        </w:rPr>
      </w:pPr>
      <w:r w:rsidRPr="009C6218">
        <w:rPr>
          <w:rFonts w:eastAsia="Arial" w:cs="Times New Roman"/>
          <w:szCs w:val="22"/>
          <w:lang w:val="fr-CA"/>
        </w:rPr>
        <w:t>Le 16 octobre</w:t>
      </w:r>
      <w:r w:rsidR="00D76D9C" w:rsidRPr="009C6218">
        <w:rPr>
          <w:rFonts w:eastAsia="Arial" w:cs="Times New Roman"/>
          <w:szCs w:val="22"/>
          <w:lang w:val="fr-CA"/>
        </w:rPr>
        <w:t xml:space="preserve"> 2018</w:t>
      </w:r>
      <w:r w:rsidR="00BE4347" w:rsidRPr="009C6218">
        <w:rPr>
          <w:rFonts w:eastAsia="Arial" w:cs="Times New Roman"/>
          <w:szCs w:val="22"/>
          <w:lang w:val="fr-CA"/>
        </w:rPr>
        <w:t xml:space="preserve">, </w:t>
      </w:r>
      <w:r w:rsidRPr="009C6218">
        <w:rPr>
          <w:rFonts w:eastAsia="Arial" w:cs="Times New Roman"/>
          <w:szCs w:val="22"/>
          <w:lang w:val="fr-CA"/>
        </w:rPr>
        <w:t xml:space="preserve">l’avocat de la juge de paix </w:t>
      </w:r>
      <w:r w:rsidR="00652B4D" w:rsidRPr="009C6218">
        <w:rPr>
          <w:rFonts w:eastAsia="Arial" w:cs="Times New Roman"/>
          <w:szCs w:val="22"/>
          <w:lang w:val="fr-CA"/>
        </w:rPr>
        <w:t>Lauzon</w:t>
      </w:r>
      <w:r w:rsidRPr="009C6218">
        <w:rPr>
          <w:rFonts w:eastAsia="Arial" w:cs="Times New Roman"/>
          <w:szCs w:val="22"/>
          <w:lang w:val="fr-CA"/>
        </w:rPr>
        <w:t xml:space="preserve"> à cette époque, Me </w:t>
      </w:r>
      <w:proofErr w:type="spellStart"/>
      <w:r w:rsidR="00905864" w:rsidRPr="009C6218">
        <w:rPr>
          <w:rFonts w:eastAsia="Arial" w:cs="Times New Roman"/>
          <w:szCs w:val="22"/>
          <w:lang w:val="fr-CA"/>
        </w:rPr>
        <w:t>Dominic</w:t>
      </w:r>
      <w:proofErr w:type="spellEnd"/>
      <w:r w:rsidR="00905864" w:rsidRPr="009C6218">
        <w:rPr>
          <w:rFonts w:eastAsia="Arial" w:cs="Times New Roman"/>
          <w:szCs w:val="22"/>
          <w:lang w:val="fr-CA"/>
        </w:rPr>
        <w:t xml:space="preserve"> Lamb</w:t>
      </w:r>
      <w:r w:rsidR="005A732D" w:rsidRPr="009C6218">
        <w:rPr>
          <w:rFonts w:eastAsia="Arial" w:cs="Times New Roman"/>
          <w:szCs w:val="22"/>
          <w:lang w:val="fr-CA"/>
        </w:rPr>
        <w:t xml:space="preserve">, </w:t>
      </w:r>
      <w:r w:rsidRPr="009C6218">
        <w:rPr>
          <w:rFonts w:eastAsia="Arial" w:cs="Times New Roman"/>
          <w:szCs w:val="22"/>
          <w:lang w:val="fr-CA"/>
        </w:rPr>
        <w:t>a déposé un Avis de question constitutionnelle (l’« AQC »), remettant en question l’applicabilité constitutionnelle des dispositions de la Loi concernant les audiences disciplinaires du Conseil d’évaluation</w:t>
      </w:r>
      <w:r w:rsidR="00BF3C05" w:rsidRPr="009C6218">
        <w:rPr>
          <w:rFonts w:eastAsia="Arial" w:cs="Times New Roman"/>
          <w:szCs w:val="22"/>
          <w:lang w:val="fr-CA"/>
        </w:rPr>
        <w:t>.</w:t>
      </w:r>
    </w:p>
    <w:p w14:paraId="371D9133" w14:textId="76ED5289" w:rsidR="001B10A6" w:rsidRPr="009C6218" w:rsidRDefault="009B1749" w:rsidP="00595495">
      <w:pPr>
        <w:numPr>
          <w:ilvl w:val="0"/>
          <w:numId w:val="1"/>
        </w:numPr>
        <w:spacing w:after="200" w:line="276" w:lineRule="auto"/>
        <w:ind w:left="567" w:hanging="567"/>
        <w:rPr>
          <w:rFonts w:eastAsia="Arial" w:cs="Times New Roman"/>
          <w:lang w:val="fr-CA"/>
        </w:rPr>
      </w:pPr>
      <w:r w:rsidRPr="009C6218">
        <w:rPr>
          <w:rFonts w:eastAsia="Arial" w:cs="Times New Roman"/>
          <w:szCs w:val="22"/>
          <w:lang w:val="fr-CA"/>
        </w:rPr>
        <w:t>La</w:t>
      </w:r>
      <w:r w:rsidR="0035301D" w:rsidRPr="009C6218">
        <w:rPr>
          <w:rFonts w:eastAsia="Arial" w:cs="Times New Roman"/>
          <w:szCs w:val="22"/>
          <w:lang w:val="fr-CA"/>
        </w:rPr>
        <w:t xml:space="preserve"> question </w:t>
      </w:r>
      <w:r w:rsidR="0035301D" w:rsidRPr="009C6218">
        <w:rPr>
          <w:rFonts w:eastAsia="Arial" w:cs="Times New Roman"/>
          <w:lang w:val="fr-CA"/>
        </w:rPr>
        <w:t>constitutionnelle relative à la première allégation (l’« </w:t>
      </w:r>
      <w:r w:rsidR="0007720F">
        <w:rPr>
          <w:rFonts w:eastAsia="Arial" w:cs="Times New Roman"/>
          <w:lang w:val="fr-CA"/>
        </w:rPr>
        <w:t>A</w:t>
      </w:r>
      <w:r w:rsidR="0035301D" w:rsidRPr="009C6218">
        <w:rPr>
          <w:rFonts w:eastAsia="Arial" w:cs="Times New Roman"/>
          <w:lang w:val="fr-CA"/>
        </w:rPr>
        <w:t xml:space="preserve">rticle ») </w:t>
      </w:r>
      <w:r w:rsidRPr="009C6218">
        <w:rPr>
          <w:rFonts w:eastAsia="Arial" w:cs="Times New Roman"/>
          <w:lang w:val="fr-CA"/>
        </w:rPr>
        <w:t>est la suivante :</w:t>
      </w:r>
      <w:r w:rsidR="002E02B3" w:rsidRPr="009C6218">
        <w:rPr>
          <w:rFonts w:eastAsia="Arial" w:cs="Times New Roman"/>
          <w:lang w:val="fr-CA"/>
        </w:rPr>
        <w:t xml:space="preserve"> </w:t>
      </w:r>
      <w:r w:rsidRPr="009C6218">
        <w:rPr>
          <w:color w:val="000000"/>
          <w:shd w:val="clear" w:color="auto" w:fill="FFFFFF"/>
          <w:lang w:val="fr-CA"/>
        </w:rPr>
        <w:t>Si les principes de liberté d’expression que prévoit l’alinéa 2b) de la Charte s’appliquent à la juge de paix</w:t>
      </w:r>
      <w:r w:rsidRPr="009C6218">
        <w:rPr>
          <w:rFonts w:eastAsia="Arial" w:cs="Times New Roman"/>
          <w:lang w:val="fr-CA"/>
        </w:rPr>
        <w:t xml:space="preserve"> </w:t>
      </w:r>
      <w:r w:rsidR="00FC0FF8" w:rsidRPr="009C6218">
        <w:rPr>
          <w:rFonts w:eastAsia="Arial" w:cs="Times New Roman"/>
          <w:lang w:val="fr-CA"/>
        </w:rPr>
        <w:t xml:space="preserve">Lauzon </w:t>
      </w:r>
      <w:r w:rsidRPr="009C6218">
        <w:rPr>
          <w:color w:val="000000"/>
          <w:shd w:val="clear" w:color="auto" w:fill="FFFFFF"/>
          <w:lang w:val="fr-CA"/>
        </w:rPr>
        <w:t xml:space="preserve">lorsqu’elle fait des déclarations publiques sur des questions relevant de l’administration de la justice; si c’est le cas, les sanctions du Conseil d’évaluation violeraient-elles cette liberté et cette violation constituerait-elle une limite raisonnable prescrite par la loi, </w:t>
      </w:r>
      <w:r w:rsidR="0007720F">
        <w:rPr>
          <w:color w:val="000000"/>
          <w:shd w:val="clear" w:color="auto" w:fill="FFFFFF"/>
          <w:lang w:val="fr-CA"/>
        </w:rPr>
        <w:t xml:space="preserve">raisonnablement </w:t>
      </w:r>
      <w:r w:rsidRPr="009C6218">
        <w:rPr>
          <w:color w:val="000000"/>
          <w:shd w:val="clear" w:color="auto" w:fill="FFFFFF"/>
          <w:lang w:val="fr-CA"/>
        </w:rPr>
        <w:t>justifiable dans une société libre et démocratique?</w:t>
      </w:r>
    </w:p>
    <w:p w14:paraId="44DC6AD5" w14:textId="09853C71" w:rsidR="008165C4" w:rsidRPr="009C6218" w:rsidRDefault="009B1749" w:rsidP="00595495">
      <w:pPr>
        <w:numPr>
          <w:ilvl w:val="0"/>
          <w:numId w:val="1"/>
        </w:numPr>
        <w:spacing w:after="200" w:line="276" w:lineRule="auto"/>
        <w:ind w:left="567" w:hanging="567"/>
        <w:rPr>
          <w:rFonts w:eastAsia="Arial" w:cs="Times New Roman"/>
          <w:szCs w:val="22"/>
          <w:lang w:val="fr-CA"/>
        </w:rPr>
      </w:pPr>
      <w:r w:rsidRPr="009C6218">
        <w:rPr>
          <w:rFonts w:eastAsia="Arial" w:cs="Times New Roman"/>
          <w:szCs w:val="22"/>
          <w:lang w:val="fr-CA"/>
        </w:rPr>
        <w:t>La deuxième question relative à la deuxième allégation (l’« audience de mise en liberté sous caution d’AJN ») est posée d</w:t>
      </w:r>
      <w:r w:rsidR="006D524A">
        <w:rPr>
          <w:rFonts w:eastAsia="Arial" w:cs="Times New Roman"/>
          <w:szCs w:val="22"/>
          <w:lang w:val="fr-CA"/>
        </w:rPr>
        <w:t>e la</w:t>
      </w:r>
      <w:r w:rsidRPr="009C6218">
        <w:rPr>
          <w:rFonts w:eastAsia="Arial" w:cs="Times New Roman"/>
          <w:szCs w:val="22"/>
          <w:lang w:val="fr-CA"/>
        </w:rPr>
        <w:t xml:space="preserve"> perspective de l’ingérence par les procureurs généraux (de l’Ontario et du Canada), par l’intermédiaire du processus de plaintes du Conseil d’évaluation, dans l’indépendance judiciaire de la juge de paix </w:t>
      </w:r>
      <w:r w:rsidR="0092676C" w:rsidRPr="009C6218">
        <w:rPr>
          <w:rFonts w:eastAsia="Arial" w:cs="Times New Roman"/>
          <w:szCs w:val="22"/>
          <w:lang w:val="fr-CA"/>
        </w:rPr>
        <w:t>Lauzon</w:t>
      </w:r>
      <w:r w:rsidRPr="009C6218">
        <w:rPr>
          <w:rFonts w:eastAsia="Arial" w:cs="Times New Roman"/>
          <w:szCs w:val="22"/>
          <w:lang w:val="fr-CA"/>
        </w:rPr>
        <w:t xml:space="preserve"> de conduire ses dossiers et de prendre les décisions </w:t>
      </w:r>
      <w:r w:rsidR="006D524A">
        <w:rPr>
          <w:rFonts w:eastAsia="Arial" w:cs="Times New Roman"/>
          <w:szCs w:val="22"/>
          <w:lang w:val="fr-CA"/>
        </w:rPr>
        <w:t xml:space="preserve">comme </w:t>
      </w:r>
      <w:r w:rsidRPr="009C6218">
        <w:rPr>
          <w:rFonts w:eastAsia="Arial" w:cs="Times New Roman"/>
          <w:szCs w:val="22"/>
          <w:lang w:val="fr-CA"/>
        </w:rPr>
        <w:t xml:space="preserve">elle </w:t>
      </w:r>
      <w:r w:rsidR="006D524A">
        <w:rPr>
          <w:rFonts w:eastAsia="Arial" w:cs="Times New Roman"/>
          <w:szCs w:val="22"/>
          <w:lang w:val="fr-CA"/>
        </w:rPr>
        <w:t>l’</w:t>
      </w:r>
      <w:r w:rsidRPr="009C6218">
        <w:rPr>
          <w:rFonts w:eastAsia="Arial" w:cs="Times New Roman"/>
          <w:szCs w:val="22"/>
          <w:lang w:val="fr-CA"/>
        </w:rPr>
        <w:t>estime indiqué</w:t>
      </w:r>
      <w:r w:rsidR="00EB6127" w:rsidRPr="009C6218">
        <w:rPr>
          <w:rFonts w:eastAsia="Arial" w:cs="Times New Roman"/>
          <w:szCs w:val="22"/>
          <w:lang w:val="fr-CA"/>
        </w:rPr>
        <w:t>.</w:t>
      </w:r>
    </w:p>
    <w:p w14:paraId="49A06714" w14:textId="6A6C4C4D" w:rsidR="00E542D3" w:rsidRPr="009C6218" w:rsidRDefault="00920535" w:rsidP="00595495">
      <w:pPr>
        <w:numPr>
          <w:ilvl w:val="0"/>
          <w:numId w:val="1"/>
        </w:numPr>
        <w:spacing w:after="200" w:line="276" w:lineRule="auto"/>
        <w:ind w:left="567" w:hanging="567"/>
        <w:rPr>
          <w:rFonts w:eastAsia="Arial" w:cs="Times New Roman"/>
          <w:lang w:val="fr-CA"/>
        </w:rPr>
      </w:pPr>
      <w:r w:rsidRPr="009C6218">
        <w:rPr>
          <w:rFonts w:eastAsia="Arial" w:cs="Times New Roman"/>
          <w:szCs w:val="22"/>
          <w:lang w:val="fr-CA"/>
        </w:rPr>
        <w:t xml:space="preserve">L’AQC </w:t>
      </w:r>
      <w:r w:rsidRPr="009C6218">
        <w:rPr>
          <w:rFonts w:eastAsia="Arial" w:cs="Times New Roman"/>
          <w:lang w:val="fr-CA"/>
        </w:rPr>
        <w:t xml:space="preserve">soulève aussi la question suivante </w:t>
      </w:r>
      <w:r w:rsidR="002E612F" w:rsidRPr="009C6218">
        <w:rPr>
          <w:rFonts w:eastAsia="Arial" w:cs="Times New Roman"/>
          <w:lang w:val="fr-CA"/>
        </w:rPr>
        <w:t xml:space="preserve">: </w:t>
      </w:r>
      <w:r w:rsidRPr="009C6218">
        <w:rPr>
          <w:color w:val="000000"/>
          <w:shd w:val="clear" w:color="auto" w:fill="FFFFFF"/>
          <w:lang w:val="fr-CA"/>
        </w:rPr>
        <w:t>Si, et dans quelle mesure, la juge de paix devrait être protégée contre l’influence externe du procureur général de l’Ontario et/ou du procureur général du Canada, qui pourrait être considérée comme minant sa capacité de rendre des décisions impartiales</w:t>
      </w:r>
      <w:r w:rsidR="00653807" w:rsidRPr="009C6218">
        <w:rPr>
          <w:rFonts w:eastAsia="Arial" w:cs="Times New Roman"/>
          <w:lang w:val="fr-CA"/>
        </w:rPr>
        <w:t>.</w:t>
      </w:r>
    </w:p>
    <w:p w14:paraId="4705B546" w14:textId="34A0F951" w:rsidR="00E542D3" w:rsidRPr="009C6218" w:rsidRDefault="00920535" w:rsidP="00BD7A6C">
      <w:pPr>
        <w:numPr>
          <w:ilvl w:val="0"/>
          <w:numId w:val="1"/>
        </w:numPr>
        <w:spacing w:after="200" w:line="276" w:lineRule="auto"/>
        <w:ind w:left="567" w:hanging="567"/>
        <w:rPr>
          <w:rFonts w:eastAsia="Arial" w:cs="Times New Roman"/>
          <w:szCs w:val="22"/>
          <w:lang w:val="fr-CA"/>
        </w:rPr>
      </w:pPr>
      <w:r w:rsidRPr="009C6218">
        <w:rPr>
          <w:rFonts w:eastAsia="Arial" w:cs="Times New Roman"/>
          <w:szCs w:val="22"/>
          <w:lang w:val="fr-CA"/>
        </w:rPr>
        <w:t>Au cours de l’audience</w:t>
      </w:r>
      <w:r w:rsidR="00CB031E" w:rsidRPr="009C6218">
        <w:rPr>
          <w:rFonts w:eastAsia="Arial" w:cs="Times New Roman"/>
          <w:szCs w:val="22"/>
          <w:lang w:val="fr-CA"/>
        </w:rPr>
        <w:t xml:space="preserve">, </w:t>
      </w:r>
      <w:r w:rsidRPr="009C6218">
        <w:rPr>
          <w:rFonts w:eastAsia="Arial" w:cs="Times New Roman"/>
          <w:szCs w:val="22"/>
          <w:lang w:val="fr-CA"/>
        </w:rPr>
        <w:t xml:space="preserve">l’avocat de la juge de paix a déclaré que la juge de paix ne cherchait plus à obtenir des déclarations d’invalidité constitutionnelle, comme elle </w:t>
      </w:r>
      <w:r w:rsidRPr="009C6218">
        <w:rPr>
          <w:rFonts w:eastAsia="Arial" w:cs="Times New Roman"/>
          <w:szCs w:val="22"/>
          <w:lang w:val="fr-CA"/>
        </w:rPr>
        <w:lastRenderedPageBreak/>
        <w:t>le demandait dans son mémoire initial</w:t>
      </w:r>
      <w:r w:rsidR="00CB031E" w:rsidRPr="009C6218">
        <w:rPr>
          <w:rStyle w:val="FootnoteReference"/>
          <w:rFonts w:eastAsia="Arial" w:cs="Times New Roman"/>
          <w:szCs w:val="22"/>
          <w:lang w:val="fr-CA"/>
        </w:rPr>
        <w:footnoteReference w:id="2"/>
      </w:r>
      <w:r w:rsidRPr="009C6218">
        <w:rPr>
          <w:rFonts w:eastAsia="Arial" w:cs="Times New Roman"/>
          <w:szCs w:val="22"/>
          <w:lang w:val="fr-CA"/>
        </w:rPr>
        <w:t>. La réparation demandée était l’arrêt des procédures sous le régime du paragraphe 24 (1) de la Charte ou un rejet des allégations</w:t>
      </w:r>
      <w:r w:rsidR="00E542D3" w:rsidRPr="009C6218">
        <w:rPr>
          <w:rFonts w:eastAsia="Arial" w:cs="Times New Roman"/>
          <w:szCs w:val="22"/>
          <w:lang w:val="fr-CA"/>
        </w:rPr>
        <w:t>.</w:t>
      </w:r>
      <w:r w:rsidR="00BA4D72" w:rsidRPr="009C6218">
        <w:rPr>
          <w:rFonts w:eastAsia="Arial" w:cs="Times New Roman"/>
          <w:szCs w:val="22"/>
          <w:lang w:val="fr-CA"/>
        </w:rPr>
        <w:t xml:space="preserve"> </w:t>
      </w:r>
    </w:p>
    <w:p w14:paraId="5C751FFD" w14:textId="4FFEE9B4" w:rsidR="00F76F2C" w:rsidRPr="009C6218" w:rsidRDefault="00CC0E77" w:rsidP="00595495">
      <w:pPr>
        <w:numPr>
          <w:ilvl w:val="0"/>
          <w:numId w:val="1"/>
        </w:numPr>
        <w:spacing w:after="200" w:line="276" w:lineRule="auto"/>
        <w:ind w:left="567" w:hanging="567"/>
        <w:rPr>
          <w:rFonts w:eastAsia="Arial" w:cs="Times New Roman"/>
          <w:szCs w:val="22"/>
          <w:lang w:val="fr-CA"/>
        </w:rPr>
      </w:pPr>
      <w:r w:rsidRPr="009C6218">
        <w:rPr>
          <w:lang w:val="fr-CA"/>
        </w:rPr>
        <w:t xml:space="preserve">Le 12 décembre </w:t>
      </w:r>
      <w:r w:rsidR="00F76F2C" w:rsidRPr="009C6218">
        <w:rPr>
          <w:lang w:val="fr-CA"/>
        </w:rPr>
        <w:t>2018,</w:t>
      </w:r>
      <w:r w:rsidR="00F76F2C" w:rsidRPr="009C6218">
        <w:rPr>
          <w:rFonts w:eastAsia="Arial" w:cs="Times New Roman"/>
          <w:szCs w:val="22"/>
          <w:lang w:val="fr-CA"/>
        </w:rPr>
        <w:t xml:space="preserve"> </w:t>
      </w:r>
      <w:r w:rsidRPr="009C6218">
        <w:rPr>
          <w:rFonts w:eastAsia="Arial" w:cs="Times New Roman"/>
          <w:szCs w:val="22"/>
          <w:lang w:val="fr-CA"/>
        </w:rPr>
        <w:t>la procureure générale de l’Ontario a obtenu la qualité d’intervenante dans l’instance relative à l’AQC et, en particulier, en ce qui concerne la capacité d’un procureur général de déposer une plainte contre un juge de paix qui siège</w:t>
      </w:r>
      <w:r w:rsidR="009504E8" w:rsidRPr="009C6218">
        <w:rPr>
          <w:lang w:val="fr-CA"/>
        </w:rPr>
        <w:t>.</w:t>
      </w:r>
    </w:p>
    <w:p w14:paraId="4F358570" w14:textId="1E897411" w:rsidR="009504E8" w:rsidRPr="009C6218" w:rsidRDefault="00705841" w:rsidP="00595495">
      <w:pPr>
        <w:numPr>
          <w:ilvl w:val="0"/>
          <w:numId w:val="1"/>
        </w:numPr>
        <w:spacing w:after="200" w:line="276" w:lineRule="auto"/>
        <w:ind w:left="567" w:hanging="567"/>
        <w:rPr>
          <w:rFonts w:eastAsia="Arial" w:cs="Times New Roman"/>
          <w:szCs w:val="22"/>
          <w:lang w:val="fr-CA"/>
        </w:rPr>
      </w:pPr>
      <w:r w:rsidRPr="009C6218">
        <w:rPr>
          <w:rFonts w:eastAsia="Arial" w:cs="Times New Roman"/>
          <w:szCs w:val="22"/>
          <w:lang w:val="fr-CA"/>
        </w:rPr>
        <w:t xml:space="preserve">La procureure générale de l’Ontario a présenté des observations sur les questions </w:t>
      </w:r>
      <w:r w:rsidR="00AD56F1">
        <w:rPr>
          <w:rFonts w:eastAsia="Arial" w:cs="Times New Roman"/>
          <w:szCs w:val="22"/>
          <w:lang w:val="fr-CA"/>
        </w:rPr>
        <w:t xml:space="preserve">connexes </w:t>
      </w:r>
      <w:r w:rsidRPr="009C6218">
        <w:rPr>
          <w:rFonts w:eastAsia="Arial" w:cs="Times New Roman"/>
          <w:szCs w:val="22"/>
          <w:lang w:val="fr-CA"/>
        </w:rPr>
        <w:t xml:space="preserve">relatives au rôle du procureur général de l’Ontario dans la surveillance de l’administration de la justice dans la province et dans le dépôt d’une plainte devant le Conseil d’évaluation, ainsi que sur l’indépendance judiciaire. La procureure générale de l’Ontario n’a pas présenté d’observations au sujet de la question fondée sur l’alinéa </w:t>
      </w:r>
      <w:r w:rsidR="009504E8" w:rsidRPr="009C6218">
        <w:rPr>
          <w:rFonts w:eastAsia="Arial" w:cs="Times New Roman"/>
          <w:szCs w:val="22"/>
          <w:lang w:val="fr-CA"/>
        </w:rPr>
        <w:t>2b)</w:t>
      </w:r>
      <w:r w:rsidRPr="009C6218">
        <w:rPr>
          <w:rFonts w:eastAsia="Arial" w:cs="Times New Roman"/>
          <w:szCs w:val="22"/>
          <w:lang w:val="fr-CA"/>
        </w:rPr>
        <w:t xml:space="preserve"> de la Charte</w:t>
      </w:r>
      <w:r w:rsidR="009504E8" w:rsidRPr="009C6218">
        <w:rPr>
          <w:rFonts w:eastAsia="Arial" w:cs="Times New Roman"/>
          <w:szCs w:val="22"/>
          <w:lang w:val="fr-CA"/>
        </w:rPr>
        <w:t>.</w:t>
      </w:r>
      <w:r w:rsidRPr="009C6218">
        <w:rPr>
          <w:rFonts w:eastAsia="Arial" w:cs="Times New Roman"/>
          <w:szCs w:val="22"/>
          <w:lang w:val="fr-CA"/>
        </w:rPr>
        <w:t xml:space="preserve"> </w:t>
      </w:r>
    </w:p>
    <w:p w14:paraId="7D62023F" w14:textId="6C52760D" w:rsidR="009504E8" w:rsidRPr="009C6218" w:rsidRDefault="00705841" w:rsidP="00595495">
      <w:pPr>
        <w:numPr>
          <w:ilvl w:val="0"/>
          <w:numId w:val="1"/>
        </w:numPr>
        <w:spacing w:after="200" w:line="276" w:lineRule="auto"/>
        <w:ind w:left="567" w:hanging="567"/>
        <w:rPr>
          <w:rFonts w:eastAsia="Arial" w:cs="Times New Roman"/>
          <w:szCs w:val="22"/>
          <w:lang w:val="fr-CA"/>
        </w:rPr>
      </w:pPr>
      <w:r w:rsidRPr="009C6218">
        <w:rPr>
          <w:rFonts w:eastAsia="Arial" w:cs="Times New Roman"/>
          <w:szCs w:val="22"/>
          <w:lang w:val="fr-CA"/>
        </w:rPr>
        <w:t>Un historique plus détaillé de l’instance figure à l’Annexe A jointe à la présente décision</w:t>
      </w:r>
      <w:r w:rsidR="009504E8" w:rsidRPr="009C6218">
        <w:rPr>
          <w:rFonts w:eastAsia="Arial" w:cs="Times New Roman"/>
          <w:szCs w:val="22"/>
          <w:lang w:val="fr-CA"/>
        </w:rPr>
        <w:t>.</w:t>
      </w:r>
    </w:p>
    <w:p w14:paraId="732E7D7B" w14:textId="1A366946" w:rsidR="00B9659C" w:rsidRPr="009C6218" w:rsidRDefault="003033AE" w:rsidP="00D74CBA">
      <w:pPr>
        <w:pStyle w:val="Heading2"/>
        <w:rPr>
          <w:lang w:val="fr-CA"/>
        </w:rPr>
      </w:pPr>
      <w:bookmarkStart w:id="5" w:name="_Toc42946521"/>
      <w:r w:rsidRPr="009C6218">
        <w:rPr>
          <w:lang w:val="fr-CA"/>
        </w:rPr>
        <w:t xml:space="preserve">Renseignements </w:t>
      </w:r>
      <w:r w:rsidR="00AD56F1">
        <w:rPr>
          <w:lang w:val="fr-CA"/>
        </w:rPr>
        <w:t xml:space="preserve">généraux </w:t>
      </w:r>
      <w:r w:rsidRPr="009C6218">
        <w:rPr>
          <w:lang w:val="fr-CA"/>
        </w:rPr>
        <w:t xml:space="preserve">sur la juge de paix </w:t>
      </w:r>
      <w:r w:rsidR="00B9659C" w:rsidRPr="009C6218">
        <w:rPr>
          <w:lang w:val="fr-CA"/>
        </w:rPr>
        <w:t>Lauzon</w:t>
      </w:r>
      <w:bookmarkEnd w:id="5"/>
    </w:p>
    <w:p w14:paraId="557958AB" w14:textId="348BCF9C" w:rsidR="00B9659C" w:rsidRPr="009C6218" w:rsidRDefault="00F716C6" w:rsidP="004749BC">
      <w:pPr>
        <w:numPr>
          <w:ilvl w:val="0"/>
          <w:numId w:val="1"/>
        </w:numPr>
        <w:spacing w:after="200" w:line="276" w:lineRule="auto"/>
        <w:ind w:left="567" w:hanging="567"/>
        <w:rPr>
          <w:rFonts w:eastAsia="Arial" w:cs="Times New Roman"/>
          <w:szCs w:val="22"/>
          <w:lang w:val="fr-CA"/>
        </w:rPr>
      </w:pPr>
      <w:r w:rsidRPr="009C6218">
        <w:rPr>
          <w:rFonts w:eastAsia="Arial" w:cs="Times New Roman"/>
          <w:szCs w:val="22"/>
          <w:lang w:val="fr-CA"/>
        </w:rPr>
        <w:t xml:space="preserve">La juge de paix </w:t>
      </w:r>
      <w:r w:rsidR="00B9659C" w:rsidRPr="009C6218">
        <w:rPr>
          <w:rFonts w:eastAsia="Arial" w:cs="Times New Roman"/>
          <w:szCs w:val="22"/>
          <w:lang w:val="fr-CA"/>
        </w:rPr>
        <w:t xml:space="preserve">Lauzon </w:t>
      </w:r>
      <w:r w:rsidRPr="009C6218">
        <w:rPr>
          <w:rFonts w:eastAsia="Arial" w:cs="Times New Roman"/>
          <w:szCs w:val="22"/>
          <w:lang w:val="fr-CA"/>
        </w:rPr>
        <w:t xml:space="preserve">a été nommée à la Cour de justice de l’Ontario en mai </w:t>
      </w:r>
      <w:r w:rsidR="00B9659C" w:rsidRPr="009C6218">
        <w:rPr>
          <w:rFonts w:eastAsia="Arial" w:cs="Times New Roman"/>
          <w:szCs w:val="22"/>
          <w:lang w:val="fr-CA"/>
        </w:rPr>
        <w:t xml:space="preserve">2011. </w:t>
      </w:r>
      <w:bookmarkStart w:id="6" w:name="_Hlk39743437"/>
      <w:r w:rsidRPr="009C6218">
        <w:rPr>
          <w:rFonts w:eastAsia="Arial" w:cs="Times New Roman"/>
          <w:szCs w:val="22"/>
          <w:lang w:val="fr-CA"/>
        </w:rPr>
        <w:t xml:space="preserve">Elle préside dans la région de l’Est et au moment de la conduite présumée, elle présidait principalement à </w:t>
      </w:r>
      <w:r w:rsidR="00B9659C" w:rsidRPr="009C6218">
        <w:rPr>
          <w:rFonts w:eastAsia="Arial" w:cs="Times New Roman"/>
          <w:szCs w:val="22"/>
          <w:lang w:val="fr-CA"/>
        </w:rPr>
        <w:t>Ottawa.</w:t>
      </w:r>
    </w:p>
    <w:bookmarkEnd w:id="6"/>
    <w:p w14:paraId="2B81B650" w14:textId="36340C36" w:rsidR="002012B7" w:rsidRPr="009C6218" w:rsidRDefault="00F716C6" w:rsidP="004749BC">
      <w:pPr>
        <w:numPr>
          <w:ilvl w:val="0"/>
          <w:numId w:val="1"/>
        </w:numPr>
        <w:spacing w:after="200" w:line="276" w:lineRule="auto"/>
        <w:ind w:left="567" w:hanging="567"/>
        <w:rPr>
          <w:rFonts w:eastAsia="Arial" w:cs="Times New Roman"/>
          <w:szCs w:val="22"/>
          <w:lang w:val="fr-CA"/>
        </w:rPr>
      </w:pPr>
      <w:r w:rsidRPr="009C6218">
        <w:rPr>
          <w:rFonts w:eastAsia="Arial" w:cs="Times New Roman"/>
          <w:szCs w:val="22"/>
          <w:lang w:val="fr-CA"/>
        </w:rPr>
        <w:t xml:space="preserve">La juge de paix est née à </w:t>
      </w:r>
      <w:proofErr w:type="spellStart"/>
      <w:r w:rsidR="00BF1F9D" w:rsidRPr="009C6218">
        <w:rPr>
          <w:rFonts w:eastAsia="Arial" w:cs="Times New Roman"/>
          <w:szCs w:val="22"/>
          <w:lang w:val="fr-CA"/>
        </w:rPr>
        <w:t>Penetanguishene</w:t>
      </w:r>
      <w:proofErr w:type="spellEnd"/>
      <w:r w:rsidRPr="009C6218">
        <w:rPr>
          <w:rFonts w:eastAsia="Arial" w:cs="Times New Roman"/>
          <w:szCs w:val="22"/>
          <w:lang w:val="fr-CA"/>
        </w:rPr>
        <w:t xml:space="preserve"> (</w:t>
      </w:r>
      <w:r w:rsidR="002012B7" w:rsidRPr="009C6218">
        <w:rPr>
          <w:rFonts w:eastAsia="Arial" w:cs="Times New Roman"/>
          <w:szCs w:val="22"/>
          <w:lang w:val="fr-CA"/>
        </w:rPr>
        <w:t>Ontario</w:t>
      </w:r>
      <w:r w:rsidRPr="009C6218">
        <w:rPr>
          <w:rFonts w:eastAsia="Arial" w:cs="Times New Roman"/>
          <w:szCs w:val="22"/>
          <w:lang w:val="fr-CA"/>
        </w:rPr>
        <w:t>)</w:t>
      </w:r>
      <w:r w:rsidR="002012B7" w:rsidRPr="009C6218">
        <w:rPr>
          <w:rFonts w:eastAsia="Arial" w:cs="Times New Roman"/>
          <w:szCs w:val="22"/>
          <w:lang w:val="fr-CA"/>
        </w:rPr>
        <w:t xml:space="preserve">. </w:t>
      </w:r>
      <w:r w:rsidRPr="009C6218">
        <w:rPr>
          <w:rFonts w:eastAsia="Arial" w:cs="Times New Roman"/>
          <w:szCs w:val="22"/>
          <w:lang w:val="fr-CA"/>
        </w:rPr>
        <w:t>Sa langue maternelle est le français</w:t>
      </w:r>
      <w:r w:rsidR="002012B7" w:rsidRPr="009C6218">
        <w:rPr>
          <w:rFonts w:eastAsia="Arial" w:cs="Times New Roman"/>
          <w:szCs w:val="22"/>
          <w:lang w:val="fr-CA"/>
        </w:rPr>
        <w:t>.</w:t>
      </w:r>
    </w:p>
    <w:p w14:paraId="604FFB93" w14:textId="731A68FF" w:rsidR="00FC0B02" w:rsidRPr="009C6218" w:rsidRDefault="00F716C6" w:rsidP="00F716C6">
      <w:pPr>
        <w:numPr>
          <w:ilvl w:val="0"/>
          <w:numId w:val="1"/>
        </w:numPr>
        <w:spacing w:after="200" w:line="276" w:lineRule="auto"/>
        <w:ind w:left="567" w:hanging="567"/>
        <w:rPr>
          <w:rFonts w:eastAsia="Arial" w:cs="Times New Roman"/>
          <w:szCs w:val="22"/>
          <w:lang w:val="fr-CA"/>
        </w:rPr>
      </w:pPr>
      <w:r w:rsidRPr="009C6218">
        <w:rPr>
          <w:rFonts w:eastAsia="Arial" w:cs="Times New Roman"/>
          <w:szCs w:val="22"/>
          <w:lang w:val="fr-CA"/>
        </w:rPr>
        <w:t xml:space="preserve">La juge de paix a obtenu un baccalauréat ès sciences en sciences animales de l’Université de Guelph en </w:t>
      </w:r>
      <w:r w:rsidR="00FC0B02" w:rsidRPr="009C6218">
        <w:rPr>
          <w:rFonts w:eastAsia="Arial" w:cs="Times New Roman"/>
          <w:szCs w:val="22"/>
          <w:lang w:val="fr-CA"/>
        </w:rPr>
        <w:t xml:space="preserve">1979. </w:t>
      </w:r>
      <w:r w:rsidRPr="009C6218">
        <w:rPr>
          <w:rFonts w:eastAsia="Arial" w:cs="Times New Roman"/>
          <w:szCs w:val="22"/>
          <w:lang w:val="fr-CA"/>
        </w:rPr>
        <w:t>Elle est entrée dans l'Aviation royale du Canada en</w:t>
      </w:r>
      <w:r w:rsidR="00FC0B02" w:rsidRPr="009C6218">
        <w:rPr>
          <w:rFonts w:eastAsia="Arial" w:cs="Times New Roman"/>
          <w:szCs w:val="22"/>
          <w:lang w:val="fr-CA"/>
        </w:rPr>
        <w:t xml:space="preserve"> 1988 </w:t>
      </w:r>
      <w:r w:rsidRPr="009C6218">
        <w:rPr>
          <w:rFonts w:eastAsia="Arial" w:cs="Times New Roman"/>
          <w:szCs w:val="22"/>
          <w:lang w:val="fr-CA"/>
        </w:rPr>
        <w:t xml:space="preserve">et, en </w:t>
      </w:r>
      <w:r w:rsidR="00FC0B02" w:rsidRPr="009C6218">
        <w:rPr>
          <w:rFonts w:eastAsia="Arial" w:cs="Times New Roman"/>
          <w:szCs w:val="22"/>
          <w:lang w:val="fr-CA"/>
        </w:rPr>
        <w:t>1990</w:t>
      </w:r>
      <w:r w:rsidRPr="009C6218">
        <w:rPr>
          <w:rFonts w:eastAsia="Arial" w:cs="Times New Roman"/>
          <w:szCs w:val="22"/>
          <w:lang w:val="fr-CA"/>
        </w:rPr>
        <w:t>, elle est devenue navigatrice aérienne</w:t>
      </w:r>
      <w:r w:rsidR="00FC0B02" w:rsidRPr="009C6218">
        <w:rPr>
          <w:rFonts w:eastAsia="Arial" w:cs="Times New Roman"/>
          <w:szCs w:val="22"/>
          <w:lang w:val="fr-CA"/>
        </w:rPr>
        <w:t>.</w:t>
      </w:r>
    </w:p>
    <w:p w14:paraId="6E40A743" w14:textId="600E3E92" w:rsidR="00B9659C" w:rsidRPr="009C6218" w:rsidRDefault="00357FA0" w:rsidP="00F716C6">
      <w:pPr>
        <w:numPr>
          <w:ilvl w:val="0"/>
          <w:numId w:val="1"/>
        </w:numPr>
        <w:spacing w:after="200" w:line="276" w:lineRule="auto"/>
        <w:ind w:left="567" w:hanging="567"/>
        <w:rPr>
          <w:rFonts w:eastAsia="Arial" w:cs="Times New Roman"/>
          <w:szCs w:val="22"/>
          <w:lang w:val="fr-CA"/>
        </w:rPr>
      </w:pPr>
      <w:r w:rsidRPr="009C6218">
        <w:rPr>
          <w:rFonts w:eastAsia="Arial" w:cs="Times New Roman"/>
          <w:szCs w:val="22"/>
          <w:lang w:val="fr-CA"/>
        </w:rPr>
        <w:t xml:space="preserve">Elle a obtenu son diplôme du programme de </w:t>
      </w:r>
      <w:proofErr w:type="spellStart"/>
      <w:r w:rsidRPr="009C6218">
        <w:rPr>
          <w:rFonts w:eastAsia="Arial" w:cs="Times New Roman"/>
          <w:i/>
          <w:szCs w:val="22"/>
          <w:lang w:val="fr-CA"/>
        </w:rPr>
        <w:t>common</w:t>
      </w:r>
      <w:proofErr w:type="spellEnd"/>
      <w:r w:rsidRPr="009C6218">
        <w:rPr>
          <w:rFonts w:eastAsia="Arial" w:cs="Times New Roman"/>
          <w:i/>
          <w:szCs w:val="22"/>
          <w:lang w:val="fr-CA"/>
        </w:rPr>
        <w:t xml:space="preserve"> </w:t>
      </w:r>
      <w:proofErr w:type="spellStart"/>
      <w:r w:rsidRPr="009C6218">
        <w:rPr>
          <w:rFonts w:eastAsia="Arial" w:cs="Times New Roman"/>
          <w:i/>
          <w:szCs w:val="22"/>
          <w:lang w:val="fr-CA"/>
        </w:rPr>
        <w:t>law</w:t>
      </w:r>
      <w:proofErr w:type="spellEnd"/>
      <w:r w:rsidRPr="009C6218">
        <w:rPr>
          <w:rFonts w:eastAsia="Arial" w:cs="Times New Roman"/>
          <w:szCs w:val="22"/>
          <w:lang w:val="fr-CA"/>
        </w:rPr>
        <w:t xml:space="preserve"> en français de l’Université d’Ottawa, en 2007, et a été admise au Barreau en </w:t>
      </w:r>
      <w:r w:rsidR="00B9659C" w:rsidRPr="009C6218">
        <w:rPr>
          <w:rFonts w:eastAsia="Arial" w:cs="Times New Roman"/>
          <w:szCs w:val="22"/>
          <w:lang w:val="fr-CA"/>
        </w:rPr>
        <w:t>2008.</w:t>
      </w:r>
    </w:p>
    <w:p w14:paraId="7CE787E8" w14:textId="50936B99" w:rsidR="009A2842" w:rsidRPr="009C6218" w:rsidRDefault="00357FA0" w:rsidP="00357FA0">
      <w:pPr>
        <w:numPr>
          <w:ilvl w:val="0"/>
          <w:numId w:val="1"/>
        </w:numPr>
        <w:spacing w:after="200" w:line="276" w:lineRule="auto"/>
        <w:ind w:left="567" w:hanging="567"/>
        <w:rPr>
          <w:rFonts w:eastAsia="Arial" w:cs="Times New Roman"/>
          <w:szCs w:val="22"/>
          <w:lang w:val="fr-CA"/>
        </w:rPr>
      </w:pPr>
      <w:r w:rsidRPr="009C6218">
        <w:rPr>
          <w:rFonts w:eastAsia="Arial" w:cs="Times New Roman"/>
          <w:szCs w:val="22"/>
          <w:lang w:val="fr-CA"/>
        </w:rPr>
        <w:t>Après son admission au Barreau, elle a travaillé à la Cour canadienne de l’impôt à titre de chercheuse, puis à titre d’adjointe exécutive juridique intérimaire du juge en chef de la Cour</w:t>
      </w:r>
      <w:r w:rsidR="009A2842" w:rsidRPr="009C6218">
        <w:rPr>
          <w:rFonts w:eastAsia="Arial" w:cs="Times New Roman"/>
          <w:szCs w:val="22"/>
          <w:lang w:val="fr-CA"/>
        </w:rPr>
        <w:t>.</w:t>
      </w:r>
    </w:p>
    <w:p w14:paraId="034C45D7" w14:textId="6B5F5476" w:rsidR="009A2842" w:rsidRPr="009C6218" w:rsidRDefault="00357FA0" w:rsidP="004749BC">
      <w:pPr>
        <w:numPr>
          <w:ilvl w:val="0"/>
          <w:numId w:val="1"/>
        </w:numPr>
        <w:spacing w:after="200" w:line="276" w:lineRule="auto"/>
        <w:ind w:left="567" w:hanging="567"/>
        <w:rPr>
          <w:rFonts w:eastAsia="Arial" w:cs="Times New Roman"/>
          <w:szCs w:val="22"/>
          <w:lang w:val="fr-CA"/>
        </w:rPr>
      </w:pPr>
      <w:r w:rsidRPr="009C6218">
        <w:rPr>
          <w:rFonts w:eastAsia="Arial" w:cs="Times New Roman"/>
          <w:szCs w:val="22"/>
          <w:lang w:val="fr-CA"/>
        </w:rPr>
        <w:t>E</w:t>
      </w:r>
      <w:r w:rsidR="009A2842" w:rsidRPr="009C6218">
        <w:rPr>
          <w:rFonts w:eastAsia="Arial" w:cs="Times New Roman"/>
          <w:szCs w:val="22"/>
          <w:lang w:val="fr-CA"/>
        </w:rPr>
        <w:t xml:space="preserve">n 2014, </w:t>
      </w:r>
      <w:r w:rsidRPr="009C6218">
        <w:rPr>
          <w:rFonts w:eastAsia="Arial" w:cs="Times New Roman"/>
          <w:szCs w:val="22"/>
          <w:lang w:val="fr-CA"/>
        </w:rPr>
        <w:t>la juge de paix a décroché un</w:t>
      </w:r>
      <w:r w:rsidR="009A2842" w:rsidRPr="009C6218">
        <w:rPr>
          <w:rFonts w:eastAsia="Arial" w:cs="Times New Roman"/>
          <w:szCs w:val="22"/>
          <w:lang w:val="fr-CA"/>
        </w:rPr>
        <w:t xml:space="preserve"> LL</w:t>
      </w:r>
      <w:r w:rsidR="00FC0B02" w:rsidRPr="009C6218">
        <w:rPr>
          <w:rFonts w:eastAsia="Arial" w:cs="Times New Roman"/>
          <w:szCs w:val="22"/>
          <w:lang w:val="fr-CA"/>
        </w:rPr>
        <w:t xml:space="preserve">.M. </w:t>
      </w:r>
      <w:r w:rsidRPr="009C6218">
        <w:rPr>
          <w:rFonts w:eastAsia="Arial" w:cs="Times New Roman"/>
          <w:szCs w:val="22"/>
          <w:lang w:val="fr-CA"/>
        </w:rPr>
        <w:t xml:space="preserve">de l’Université de </w:t>
      </w:r>
      <w:r w:rsidR="00FC0B02" w:rsidRPr="009C6218">
        <w:rPr>
          <w:rFonts w:eastAsia="Arial" w:cs="Times New Roman"/>
          <w:szCs w:val="22"/>
          <w:lang w:val="fr-CA"/>
        </w:rPr>
        <w:t xml:space="preserve">Laval. </w:t>
      </w:r>
      <w:r w:rsidRPr="009C6218">
        <w:rPr>
          <w:rFonts w:eastAsia="Arial" w:cs="Times New Roman"/>
          <w:szCs w:val="22"/>
          <w:lang w:val="fr-CA"/>
        </w:rPr>
        <w:t>Le sujet de sa thèse était Le rôle de la logique formelle dans le raisonnement judiciaire</w:t>
      </w:r>
      <w:r w:rsidR="006A5BA8" w:rsidRPr="009C6218">
        <w:rPr>
          <w:rFonts w:eastAsia="Arial" w:cs="Times New Roman"/>
          <w:szCs w:val="22"/>
          <w:lang w:val="fr-CA"/>
        </w:rPr>
        <w:t>.</w:t>
      </w:r>
    </w:p>
    <w:p w14:paraId="39C7D703" w14:textId="77777777" w:rsidR="00AA3B73" w:rsidRPr="009C6218" w:rsidRDefault="00AA3B73">
      <w:pPr>
        <w:rPr>
          <w:b/>
          <w:lang w:val="fr-CA"/>
        </w:rPr>
      </w:pPr>
    </w:p>
    <w:p w14:paraId="3AD90DC9" w14:textId="5AE779AB" w:rsidR="00AE1D22" w:rsidRPr="009C6218" w:rsidRDefault="00DD060B" w:rsidP="009675AF">
      <w:pPr>
        <w:pStyle w:val="Heading1"/>
        <w:rPr>
          <w:lang w:val="fr-CA"/>
        </w:rPr>
      </w:pPr>
      <w:bookmarkStart w:id="7" w:name="_Toc42946522"/>
      <w:r w:rsidRPr="009C6218">
        <w:rPr>
          <w:lang w:val="fr-CA"/>
        </w:rPr>
        <w:lastRenderedPageBreak/>
        <w:t>PART</w:t>
      </w:r>
      <w:r w:rsidR="00357FA0" w:rsidRPr="009C6218">
        <w:rPr>
          <w:lang w:val="fr-CA"/>
        </w:rPr>
        <w:t>IE</w:t>
      </w:r>
      <w:r w:rsidRPr="009C6218">
        <w:rPr>
          <w:lang w:val="fr-CA"/>
        </w:rPr>
        <w:t xml:space="preserve"> I</w:t>
      </w:r>
      <w:r w:rsidR="00357FA0" w:rsidRPr="009C6218">
        <w:rPr>
          <w:lang w:val="fr-CA"/>
        </w:rPr>
        <w:t xml:space="preserve">I </w:t>
      </w:r>
      <w:r w:rsidR="00AE1D22" w:rsidRPr="009C6218">
        <w:rPr>
          <w:lang w:val="fr-CA"/>
        </w:rPr>
        <w:t xml:space="preserve">: </w:t>
      </w:r>
      <w:r w:rsidR="00357FA0" w:rsidRPr="009C6218">
        <w:rPr>
          <w:lang w:val="fr-CA"/>
        </w:rPr>
        <w:t>CADRE GÉNÉRAL DE L’INSTANCE</w:t>
      </w:r>
      <w:bookmarkEnd w:id="7"/>
      <w:r w:rsidR="00357FA0" w:rsidRPr="009C6218">
        <w:rPr>
          <w:lang w:val="fr-CA"/>
        </w:rPr>
        <w:t xml:space="preserve"> </w:t>
      </w:r>
    </w:p>
    <w:p w14:paraId="6ED5C9B5" w14:textId="4C029BEB" w:rsidR="00FC4FCF" w:rsidRPr="009C6218" w:rsidRDefault="007A6CDB" w:rsidP="00D74CBA">
      <w:pPr>
        <w:pStyle w:val="Heading2"/>
        <w:rPr>
          <w:lang w:val="fr-CA"/>
        </w:rPr>
      </w:pPr>
      <w:bookmarkStart w:id="8" w:name="_Toc42946523"/>
      <w:bookmarkStart w:id="9" w:name="_Hlk39214199"/>
      <w:r w:rsidRPr="009C6218">
        <w:rPr>
          <w:lang w:val="fr-CA"/>
        </w:rPr>
        <w:t>Cadre législatif</w:t>
      </w:r>
      <w:bookmarkEnd w:id="8"/>
    </w:p>
    <w:bookmarkEnd w:id="9"/>
    <w:p w14:paraId="21CEAAE1" w14:textId="77777777" w:rsidR="00520BF1" w:rsidRPr="009C6218" w:rsidRDefault="00520BF1" w:rsidP="00195AF3">
      <w:pPr>
        <w:contextualSpacing/>
        <w:jc w:val="left"/>
        <w:outlineLvl w:val="0"/>
        <w:rPr>
          <w:rFonts w:ascii="Arial Bold" w:eastAsia="Times New Roman" w:hAnsi="Arial Bold" w:cs="Times New Roman"/>
          <w:b/>
          <w:bCs/>
          <w:sz w:val="26"/>
          <w:lang w:val="fr-CA"/>
        </w:rPr>
      </w:pPr>
    </w:p>
    <w:p w14:paraId="35C90394" w14:textId="6008A1EC" w:rsidR="00FC4FCF" w:rsidRPr="009C6218" w:rsidRDefault="007A6CDB" w:rsidP="004749BC">
      <w:pPr>
        <w:numPr>
          <w:ilvl w:val="0"/>
          <w:numId w:val="1"/>
        </w:numPr>
        <w:spacing w:after="200" w:line="276" w:lineRule="auto"/>
        <w:ind w:left="567" w:hanging="567"/>
        <w:rPr>
          <w:rFonts w:eastAsia="Arial" w:cs="Times New Roman"/>
          <w:szCs w:val="22"/>
          <w:lang w:val="fr-CA"/>
        </w:rPr>
      </w:pPr>
      <w:r w:rsidRPr="009C6218">
        <w:rPr>
          <w:rFonts w:eastAsia="Arial" w:cs="Times New Roman"/>
          <w:szCs w:val="22"/>
          <w:lang w:val="fr-CA"/>
        </w:rPr>
        <w:t xml:space="preserve">L’instance est régie par la </w:t>
      </w:r>
      <w:r w:rsidRPr="009C6218">
        <w:rPr>
          <w:rFonts w:eastAsia="Arial" w:cs="Times New Roman"/>
          <w:i/>
          <w:szCs w:val="22"/>
          <w:lang w:val="fr-CA"/>
        </w:rPr>
        <w:t>Loi sur les juges de paix</w:t>
      </w:r>
      <w:r w:rsidRPr="009C6218">
        <w:rPr>
          <w:rFonts w:eastAsia="Arial" w:cs="Times New Roman"/>
          <w:szCs w:val="22"/>
          <w:lang w:val="fr-CA"/>
        </w:rPr>
        <w:t xml:space="preserve">, les </w:t>
      </w:r>
      <w:r w:rsidR="00DC3442" w:rsidRPr="009C6218">
        <w:rPr>
          <w:rFonts w:eastAsia="Arial" w:cs="Times New Roman"/>
          <w:szCs w:val="22"/>
          <w:lang w:val="fr-CA"/>
        </w:rPr>
        <w:t>Règles de procédure du C</w:t>
      </w:r>
      <w:r w:rsidRPr="009C6218">
        <w:rPr>
          <w:rFonts w:eastAsia="Arial" w:cs="Times New Roman"/>
          <w:szCs w:val="22"/>
          <w:lang w:val="fr-CA"/>
        </w:rPr>
        <w:t>onseil d’évaluation des juges de paix</w:t>
      </w:r>
      <w:r w:rsidR="00DC3442" w:rsidRPr="009C6218">
        <w:rPr>
          <w:rFonts w:eastAsia="Arial" w:cs="Times New Roman"/>
          <w:szCs w:val="22"/>
          <w:lang w:val="fr-CA"/>
        </w:rPr>
        <w:t xml:space="preserve"> </w:t>
      </w:r>
      <w:r w:rsidRPr="009C6218">
        <w:rPr>
          <w:rFonts w:eastAsia="Arial" w:cs="Times New Roman"/>
          <w:szCs w:val="22"/>
          <w:lang w:val="fr-CA"/>
        </w:rPr>
        <w:t xml:space="preserve">et la </w:t>
      </w:r>
      <w:r w:rsidRPr="009C6218">
        <w:rPr>
          <w:rFonts w:eastAsia="Arial" w:cs="Times New Roman"/>
          <w:i/>
          <w:szCs w:val="22"/>
          <w:lang w:val="fr-CA"/>
        </w:rPr>
        <w:t>Loi sur l’exercice des compétences légales</w:t>
      </w:r>
      <w:r w:rsidRPr="009C6218">
        <w:rPr>
          <w:rFonts w:eastAsia="Arial" w:cs="Times New Roman"/>
          <w:szCs w:val="22"/>
          <w:lang w:val="fr-CA"/>
        </w:rPr>
        <w:t xml:space="preserve">, L.R.O. </w:t>
      </w:r>
      <w:r w:rsidR="00D404C3" w:rsidRPr="009C6218">
        <w:rPr>
          <w:rFonts w:eastAsia="Arial" w:cs="Times New Roman"/>
          <w:szCs w:val="22"/>
          <w:lang w:val="fr-CA"/>
        </w:rPr>
        <w:t>1990, c</w:t>
      </w:r>
      <w:r w:rsidRPr="009C6218">
        <w:rPr>
          <w:rFonts w:eastAsia="Arial" w:cs="Times New Roman"/>
          <w:szCs w:val="22"/>
          <w:lang w:val="fr-CA"/>
        </w:rPr>
        <w:t>hap</w:t>
      </w:r>
      <w:r w:rsidR="00D404C3" w:rsidRPr="009C6218">
        <w:rPr>
          <w:rFonts w:eastAsia="Arial" w:cs="Times New Roman"/>
          <w:szCs w:val="22"/>
          <w:lang w:val="fr-CA"/>
        </w:rPr>
        <w:t>.</w:t>
      </w:r>
      <w:r w:rsidRPr="009C6218">
        <w:rPr>
          <w:rFonts w:eastAsia="Arial" w:cs="Times New Roman"/>
          <w:szCs w:val="22"/>
          <w:lang w:val="fr-CA"/>
        </w:rPr>
        <w:t> </w:t>
      </w:r>
      <w:r w:rsidR="00D404C3" w:rsidRPr="009C6218">
        <w:rPr>
          <w:rFonts w:eastAsia="Arial" w:cs="Times New Roman"/>
          <w:szCs w:val="22"/>
          <w:lang w:val="fr-CA"/>
        </w:rPr>
        <w:t>S. 22</w:t>
      </w:r>
      <w:r w:rsidR="00FC4FCF" w:rsidRPr="009C6218">
        <w:rPr>
          <w:rFonts w:eastAsia="Arial" w:cs="Times New Roman"/>
          <w:szCs w:val="22"/>
          <w:lang w:val="fr-CA"/>
        </w:rPr>
        <w:t>.</w:t>
      </w:r>
    </w:p>
    <w:p w14:paraId="3746A4E0" w14:textId="01C4B1C0" w:rsidR="00FC4FCF" w:rsidRPr="009C6218" w:rsidRDefault="007A6CDB" w:rsidP="00D74CBA">
      <w:pPr>
        <w:pStyle w:val="Heading2"/>
        <w:rPr>
          <w:lang w:val="fr-CA"/>
        </w:rPr>
      </w:pPr>
      <w:bookmarkStart w:id="10" w:name="_Toc42946524"/>
      <w:r w:rsidRPr="009C6218">
        <w:rPr>
          <w:lang w:val="fr-CA"/>
        </w:rPr>
        <w:t>Compétence</w:t>
      </w:r>
      <w:bookmarkEnd w:id="10"/>
    </w:p>
    <w:p w14:paraId="2ADD447F" w14:textId="2FA110D6" w:rsidR="00705F5D" w:rsidRPr="009C6218" w:rsidRDefault="007A6CDB" w:rsidP="00695C8E">
      <w:pPr>
        <w:numPr>
          <w:ilvl w:val="0"/>
          <w:numId w:val="1"/>
        </w:numPr>
        <w:ind w:left="567" w:hanging="567"/>
        <w:rPr>
          <w:rFonts w:eastAsia="Arial" w:cs="Times New Roman"/>
          <w:szCs w:val="22"/>
          <w:lang w:val="fr-CA"/>
        </w:rPr>
      </w:pPr>
      <w:r w:rsidRPr="009C6218">
        <w:rPr>
          <w:rFonts w:eastAsia="Arial" w:cs="Times New Roman"/>
          <w:szCs w:val="22"/>
          <w:lang w:val="fr-CA"/>
        </w:rPr>
        <w:t>Les Règles de procédure du Conseil d’évaluation confirment que :</w:t>
      </w:r>
    </w:p>
    <w:p w14:paraId="7BC9E5E6" w14:textId="77777777" w:rsidR="00695C8E" w:rsidRPr="009C6218" w:rsidRDefault="00695C8E" w:rsidP="00695C8E">
      <w:pPr>
        <w:ind w:left="567"/>
        <w:rPr>
          <w:rFonts w:eastAsia="Arial" w:cs="Times New Roman"/>
          <w:szCs w:val="22"/>
          <w:lang w:val="fr-CA"/>
        </w:rPr>
      </w:pPr>
    </w:p>
    <w:p w14:paraId="5FC46D7A" w14:textId="6B6CFB03" w:rsidR="00705F5D" w:rsidRPr="009C6218" w:rsidRDefault="007A6CDB" w:rsidP="00176DDA">
      <w:pPr>
        <w:spacing w:after="200" w:line="276" w:lineRule="auto"/>
        <w:ind w:left="1134" w:right="851"/>
        <w:rPr>
          <w:rFonts w:eastAsia="Arial" w:cs="Times New Roman"/>
          <w:szCs w:val="22"/>
          <w:lang w:val="fr-CA"/>
        </w:rPr>
      </w:pPr>
      <w:r w:rsidRPr="009C6218">
        <w:rPr>
          <w:rFonts w:eastAsia="Arial" w:cs="Times New Roman"/>
          <w:szCs w:val="22"/>
          <w:lang w:val="fr-CA"/>
        </w:rPr>
        <w:t>« </w:t>
      </w:r>
      <w:r w:rsidR="00176DDA" w:rsidRPr="009C6218">
        <w:rPr>
          <w:rFonts w:eastAsia="Arial" w:cs="Times New Roman"/>
          <w:szCs w:val="22"/>
          <w:u w:val="single"/>
          <w:lang w:val="fr-CA"/>
        </w:rPr>
        <w:t>La compétence du Conseil se limite à l’examen des plaintes sur la conduite</w:t>
      </w:r>
      <w:r w:rsidR="00176DDA" w:rsidRPr="009C6218">
        <w:rPr>
          <w:rFonts w:eastAsia="Arial" w:cs="Times New Roman"/>
          <w:szCs w:val="22"/>
          <w:lang w:val="fr-CA"/>
        </w:rPr>
        <w:t xml:space="preserve"> et à la réalisation d’enquêtes sur ces plaintes. Le Conseil ne dispose pas du pouvoir légal de modifier la décision d’un juge de paix</w:t>
      </w:r>
      <w:r w:rsidRPr="009C6218">
        <w:rPr>
          <w:rFonts w:eastAsia="Arial" w:cs="Times New Roman"/>
          <w:szCs w:val="22"/>
          <w:lang w:val="fr-CA"/>
        </w:rPr>
        <w:t>. »</w:t>
      </w:r>
      <w:r w:rsidR="007664EF" w:rsidRPr="009C6218">
        <w:rPr>
          <w:rStyle w:val="FootnoteReference"/>
          <w:rFonts w:eastAsia="Arial" w:cs="Times New Roman"/>
          <w:szCs w:val="22"/>
          <w:lang w:val="fr-CA"/>
        </w:rPr>
        <w:footnoteReference w:id="3"/>
      </w:r>
      <w:r w:rsidRPr="009C6218">
        <w:rPr>
          <w:rFonts w:eastAsia="Arial" w:cs="Times New Roman"/>
          <w:szCs w:val="22"/>
          <w:lang w:val="fr-CA"/>
        </w:rPr>
        <w:t xml:space="preserve"> (mise en valeur ajoutée)</w:t>
      </w:r>
    </w:p>
    <w:p w14:paraId="0FF3D568" w14:textId="11E72B26" w:rsidR="004C629F" w:rsidRPr="009C6218" w:rsidRDefault="00EA7AF5" w:rsidP="004749BC">
      <w:pPr>
        <w:numPr>
          <w:ilvl w:val="0"/>
          <w:numId w:val="1"/>
        </w:numPr>
        <w:spacing w:after="200" w:line="276" w:lineRule="auto"/>
        <w:ind w:left="567" w:hanging="567"/>
        <w:rPr>
          <w:rFonts w:eastAsia="Arial" w:cs="Times New Roman"/>
          <w:b/>
          <w:szCs w:val="22"/>
          <w:lang w:val="fr-CA"/>
        </w:rPr>
      </w:pPr>
      <w:r w:rsidRPr="009C6218">
        <w:rPr>
          <w:rFonts w:eastAsia="Arial" w:cs="Times New Roman"/>
          <w:szCs w:val="22"/>
          <w:lang w:val="fr-CA"/>
        </w:rPr>
        <w:t>La compétence limitée de notre comité d’audi</w:t>
      </w:r>
      <w:r w:rsidR="00174A52">
        <w:rPr>
          <w:rFonts w:eastAsia="Arial" w:cs="Times New Roman"/>
          <w:szCs w:val="22"/>
          <w:lang w:val="fr-CA"/>
        </w:rPr>
        <w:t>tion</w:t>
      </w:r>
      <w:r w:rsidRPr="009C6218">
        <w:rPr>
          <w:rFonts w:eastAsia="Arial" w:cs="Times New Roman"/>
          <w:szCs w:val="22"/>
          <w:lang w:val="fr-CA"/>
        </w:rPr>
        <w:t xml:space="preserve"> est particulièrement pertinente pour la deuxième allégation qui concerne </w:t>
      </w:r>
      <w:r w:rsidR="00174A52">
        <w:rPr>
          <w:rFonts w:eastAsia="Arial" w:cs="Times New Roman"/>
          <w:szCs w:val="22"/>
          <w:lang w:val="fr-CA"/>
        </w:rPr>
        <w:t>d</w:t>
      </w:r>
      <w:r w:rsidRPr="009C6218">
        <w:rPr>
          <w:rFonts w:eastAsia="Arial" w:cs="Times New Roman"/>
          <w:szCs w:val="22"/>
          <w:lang w:val="fr-CA"/>
        </w:rPr>
        <w:t>es commentaires qu’a faits la juge de paix au cours d</w:t>
      </w:r>
      <w:r w:rsidR="00174A52">
        <w:rPr>
          <w:rFonts w:eastAsia="Arial" w:cs="Times New Roman"/>
          <w:szCs w:val="22"/>
          <w:lang w:val="fr-CA"/>
        </w:rPr>
        <w:t xml:space="preserve">’une </w:t>
      </w:r>
      <w:r w:rsidRPr="009C6218">
        <w:rPr>
          <w:rFonts w:eastAsia="Arial" w:cs="Times New Roman"/>
          <w:szCs w:val="22"/>
          <w:lang w:val="fr-CA"/>
        </w:rPr>
        <w:t>audience de mise en liberté sous caution. C’est sur la conduite de la juge de paix lors de cette audience que notre comité d’audition se concentre, et pas sur l’issue de l’audience elle-même</w:t>
      </w:r>
      <w:r w:rsidR="004C629F" w:rsidRPr="009C6218">
        <w:rPr>
          <w:rFonts w:eastAsia="Arial" w:cs="Times New Roman"/>
          <w:szCs w:val="22"/>
          <w:lang w:val="fr-CA"/>
        </w:rPr>
        <w:t>.</w:t>
      </w:r>
    </w:p>
    <w:p w14:paraId="484FB715" w14:textId="12F2D578" w:rsidR="00AE5712" w:rsidRPr="009C6218" w:rsidRDefault="00EA7AF5" w:rsidP="0016050D">
      <w:pPr>
        <w:pStyle w:val="Heading2"/>
        <w:rPr>
          <w:lang w:val="fr-CA"/>
        </w:rPr>
      </w:pPr>
      <w:bookmarkStart w:id="11" w:name="_Toc42946525"/>
      <w:r w:rsidRPr="009C6218">
        <w:rPr>
          <w:lang w:val="fr-CA"/>
        </w:rPr>
        <w:t>Fardeau de la preuve et norme de preuve</w:t>
      </w:r>
      <w:bookmarkEnd w:id="11"/>
    </w:p>
    <w:p w14:paraId="365F21C6" w14:textId="68455090" w:rsidR="00182EE6" w:rsidRPr="009C6218" w:rsidRDefault="00EA7AF5" w:rsidP="004749BC">
      <w:pPr>
        <w:numPr>
          <w:ilvl w:val="0"/>
          <w:numId w:val="1"/>
        </w:numPr>
        <w:spacing w:after="200" w:line="276" w:lineRule="auto"/>
        <w:ind w:left="567" w:hanging="567"/>
        <w:rPr>
          <w:rFonts w:eastAsia="Arial" w:cs="Times New Roman"/>
          <w:szCs w:val="22"/>
          <w:lang w:val="fr-CA"/>
        </w:rPr>
      </w:pPr>
      <w:r w:rsidRPr="009C6218">
        <w:rPr>
          <w:rFonts w:eastAsia="Arial" w:cs="Times New Roman"/>
          <w:szCs w:val="22"/>
          <w:lang w:val="fr-CA"/>
        </w:rPr>
        <w:t>La juge de paix L</w:t>
      </w:r>
      <w:r w:rsidR="00182EE6" w:rsidRPr="009C6218">
        <w:rPr>
          <w:rFonts w:eastAsia="Arial" w:cs="Times New Roman"/>
          <w:szCs w:val="22"/>
          <w:lang w:val="fr-CA"/>
        </w:rPr>
        <w:t xml:space="preserve">auzon </w:t>
      </w:r>
      <w:r w:rsidRPr="009C6218">
        <w:rPr>
          <w:rFonts w:eastAsia="Arial" w:cs="Times New Roman"/>
          <w:szCs w:val="22"/>
          <w:lang w:val="fr-CA"/>
        </w:rPr>
        <w:t>est présumée n’avoir pas commis une inconduite judiciaire, sauf si les preuves produites établissent le contraire</w:t>
      </w:r>
      <w:r w:rsidR="00182EE6" w:rsidRPr="009C6218">
        <w:rPr>
          <w:rFonts w:eastAsia="Arial" w:cs="Times New Roman"/>
          <w:szCs w:val="22"/>
          <w:lang w:val="fr-CA"/>
        </w:rPr>
        <w:t>.</w:t>
      </w:r>
    </w:p>
    <w:p w14:paraId="42473985" w14:textId="33C8D15A" w:rsidR="00195AF3" w:rsidRPr="009C6218" w:rsidRDefault="00EA7AF5" w:rsidP="004F2D5C">
      <w:pPr>
        <w:numPr>
          <w:ilvl w:val="0"/>
          <w:numId w:val="1"/>
        </w:numPr>
        <w:spacing w:after="200" w:line="276" w:lineRule="auto"/>
        <w:ind w:left="567" w:hanging="567"/>
        <w:rPr>
          <w:rFonts w:eastAsia="Arial" w:cs="Times New Roman"/>
          <w:szCs w:val="22"/>
          <w:lang w:val="fr-CA"/>
        </w:rPr>
      </w:pPr>
      <w:r w:rsidRPr="009C6218">
        <w:rPr>
          <w:rFonts w:eastAsia="Arial" w:cs="Times New Roman"/>
          <w:szCs w:val="22"/>
          <w:lang w:val="fr-CA"/>
        </w:rPr>
        <w:t xml:space="preserve">Il revient à l’avocat chargé de </w:t>
      </w:r>
      <w:r w:rsidR="002C390C" w:rsidRPr="009C6218">
        <w:rPr>
          <w:rFonts w:eastAsia="Arial" w:cs="Times New Roman"/>
          <w:szCs w:val="22"/>
          <w:lang w:val="fr-CA"/>
        </w:rPr>
        <w:t>la présentation</w:t>
      </w:r>
      <w:r w:rsidRPr="009C6218">
        <w:rPr>
          <w:rFonts w:eastAsia="Arial" w:cs="Times New Roman"/>
          <w:szCs w:val="22"/>
          <w:lang w:val="fr-CA"/>
        </w:rPr>
        <w:t xml:space="preserve"> de prouver les allégations selon la prépondérance des probabilités. Une conclusion d’inconduite judiciaire exige une preuve convaincante et évidente, fondée sur des éléments de preuve convaincants</w:t>
      </w:r>
      <w:r w:rsidR="00182EE6" w:rsidRPr="009C6218">
        <w:rPr>
          <w:rStyle w:val="FootnoteReference"/>
          <w:rFonts w:eastAsia="Arial" w:cs="Times New Roman"/>
          <w:szCs w:val="22"/>
          <w:lang w:val="fr-CA"/>
        </w:rPr>
        <w:footnoteReference w:id="4"/>
      </w:r>
      <w:r w:rsidRPr="009C6218">
        <w:rPr>
          <w:rFonts w:eastAsia="Arial" w:cs="Times New Roman"/>
          <w:szCs w:val="22"/>
          <w:lang w:val="fr-CA"/>
        </w:rPr>
        <w:t>.</w:t>
      </w:r>
    </w:p>
    <w:p w14:paraId="12BB672B" w14:textId="52242BEF" w:rsidR="007C526E" w:rsidRPr="009C6218" w:rsidRDefault="00EA7AF5" w:rsidP="0016050D">
      <w:pPr>
        <w:pStyle w:val="Heading2"/>
        <w:rPr>
          <w:lang w:val="fr-CA"/>
        </w:rPr>
      </w:pPr>
      <w:bookmarkStart w:id="12" w:name="_Toc42946526"/>
      <w:r w:rsidRPr="009C6218">
        <w:rPr>
          <w:lang w:val="fr-CA"/>
        </w:rPr>
        <w:t>Rôle réparateur du comité d’audition</w:t>
      </w:r>
      <w:bookmarkEnd w:id="12"/>
      <w:r w:rsidRPr="009C6218">
        <w:rPr>
          <w:lang w:val="fr-CA"/>
        </w:rPr>
        <w:t xml:space="preserve"> </w:t>
      </w:r>
    </w:p>
    <w:p w14:paraId="05A5BDCB" w14:textId="3B32B495" w:rsidR="007C526E" w:rsidRPr="009C6218" w:rsidRDefault="00DD3636" w:rsidP="004749BC">
      <w:pPr>
        <w:numPr>
          <w:ilvl w:val="0"/>
          <w:numId w:val="1"/>
        </w:numPr>
        <w:spacing w:after="200" w:line="276" w:lineRule="auto"/>
        <w:ind w:left="567" w:hanging="567"/>
        <w:rPr>
          <w:rFonts w:eastAsia="Arial" w:cs="Times New Roman"/>
          <w:szCs w:val="22"/>
          <w:lang w:val="fr-CA"/>
        </w:rPr>
      </w:pPr>
      <w:r w:rsidRPr="009C6218">
        <w:rPr>
          <w:lang w:val="fr-CA"/>
        </w:rPr>
        <w:t>L</w:t>
      </w:r>
      <w:r w:rsidR="00E0233F" w:rsidRPr="009C6218">
        <w:rPr>
          <w:lang w:val="fr-CA"/>
        </w:rPr>
        <w:t>’objet d’une instance sur une inconduite judiciaire est « essentiellement réparateur ». Le comité d’audi</w:t>
      </w:r>
      <w:r w:rsidR="00412DBE" w:rsidRPr="009C6218">
        <w:rPr>
          <w:lang w:val="fr-CA"/>
        </w:rPr>
        <w:t>tion</w:t>
      </w:r>
      <w:r w:rsidR="00E0233F" w:rsidRPr="009C6218">
        <w:rPr>
          <w:lang w:val="fr-CA"/>
        </w:rPr>
        <w:t xml:space="preserve"> doit se pencher sur ce qui est « nécessaire pour restaurer la confiance du public qui avait été minée par la conduite judiciaire en question ». Le </w:t>
      </w:r>
      <w:r w:rsidR="00E0233F" w:rsidRPr="009C6218">
        <w:rPr>
          <w:lang w:val="fr-CA"/>
        </w:rPr>
        <w:lastRenderedPageBreak/>
        <w:t>but n’est pas de punir le juge, mais plutôt de réparer tout tort causé à l’intégrité et à la réputation de l’administration de la justice</w:t>
      </w:r>
      <w:r w:rsidR="00D404C3" w:rsidRPr="009C6218">
        <w:rPr>
          <w:rStyle w:val="FootnoteReference"/>
          <w:rFonts w:eastAsia="Arial" w:cs="Times New Roman"/>
          <w:szCs w:val="22"/>
          <w:lang w:val="fr-CA"/>
        </w:rPr>
        <w:footnoteReference w:id="5"/>
      </w:r>
      <w:r w:rsidR="00E0233F" w:rsidRPr="009C6218">
        <w:rPr>
          <w:lang w:val="fr-CA"/>
        </w:rPr>
        <w:t>.</w:t>
      </w:r>
    </w:p>
    <w:p w14:paraId="3748398B" w14:textId="182A659C" w:rsidR="00EE65F2" w:rsidRPr="009C6218" w:rsidRDefault="00412DBE" w:rsidP="004749BC">
      <w:pPr>
        <w:numPr>
          <w:ilvl w:val="0"/>
          <w:numId w:val="1"/>
        </w:numPr>
        <w:spacing w:after="200" w:line="276" w:lineRule="auto"/>
        <w:ind w:left="567" w:hanging="567"/>
        <w:rPr>
          <w:rFonts w:eastAsia="Arial" w:cs="Times New Roman"/>
          <w:szCs w:val="22"/>
          <w:lang w:val="fr-CA"/>
        </w:rPr>
      </w:pPr>
      <w:r w:rsidRPr="009C6218">
        <w:rPr>
          <w:rFonts w:eastAsia="Arial" w:cs="Times New Roman"/>
          <w:szCs w:val="22"/>
          <w:lang w:val="fr-CA"/>
        </w:rPr>
        <w:t>L’objet réparateur de l’audience est un aspect que le comité d’audition ne doit pas perdre de vue pendant toute la durée de l’instance, même si la question de ce qui est nécessaire pour rétablir la confiance du public dans l’administration de la justice se pose</w:t>
      </w:r>
      <w:r w:rsidR="00174A52">
        <w:rPr>
          <w:rFonts w:eastAsia="Arial" w:cs="Times New Roman"/>
          <w:szCs w:val="22"/>
          <w:lang w:val="fr-CA"/>
        </w:rPr>
        <w:t>ra</w:t>
      </w:r>
      <w:r w:rsidRPr="009C6218">
        <w:rPr>
          <w:rFonts w:eastAsia="Arial" w:cs="Times New Roman"/>
          <w:szCs w:val="22"/>
          <w:lang w:val="fr-CA"/>
        </w:rPr>
        <w:t xml:space="preserve"> vers la fin de l’instance pour décider si une sanction est nécessaire et, dans l’affirmative, laquelle</w:t>
      </w:r>
      <w:r w:rsidR="00EE65F2" w:rsidRPr="009C6218">
        <w:rPr>
          <w:rFonts w:eastAsia="Arial" w:cs="Times New Roman"/>
          <w:szCs w:val="22"/>
          <w:lang w:val="fr-CA"/>
        </w:rPr>
        <w:t xml:space="preserve">. </w:t>
      </w:r>
      <w:r w:rsidRPr="009C6218">
        <w:rPr>
          <w:rFonts w:eastAsia="Arial" w:cs="Times New Roman"/>
          <w:szCs w:val="22"/>
          <w:lang w:val="fr-CA"/>
        </w:rPr>
        <w:t>C’est important</w:t>
      </w:r>
      <w:r w:rsidR="00776713">
        <w:rPr>
          <w:rFonts w:eastAsia="Arial" w:cs="Times New Roman"/>
          <w:szCs w:val="22"/>
          <w:lang w:val="fr-CA"/>
        </w:rPr>
        <w:t>,</w:t>
      </w:r>
      <w:r w:rsidRPr="009C6218">
        <w:rPr>
          <w:rFonts w:eastAsia="Arial" w:cs="Times New Roman"/>
          <w:szCs w:val="22"/>
          <w:lang w:val="fr-CA"/>
        </w:rPr>
        <w:t xml:space="preserve"> car ce ne sont pas toutes les conclusions d’inconduite judiciaire qui exigeront la prise d’une mesure énumérée aux paragraphes </w:t>
      </w:r>
      <w:r w:rsidR="00392D3B" w:rsidRPr="009C6218">
        <w:rPr>
          <w:rFonts w:eastAsia="Arial" w:cs="Times New Roman"/>
          <w:szCs w:val="22"/>
          <w:lang w:val="fr-CA"/>
        </w:rPr>
        <w:t>11.1</w:t>
      </w:r>
      <w:r w:rsidR="00895C0C" w:rsidRPr="009C6218">
        <w:rPr>
          <w:rFonts w:eastAsia="Arial" w:cs="Times New Roman"/>
          <w:szCs w:val="22"/>
          <w:lang w:val="fr-CA"/>
        </w:rPr>
        <w:t xml:space="preserve"> (10) </w:t>
      </w:r>
      <w:r w:rsidRPr="009C6218">
        <w:rPr>
          <w:rFonts w:eastAsia="Arial" w:cs="Times New Roman"/>
          <w:szCs w:val="22"/>
          <w:lang w:val="fr-CA"/>
        </w:rPr>
        <w:t>et</w:t>
      </w:r>
      <w:r w:rsidR="00895C0C" w:rsidRPr="009C6218">
        <w:rPr>
          <w:rFonts w:eastAsia="Arial" w:cs="Times New Roman"/>
          <w:szCs w:val="22"/>
          <w:lang w:val="fr-CA"/>
        </w:rPr>
        <w:t xml:space="preserve"> (11) </w:t>
      </w:r>
      <w:r w:rsidRPr="009C6218">
        <w:rPr>
          <w:rFonts w:eastAsia="Arial" w:cs="Times New Roman"/>
          <w:szCs w:val="22"/>
          <w:lang w:val="fr-CA"/>
        </w:rPr>
        <w:t xml:space="preserve">de la Loi. Une sanction ne devrait être imposée que si elle est nécessaire </w:t>
      </w:r>
      <w:r w:rsidRPr="009C6218">
        <w:rPr>
          <w:lang w:val="fr-CA"/>
        </w:rPr>
        <w:t>pour restaurer la confiance du public qui a été minée par la conduite judiciaire en question</w:t>
      </w:r>
      <w:r w:rsidR="002B7827" w:rsidRPr="009C6218">
        <w:rPr>
          <w:rFonts w:eastAsia="Arial" w:cs="Times New Roman"/>
          <w:szCs w:val="22"/>
          <w:lang w:val="fr-CA"/>
        </w:rPr>
        <w:t>.</w:t>
      </w:r>
    </w:p>
    <w:p w14:paraId="40B2BE37" w14:textId="77777777" w:rsidR="001819AB" w:rsidRPr="009C6218" w:rsidRDefault="001819AB">
      <w:pPr>
        <w:rPr>
          <w:rFonts w:ascii="Arial Bold" w:eastAsia="Times New Roman" w:hAnsi="Arial Bold" w:cs="Times New Roman"/>
          <w:b/>
          <w:bCs/>
          <w:caps/>
          <w:sz w:val="26"/>
          <w:lang w:val="fr-CA"/>
        </w:rPr>
      </w:pPr>
      <w:r w:rsidRPr="009C6218">
        <w:rPr>
          <w:lang w:val="fr-CA"/>
        </w:rPr>
        <w:br w:type="page"/>
      </w:r>
    </w:p>
    <w:p w14:paraId="3C3EDAC0" w14:textId="3D6EFB64" w:rsidR="006D2C43" w:rsidRPr="009C6218" w:rsidRDefault="00814A3B" w:rsidP="00814A3B">
      <w:pPr>
        <w:pStyle w:val="Heading1"/>
        <w:spacing w:before="360" w:after="360"/>
        <w:rPr>
          <w:rFonts w:eastAsia="Arial"/>
          <w:lang w:val="fr-CA"/>
        </w:rPr>
      </w:pPr>
      <w:bookmarkStart w:id="13" w:name="_Toc42946527"/>
      <w:r w:rsidRPr="009C6218">
        <w:rPr>
          <w:lang w:val="fr-CA"/>
        </w:rPr>
        <w:lastRenderedPageBreak/>
        <w:t>PART</w:t>
      </w:r>
      <w:r w:rsidR="00412DBE" w:rsidRPr="009C6218">
        <w:rPr>
          <w:lang w:val="fr-CA"/>
        </w:rPr>
        <w:t>IE</w:t>
      </w:r>
      <w:r w:rsidRPr="009C6218">
        <w:rPr>
          <w:lang w:val="fr-CA"/>
        </w:rPr>
        <w:t xml:space="preserve"> III</w:t>
      </w:r>
      <w:r w:rsidR="00412DBE" w:rsidRPr="009C6218">
        <w:rPr>
          <w:lang w:val="fr-CA"/>
        </w:rPr>
        <w:t xml:space="preserve"> </w:t>
      </w:r>
      <w:r w:rsidR="003667C9" w:rsidRPr="009C6218">
        <w:rPr>
          <w:lang w:val="fr-CA"/>
        </w:rPr>
        <w:t xml:space="preserve">: </w:t>
      </w:r>
      <w:r w:rsidR="005720D1" w:rsidRPr="009C6218">
        <w:rPr>
          <w:lang w:val="fr-CA"/>
        </w:rPr>
        <w:t xml:space="preserve">DÉCISION EN MATIÈRE DE PREUVE ET autres </w:t>
      </w:r>
      <w:r w:rsidR="00392BD9">
        <w:rPr>
          <w:lang w:val="fr-CA"/>
        </w:rPr>
        <w:t>QUESTIONS</w:t>
      </w:r>
      <w:r w:rsidR="005720D1" w:rsidRPr="009C6218">
        <w:rPr>
          <w:lang w:val="fr-CA"/>
        </w:rPr>
        <w:t xml:space="preserve"> PRÉLIMINAIRES</w:t>
      </w:r>
      <w:bookmarkEnd w:id="13"/>
      <w:r w:rsidR="005720D1" w:rsidRPr="009C6218">
        <w:rPr>
          <w:lang w:val="fr-CA"/>
        </w:rPr>
        <w:t xml:space="preserve"> </w:t>
      </w:r>
    </w:p>
    <w:p w14:paraId="4736CADE" w14:textId="698EFBC3" w:rsidR="00D74CBA" w:rsidRPr="009C6218" w:rsidRDefault="005720D1" w:rsidP="0016050D">
      <w:pPr>
        <w:pStyle w:val="Heading2"/>
        <w:spacing w:after="360"/>
        <w:rPr>
          <w:lang w:val="fr-CA"/>
        </w:rPr>
      </w:pPr>
      <w:bookmarkStart w:id="14" w:name="_Toc42946528"/>
      <w:r w:rsidRPr="009C6218">
        <w:rPr>
          <w:lang w:val="fr-CA"/>
        </w:rPr>
        <w:t>Décision sur l’admissibilité de preuves par affidavit</w:t>
      </w:r>
      <w:bookmarkEnd w:id="14"/>
      <w:r w:rsidRPr="009C6218">
        <w:rPr>
          <w:lang w:val="fr-CA"/>
        </w:rPr>
        <w:t xml:space="preserve"> </w:t>
      </w:r>
    </w:p>
    <w:p w14:paraId="66C8AB3D" w14:textId="35E23AF7" w:rsidR="006D2C43" w:rsidRPr="009C6218" w:rsidRDefault="00A369DE" w:rsidP="0016050D">
      <w:pPr>
        <w:numPr>
          <w:ilvl w:val="0"/>
          <w:numId w:val="1"/>
        </w:numPr>
        <w:spacing w:after="360" w:line="276" w:lineRule="auto"/>
        <w:ind w:left="567" w:hanging="567"/>
        <w:rPr>
          <w:lang w:val="fr-CA"/>
        </w:rPr>
      </w:pPr>
      <w:r w:rsidRPr="009C6218">
        <w:rPr>
          <w:rFonts w:eastAsia="Arial" w:cs="Times New Roman"/>
          <w:szCs w:val="22"/>
          <w:lang w:val="fr-CA"/>
        </w:rPr>
        <w:t xml:space="preserve">La juge de paix a présenté des affidavits de six de ses collègues. Les affidavits se trouvent dans le dossier des affidavits constituant la pièce </w:t>
      </w:r>
      <w:r w:rsidR="006D2C43" w:rsidRPr="009C6218">
        <w:rPr>
          <w:rFonts w:eastAsia="Arial" w:cs="Times New Roman"/>
          <w:lang w:val="fr-CA"/>
        </w:rPr>
        <w:t xml:space="preserve">4. </w:t>
      </w:r>
      <w:r w:rsidR="00EC5B93" w:rsidRPr="009C6218">
        <w:rPr>
          <w:rFonts w:eastAsia="Arial" w:cs="Times New Roman"/>
          <w:lang w:val="fr-CA"/>
        </w:rPr>
        <w:t>Les affidavits décrivent essentiellement l’expérience de certains collègues de la juge de paix dans le</w:t>
      </w:r>
      <w:r w:rsidR="00392BD9">
        <w:rPr>
          <w:rFonts w:eastAsia="Arial" w:cs="Times New Roman"/>
          <w:lang w:val="fr-CA"/>
        </w:rPr>
        <w:t>s</w:t>
      </w:r>
      <w:r w:rsidR="00EC5B93" w:rsidRPr="009C6218">
        <w:rPr>
          <w:rFonts w:eastAsia="Arial" w:cs="Times New Roman"/>
          <w:lang w:val="fr-CA"/>
        </w:rPr>
        <w:t xml:space="preserve"> tribuna</w:t>
      </w:r>
      <w:r w:rsidR="00392BD9">
        <w:rPr>
          <w:rFonts w:eastAsia="Arial" w:cs="Times New Roman"/>
          <w:lang w:val="fr-CA"/>
        </w:rPr>
        <w:t>ux</w:t>
      </w:r>
      <w:r w:rsidR="00EC5B93" w:rsidRPr="009C6218">
        <w:rPr>
          <w:rFonts w:eastAsia="Arial" w:cs="Times New Roman"/>
          <w:lang w:val="fr-CA"/>
        </w:rPr>
        <w:t xml:space="preserve"> </w:t>
      </w:r>
      <w:r w:rsidR="007773D8" w:rsidRPr="009C6218">
        <w:rPr>
          <w:rFonts w:eastAsia="Arial" w:cs="Times New Roman"/>
          <w:lang w:val="fr-CA"/>
        </w:rPr>
        <w:t>chargé</w:t>
      </w:r>
      <w:r w:rsidR="00392BD9">
        <w:rPr>
          <w:rFonts w:eastAsia="Arial" w:cs="Times New Roman"/>
          <w:lang w:val="fr-CA"/>
        </w:rPr>
        <w:t>s</w:t>
      </w:r>
      <w:r w:rsidR="007773D8" w:rsidRPr="009C6218">
        <w:rPr>
          <w:rFonts w:eastAsia="Arial" w:cs="Times New Roman"/>
          <w:lang w:val="fr-CA"/>
        </w:rPr>
        <w:t xml:space="preserve"> de la mise en liberté sous caution, dans divers</w:t>
      </w:r>
      <w:r w:rsidR="00392BD9">
        <w:rPr>
          <w:rFonts w:eastAsia="Arial" w:cs="Times New Roman"/>
          <w:lang w:val="fr-CA"/>
        </w:rPr>
        <w:t>es</w:t>
      </w:r>
      <w:r w:rsidR="007773D8" w:rsidRPr="009C6218">
        <w:rPr>
          <w:rFonts w:eastAsia="Arial" w:cs="Times New Roman"/>
          <w:lang w:val="fr-CA"/>
        </w:rPr>
        <w:t xml:space="preserve"> </w:t>
      </w:r>
      <w:r w:rsidR="00392BD9">
        <w:rPr>
          <w:rFonts w:eastAsia="Arial" w:cs="Times New Roman"/>
          <w:lang w:val="fr-CA"/>
        </w:rPr>
        <w:t>régions</w:t>
      </w:r>
      <w:r w:rsidR="007773D8" w:rsidRPr="009C6218">
        <w:rPr>
          <w:rFonts w:eastAsia="Arial" w:cs="Times New Roman"/>
          <w:lang w:val="fr-CA"/>
        </w:rPr>
        <w:t xml:space="preserve"> de l’Ontario, y compris </w:t>
      </w:r>
      <w:r w:rsidR="006D2C43" w:rsidRPr="009C6218">
        <w:rPr>
          <w:rFonts w:eastAsia="Arial" w:cs="Times New Roman"/>
          <w:lang w:val="fr-CA"/>
        </w:rPr>
        <w:t>Ottawa.</w:t>
      </w:r>
    </w:p>
    <w:p w14:paraId="3B5E20BF" w14:textId="4C555E9D" w:rsidR="006D2C43" w:rsidRPr="009C6218" w:rsidRDefault="007773D8" w:rsidP="004749BC">
      <w:pPr>
        <w:numPr>
          <w:ilvl w:val="0"/>
          <w:numId w:val="1"/>
        </w:numPr>
        <w:spacing w:after="200" w:line="276" w:lineRule="auto"/>
        <w:ind w:left="567" w:hanging="567"/>
        <w:rPr>
          <w:lang w:val="fr-CA"/>
        </w:rPr>
      </w:pPr>
      <w:r w:rsidRPr="009C6218">
        <w:rPr>
          <w:lang w:val="fr-CA"/>
        </w:rPr>
        <w:t xml:space="preserve">L’avocat chargé de </w:t>
      </w:r>
      <w:r w:rsidR="002C390C" w:rsidRPr="009C6218">
        <w:rPr>
          <w:rFonts w:eastAsia="Arial" w:cs="Times New Roman"/>
          <w:szCs w:val="22"/>
          <w:lang w:val="fr-CA"/>
        </w:rPr>
        <w:t xml:space="preserve">la présentation </w:t>
      </w:r>
      <w:r w:rsidRPr="009C6218">
        <w:rPr>
          <w:lang w:val="fr-CA"/>
        </w:rPr>
        <w:t>et l’avocat de la juge de paix à l’audience, Me</w:t>
      </w:r>
      <w:r w:rsidR="00392BD9">
        <w:rPr>
          <w:lang w:val="fr-CA"/>
        </w:rPr>
        <w:t> </w:t>
      </w:r>
      <w:r w:rsidR="00905864" w:rsidRPr="009C6218">
        <w:rPr>
          <w:lang w:val="fr-CA"/>
        </w:rPr>
        <w:t>Lawrence Greenspon</w:t>
      </w:r>
      <w:r w:rsidR="00307368" w:rsidRPr="009C6218">
        <w:rPr>
          <w:lang w:val="fr-CA"/>
        </w:rPr>
        <w:t>,</w:t>
      </w:r>
      <w:r w:rsidR="00BC4E26" w:rsidRPr="009C6218">
        <w:rPr>
          <w:lang w:val="fr-CA"/>
        </w:rPr>
        <w:t xml:space="preserve"> </w:t>
      </w:r>
      <w:r w:rsidRPr="009C6218">
        <w:rPr>
          <w:lang w:val="fr-CA"/>
        </w:rPr>
        <w:t xml:space="preserve">étaient tous deux satisfaits </w:t>
      </w:r>
      <w:r w:rsidR="00392BD9">
        <w:rPr>
          <w:lang w:val="fr-CA"/>
        </w:rPr>
        <w:t xml:space="preserve">du fait </w:t>
      </w:r>
      <w:r w:rsidRPr="009C6218">
        <w:rPr>
          <w:lang w:val="fr-CA"/>
        </w:rPr>
        <w:t xml:space="preserve">que le comité d’audition accepte les documents en preuve, sous réserve des questions de pertinence et de poids. </w:t>
      </w:r>
    </w:p>
    <w:p w14:paraId="251B1435" w14:textId="63D190AB" w:rsidR="006D2C43" w:rsidRPr="009C6218" w:rsidRDefault="007773D8" w:rsidP="004749BC">
      <w:pPr>
        <w:numPr>
          <w:ilvl w:val="0"/>
          <w:numId w:val="1"/>
        </w:numPr>
        <w:spacing w:after="200" w:line="276" w:lineRule="auto"/>
        <w:ind w:left="567" w:hanging="567"/>
        <w:rPr>
          <w:lang w:val="fr-CA"/>
        </w:rPr>
      </w:pPr>
      <w:r w:rsidRPr="009C6218">
        <w:rPr>
          <w:lang w:val="fr-CA"/>
        </w:rPr>
        <w:t xml:space="preserve">L’avocat chargé </w:t>
      </w:r>
      <w:r w:rsidR="002C390C" w:rsidRPr="009C6218">
        <w:rPr>
          <w:rFonts w:eastAsia="Arial" w:cs="Times New Roman"/>
          <w:szCs w:val="22"/>
          <w:lang w:val="fr-CA"/>
        </w:rPr>
        <w:t xml:space="preserve">de la présentation </w:t>
      </w:r>
      <w:r w:rsidRPr="009C6218">
        <w:rPr>
          <w:lang w:val="fr-CA"/>
        </w:rPr>
        <w:t xml:space="preserve">ne reconnaît pas la pertinence des affidavits ou du témoignage </w:t>
      </w:r>
      <w:proofErr w:type="spellStart"/>
      <w:r w:rsidRPr="009C6218">
        <w:rPr>
          <w:i/>
          <w:lang w:val="fr-CA"/>
        </w:rPr>
        <w:t>v</w:t>
      </w:r>
      <w:r w:rsidR="006D2C43" w:rsidRPr="009C6218">
        <w:rPr>
          <w:i/>
          <w:lang w:val="fr-CA"/>
        </w:rPr>
        <w:t>iva</w:t>
      </w:r>
      <w:proofErr w:type="spellEnd"/>
      <w:r w:rsidR="006D2C43" w:rsidRPr="009C6218">
        <w:rPr>
          <w:i/>
          <w:lang w:val="fr-CA"/>
        </w:rPr>
        <w:t xml:space="preserve"> voce</w:t>
      </w:r>
      <w:r w:rsidR="006D2C43" w:rsidRPr="009C6218">
        <w:rPr>
          <w:lang w:val="fr-CA"/>
        </w:rPr>
        <w:t xml:space="preserve"> </w:t>
      </w:r>
      <w:r w:rsidRPr="009C6218">
        <w:rPr>
          <w:lang w:val="fr-CA"/>
        </w:rPr>
        <w:t>de trois des six juges de paix qui ont témoigné en faveur de la juge de paix</w:t>
      </w:r>
      <w:r w:rsidR="006D2C43" w:rsidRPr="009C6218">
        <w:rPr>
          <w:rStyle w:val="FootnoteReference"/>
          <w:lang w:val="fr-CA"/>
        </w:rPr>
        <w:footnoteReference w:id="6"/>
      </w:r>
      <w:r w:rsidRPr="009C6218">
        <w:rPr>
          <w:lang w:val="fr-CA"/>
        </w:rPr>
        <w:t xml:space="preserve">. </w:t>
      </w:r>
    </w:p>
    <w:p w14:paraId="1AE30069" w14:textId="5DE96DDD" w:rsidR="006D2C43" w:rsidRPr="009C6218" w:rsidRDefault="007773D8" w:rsidP="004749BC">
      <w:pPr>
        <w:numPr>
          <w:ilvl w:val="0"/>
          <w:numId w:val="1"/>
        </w:numPr>
        <w:spacing w:after="200" w:line="276" w:lineRule="auto"/>
        <w:ind w:left="567" w:hanging="567"/>
        <w:rPr>
          <w:lang w:val="fr-CA"/>
        </w:rPr>
      </w:pPr>
      <w:r w:rsidRPr="009C6218">
        <w:rPr>
          <w:lang w:val="fr-CA"/>
        </w:rPr>
        <w:t xml:space="preserve">Après avoir lu les six affidavits et entendu les témoignages </w:t>
      </w:r>
      <w:proofErr w:type="spellStart"/>
      <w:r w:rsidR="006D2C43" w:rsidRPr="009C6218">
        <w:rPr>
          <w:i/>
          <w:lang w:val="fr-CA"/>
        </w:rPr>
        <w:t>viva</w:t>
      </w:r>
      <w:proofErr w:type="spellEnd"/>
      <w:r w:rsidR="006D2C43" w:rsidRPr="009C6218">
        <w:rPr>
          <w:i/>
          <w:lang w:val="fr-CA"/>
        </w:rPr>
        <w:t xml:space="preserve"> voce</w:t>
      </w:r>
      <w:r w:rsidR="006D2C43" w:rsidRPr="009C6218">
        <w:rPr>
          <w:lang w:val="fr-CA"/>
        </w:rPr>
        <w:t xml:space="preserve"> </w:t>
      </w:r>
      <w:r w:rsidRPr="009C6218">
        <w:rPr>
          <w:lang w:val="fr-CA"/>
        </w:rPr>
        <w:t>de trois des témoins, nous concluons que les preuves relatives à l’expérience des autres juges de paix ne sont pas directement pertinentes pour l’instance en question</w:t>
      </w:r>
      <w:r w:rsidR="006D2C43" w:rsidRPr="009C6218">
        <w:rPr>
          <w:rStyle w:val="FootnoteReference"/>
          <w:lang w:val="fr-CA"/>
        </w:rPr>
        <w:footnoteReference w:id="7"/>
      </w:r>
      <w:r w:rsidRPr="009C6218">
        <w:rPr>
          <w:lang w:val="fr-CA"/>
        </w:rPr>
        <w:t>. En conséquence, nous n’accordons aucun poids à ces preuves</w:t>
      </w:r>
      <w:r w:rsidR="006D2C43" w:rsidRPr="009C6218">
        <w:rPr>
          <w:lang w:val="fr-CA"/>
        </w:rPr>
        <w:t>.</w:t>
      </w:r>
    </w:p>
    <w:p w14:paraId="119376BE" w14:textId="1E7BE1D8" w:rsidR="006D2C43" w:rsidRPr="009C6218" w:rsidRDefault="007773D8" w:rsidP="007664EF">
      <w:pPr>
        <w:numPr>
          <w:ilvl w:val="0"/>
          <w:numId w:val="1"/>
        </w:numPr>
        <w:spacing w:after="200" w:line="276" w:lineRule="auto"/>
        <w:ind w:left="567" w:hanging="567"/>
        <w:rPr>
          <w:lang w:val="fr-CA"/>
        </w:rPr>
      </w:pPr>
      <w:r w:rsidRPr="009C6218">
        <w:rPr>
          <w:lang w:val="fr-CA"/>
        </w:rPr>
        <w:t>La juge de paix était l’unique auteur de l’Article</w:t>
      </w:r>
      <w:r w:rsidR="006D2C43" w:rsidRPr="009C6218">
        <w:rPr>
          <w:rStyle w:val="FootnoteReference"/>
          <w:lang w:val="fr-CA"/>
        </w:rPr>
        <w:footnoteReference w:id="8"/>
      </w:r>
      <w:r w:rsidRPr="009C6218">
        <w:rPr>
          <w:lang w:val="fr-CA"/>
        </w:rPr>
        <w:t>.</w:t>
      </w:r>
      <w:r w:rsidR="006D2C43" w:rsidRPr="009C6218">
        <w:rPr>
          <w:lang w:val="fr-CA"/>
        </w:rPr>
        <w:t xml:space="preserve"> </w:t>
      </w:r>
      <w:r w:rsidRPr="009C6218">
        <w:rPr>
          <w:lang w:val="fr-CA"/>
        </w:rPr>
        <w:t xml:space="preserve">Elle a affirmé sans ambiguïté dans son témoignage qu’elle </w:t>
      </w:r>
      <w:r w:rsidR="00D4317B">
        <w:rPr>
          <w:lang w:val="fr-CA"/>
        </w:rPr>
        <w:t>décrivait</w:t>
      </w:r>
      <w:r w:rsidRPr="009C6218">
        <w:rPr>
          <w:lang w:val="fr-CA"/>
        </w:rPr>
        <w:t xml:space="preserve"> son expérience personnelle au tribunal de la mise en liberté sous caution à </w:t>
      </w:r>
      <w:r w:rsidR="006D2C43" w:rsidRPr="009C6218">
        <w:rPr>
          <w:lang w:val="fr-CA"/>
        </w:rPr>
        <w:t xml:space="preserve">Ottawa. </w:t>
      </w:r>
      <w:r w:rsidRPr="009C6218">
        <w:rPr>
          <w:lang w:val="fr-CA"/>
        </w:rPr>
        <w:t xml:space="preserve">Même si elle a mentionné </w:t>
      </w:r>
      <w:r w:rsidR="001D76B6">
        <w:rPr>
          <w:lang w:val="fr-CA"/>
        </w:rPr>
        <w:t>des</w:t>
      </w:r>
      <w:r w:rsidRPr="009C6218">
        <w:rPr>
          <w:lang w:val="fr-CA"/>
        </w:rPr>
        <w:t xml:space="preserve"> expérience</w:t>
      </w:r>
      <w:r w:rsidR="001D76B6">
        <w:rPr>
          <w:lang w:val="fr-CA"/>
        </w:rPr>
        <w:t>s</w:t>
      </w:r>
      <w:r w:rsidRPr="009C6218">
        <w:rPr>
          <w:lang w:val="fr-CA"/>
        </w:rPr>
        <w:t xml:space="preserve"> semblable</w:t>
      </w:r>
      <w:r w:rsidR="001D76B6">
        <w:rPr>
          <w:lang w:val="fr-CA"/>
        </w:rPr>
        <w:t>s</w:t>
      </w:r>
      <w:r w:rsidRPr="009C6218">
        <w:rPr>
          <w:lang w:val="fr-CA"/>
        </w:rPr>
        <w:t xml:space="preserve"> dans d’autres tribunaux, elle n’avait pas l’intention de </w:t>
      </w:r>
      <w:r w:rsidR="001D76B6">
        <w:rPr>
          <w:lang w:val="fr-CA"/>
        </w:rPr>
        <w:t xml:space="preserve">parler au nom de </w:t>
      </w:r>
      <w:r w:rsidRPr="009C6218">
        <w:rPr>
          <w:lang w:val="fr-CA"/>
        </w:rPr>
        <w:t xml:space="preserve">collègues </w:t>
      </w:r>
      <w:r w:rsidR="001D76B6">
        <w:rPr>
          <w:lang w:val="fr-CA"/>
        </w:rPr>
        <w:t>ni</w:t>
      </w:r>
      <w:r w:rsidRPr="009C6218">
        <w:rPr>
          <w:lang w:val="fr-CA"/>
        </w:rPr>
        <w:t xml:space="preserve"> de relater leurs expériences personnelles. </w:t>
      </w:r>
    </w:p>
    <w:p w14:paraId="613F0C25" w14:textId="0BC496FF" w:rsidR="006D2C43" w:rsidRPr="009C6218" w:rsidRDefault="007773D8" w:rsidP="004749BC">
      <w:pPr>
        <w:numPr>
          <w:ilvl w:val="0"/>
          <w:numId w:val="1"/>
        </w:numPr>
        <w:spacing w:after="200" w:line="276" w:lineRule="auto"/>
        <w:ind w:left="567" w:hanging="567"/>
        <w:rPr>
          <w:lang w:val="fr-CA"/>
        </w:rPr>
      </w:pPr>
      <w:r w:rsidRPr="009C6218">
        <w:rPr>
          <w:lang w:val="fr-CA"/>
        </w:rPr>
        <w:t>La juge de paix a clairement déclaré dans son témoignage qu’elle avait délibérément évité de discuter avec ses collègues ou de</w:t>
      </w:r>
      <w:r w:rsidR="00480E4A" w:rsidRPr="009C6218">
        <w:rPr>
          <w:lang w:val="fr-CA"/>
        </w:rPr>
        <w:t xml:space="preserve"> leur demander leur avis avant d’écrire l’Article</w:t>
      </w:r>
      <w:r w:rsidR="006D2C43" w:rsidRPr="009C6218">
        <w:rPr>
          <w:rStyle w:val="FootnoteReference"/>
          <w:lang w:val="fr-CA"/>
        </w:rPr>
        <w:footnoteReference w:id="9"/>
      </w:r>
      <w:r w:rsidR="00480E4A" w:rsidRPr="009C6218">
        <w:rPr>
          <w:lang w:val="fr-CA"/>
        </w:rPr>
        <w:t>.</w:t>
      </w:r>
    </w:p>
    <w:p w14:paraId="4AC1DF54" w14:textId="732B4A75" w:rsidR="006D2C43" w:rsidRPr="009C6218" w:rsidRDefault="000B12BA" w:rsidP="004749BC">
      <w:pPr>
        <w:numPr>
          <w:ilvl w:val="0"/>
          <w:numId w:val="1"/>
        </w:numPr>
        <w:spacing w:after="200" w:line="276" w:lineRule="auto"/>
        <w:ind w:left="567" w:hanging="567"/>
        <w:rPr>
          <w:lang w:val="fr-CA"/>
        </w:rPr>
      </w:pPr>
      <w:r w:rsidRPr="009C6218">
        <w:rPr>
          <w:lang w:val="fr-CA"/>
        </w:rPr>
        <w:lastRenderedPageBreak/>
        <w:t xml:space="preserve">Nous acceptons qu’au moment de la rédaction de l’Article il y avait des problèmes systémiques graves dans les tribunaux chargés de la mise en liberté sous caution de l’Ontario. Une culture anti-risques </w:t>
      </w:r>
      <w:r w:rsidR="001D76B6">
        <w:rPr>
          <w:lang w:val="fr-CA"/>
        </w:rPr>
        <w:t>expliquait</w:t>
      </w:r>
      <w:r w:rsidRPr="009C6218">
        <w:rPr>
          <w:lang w:val="fr-CA"/>
        </w:rPr>
        <w:t xml:space="preserve"> une partie des problèmes </w:t>
      </w:r>
      <w:r w:rsidR="001D76B6">
        <w:rPr>
          <w:lang w:val="fr-CA"/>
        </w:rPr>
        <w:t>soulevés</w:t>
      </w:r>
      <w:r w:rsidRPr="009C6218">
        <w:rPr>
          <w:lang w:val="fr-CA"/>
        </w:rPr>
        <w:t xml:space="preserve"> par les positions en matière de mise en liberté sous caution et les décisions en la matière. Cependant, il y avait d’autres problèmes, dont un manque d’uniformité dans l’application des dispositions relatives à la mise en liberté sous caution. De nombreux rapports, étud</w:t>
      </w:r>
      <w:r w:rsidR="001D76B6">
        <w:rPr>
          <w:lang w:val="fr-CA"/>
        </w:rPr>
        <w:t>es</w:t>
      </w:r>
      <w:r w:rsidRPr="009C6218">
        <w:rPr>
          <w:lang w:val="fr-CA"/>
        </w:rPr>
        <w:t xml:space="preserve"> et commentaires font état de ces problèmes, avant et après la date de l’Article</w:t>
      </w:r>
      <w:r w:rsidR="006D2C43" w:rsidRPr="009C6218">
        <w:rPr>
          <w:rStyle w:val="FootnoteReference"/>
          <w:lang w:val="fr-CA"/>
        </w:rPr>
        <w:footnoteReference w:id="10"/>
      </w:r>
      <w:r w:rsidR="006D2C43" w:rsidRPr="009C6218">
        <w:rPr>
          <w:lang w:val="fr-CA"/>
        </w:rPr>
        <w:t xml:space="preserve">. </w:t>
      </w:r>
      <w:r w:rsidRPr="009C6218">
        <w:rPr>
          <w:lang w:val="fr-CA"/>
        </w:rPr>
        <w:t xml:space="preserve">Voir aussi l’arrêt de la Cour suprême du Canada dans l’affaire </w:t>
      </w:r>
      <w:r w:rsidR="006D2C43" w:rsidRPr="009C6218">
        <w:rPr>
          <w:i/>
          <w:lang w:val="fr-CA"/>
        </w:rPr>
        <w:t xml:space="preserve">R. </w:t>
      </w:r>
      <w:r w:rsidRPr="009C6218">
        <w:rPr>
          <w:i/>
          <w:lang w:val="fr-CA"/>
        </w:rPr>
        <w:t>c</w:t>
      </w:r>
      <w:r w:rsidR="006D2C43" w:rsidRPr="009C6218">
        <w:rPr>
          <w:i/>
          <w:lang w:val="fr-CA"/>
        </w:rPr>
        <w:t xml:space="preserve">. </w:t>
      </w:r>
      <w:proofErr w:type="spellStart"/>
      <w:r w:rsidR="006D2C43" w:rsidRPr="009C6218">
        <w:rPr>
          <w:i/>
          <w:lang w:val="fr-CA"/>
        </w:rPr>
        <w:t>Antic</w:t>
      </w:r>
      <w:proofErr w:type="spellEnd"/>
      <w:r w:rsidR="006D2C43" w:rsidRPr="009C6218">
        <w:rPr>
          <w:i/>
          <w:lang w:val="fr-CA"/>
        </w:rPr>
        <w:t>,</w:t>
      </w:r>
      <w:r w:rsidR="006D2C43" w:rsidRPr="009C6218">
        <w:rPr>
          <w:lang w:val="fr-CA"/>
        </w:rPr>
        <w:t xml:space="preserve"> 2017</w:t>
      </w:r>
      <w:r w:rsidR="006D2C43" w:rsidRPr="009C6218">
        <w:rPr>
          <w:i/>
          <w:lang w:val="fr-CA"/>
        </w:rPr>
        <w:t xml:space="preserve"> </w:t>
      </w:r>
      <w:r w:rsidRPr="009C6218">
        <w:rPr>
          <w:i/>
          <w:lang w:val="fr-CA"/>
        </w:rPr>
        <w:t>CSC</w:t>
      </w:r>
      <w:r w:rsidR="006D2C43" w:rsidRPr="009C6218">
        <w:rPr>
          <w:i/>
          <w:lang w:val="fr-CA"/>
        </w:rPr>
        <w:t xml:space="preserve"> 27</w:t>
      </w:r>
      <w:r w:rsidRPr="009C6218">
        <w:rPr>
          <w:i/>
          <w:lang w:val="fr-CA"/>
        </w:rPr>
        <w:t>,</w:t>
      </w:r>
      <w:r w:rsidR="006D2C43" w:rsidRPr="009C6218">
        <w:rPr>
          <w:lang w:val="fr-CA"/>
        </w:rPr>
        <w:t xml:space="preserve"> a</w:t>
      </w:r>
      <w:r w:rsidRPr="009C6218">
        <w:rPr>
          <w:lang w:val="fr-CA"/>
        </w:rPr>
        <w:t>ux</w:t>
      </w:r>
      <w:r w:rsidR="006D2C43" w:rsidRPr="009C6218">
        <w:rPr>
          <w:lang w:val="fr-CA"/>
        </w:rPr>
        <w:t xml:space="preserve"> paragraph</w:t>
      </w:r>
      <w:r w:rsidRPr="009C6218">
        <w:rPr>
          <w:lang w:val="fr-CA"/>
        </w:rPr>
        <w:t>e</w:t>
      </w:r>
      <w:r w:rsidR="006D2C43" w:rsidRPr="009C6218">
        <w:rPr>
          <w:lang w:val="fr-CA"/>
        </w:rPr>
        <w:t>s 64-66.</w:t>
      </w:r>
    </w:p>
    <w:p w14:paraId="0AA164F9" w14:textId="5BAE9CFC" w:rsidR="006D2C43" w:rsidRPr="009C6218" w:rsidRDefault="00B95995" w:rsidP="004749BC">
      <w:pPr>
        <w:numPr>
          <w:ilvl w:val="0"/>
          <w:numId w:val="1"/>
        </w:numPr>
        <w:spacing w:after="200" w:line="276" w:lineRule="auto"/>
        <w:ind w:left="567" w:hanging="567"/>
        <w:rPr>
          <w:lang w:val="fr-CA"/>
        </w:rPr>
      </w:pPr>
      <w:r w:rsidRPr="009C6218">
        <w:rPr>
          <w:lang w:val="fr-CA"/>
        </w:rPr>
        <w:t>Dans les circonstances, le comité d’audition ne comprend pas comment l’expérience de quelques collègues de la juge de paix pourrait l’aider à trancher la principale question en litige dont il est saisi. À ce stade de l’instance, nous devons examiner la question de savoir si la juge de paix s’est conduite d’une manière incompatible avec sa charge judiciaire, lorsqu’elle a écrit l’Article comme elle l’a fait</w:t>
      </w:r>
      <w:r w:rsidR="006D2C43" w:rsidRPr="009C6218">
        <w:rPr>
          <w:lang w:val="fr-CA"/>
        </w:rPr>
        <w:t xml:space="preserve">; </w:t>
      </w:r>
      <w:r w:rsidRPr="009C6218">
        <w:rPr>
          <w:lang w:val="fr-CA"/>
        </w:rPr>
        <w:t xml:space="preserve">c’est-à-dire en tenant compte de la plateforme choisie, de la langue, du ton et du contenu d’un article dont elle est l’auteur. Elle a affirmé qu’elle avait fait le choix délibéré de ne pas consulter ses collègues ou quelqu’un d’autre avant de publier l’article. </w:t>
      </w:r>
    </w:p>
    <w:p w14:paraId="5436BEFB" w14:textId="20E631FD" w:rsidR="00D74CBA" w:rsidRPr="009C6218" w:rsidRDefault="00B95995" w:rsidP="00027E0C">
      <w:pPr>
        <w:pStyle w:val="Heading2"/>
        <w:spacing w:after="360"/>
        <w:rPr>
          <w:rFonts w:eastAsia="Arial"/>
          <w:lang w:val="fr-CA"/>
        </w:rPr>
      </w:pPr>
      <w:bookmarkStart w:id="15" w:name="_Toc42946529"/>
      <w:r w:rsidRPr="009C6218">
        <w:rPr>
          <w:lang w:val="fr-CA"/>
        </w:rPr>
        <w:t xml:space="preserve">Observations de l’avocat chargé </w:t>
      </w:r>
      <w:r w:rsidR="002C390C" w:rsidRPr="009C6218">
        <w:rPr>
          <w:rFonts w:eastAsia="Arial" w:cs="Times New Roman"/>
          <w:szCs w:val="22"/>
          <w:lang w:val="fr-CA"/>
        </w:rPr>
        <w:t xml:space="preserve">de la présentation </w:t>
      </w:r>
      <w:r w:rsidRPr="009C6218">
        <w:rPr>
          <w:lang w:val="fr-CA"/>
        </w:rPr>
        <w:t xml:space="preserve">sur la décision </w:t>
      </w:r>
      <w:bookmarkEnd w:id="15"/>
      <w:r w:rsidR="00C6452A">
        <w:rPr>
          <w:lang w:val="fr-CA"/>
        </w:rPr>
        <w:t>finale</w:t>
      </w:r>
    </w:p>
    <w:p w14:paraId="509CC973" w14:textId="3E0D8C69" w:rsidR="006D2C43" w:rsidRPr="009C6218" w:rsidRDefault="003E115B" w:rsidP="00027E0C">
      <w:pPr>
        <w:numPr>
          <w:ilvl w:val="0"/>
          <w:numId w:val="1"/>
        </w:numPr>
        <w:spacing w:after="360" w:line="276" w:lineRule="auto"/>
        <w:ind w:left="567" w:hanging="567"/>
        <w:rPr>
          <w:lang w:val="fr-CA"/>
        </w:rPr>
      </w:pPr>
      <w:r w:rsidRPr="009C6218">
        <w:rPr>
          <w:lang w:val="fr-CA"/>
        </w:rPr>
        <w:t xml:space="preserve">Dans ses observations écrites, l’avocat chargé </w:t>
      </w:r>
      <w:r w:rsidR="002C390C" w:rsidRPr="009C6218">
        <w:rPr>
          <w:rFonts w:eastAsia="Arial" w:cs="Times New Roman"/>
          <w:szCs w:val="22"/>
          <w:lang w:val="fr-CA"/>
        </w:rPr>
        <w:t xml:space="preserve">de la présentation </w:t>
      </w:r>
      <w:r w:rsidRPr="009C6218">
        <w:rPr>
          <w:lang w:val="fr-CA"/>
        </w:rPr>
        <w:t>a parlé de la gravité de l’inconduite présumée</w:t>
      </w:r>
      <w:r w:rsidR="006D2C43" w:rsidRPr="009C6218">
        <w:rPr>
          <w:rStyle w:val="FootnoteReference"/>
          <w:lang w:val="fr-CA"/>
        </w:rPr>
        <w:footnoteReference w:id="11"/>
      </w:r>
      <w:r w:rsidRPr="009C6218">
        <w:rPr>
          <w:lang w:val="fr-CA"/>
        </w:rPr>
        <w:t>. Il se fondait en partie sur des commentaires au sujet du témoignage de la juge de paix en général et, plus précisément, sur sa conduite au cours de l’instance, qui, selon l’avocat chargé de la présentation, démontrait ce qui suit :</w:t>
      </w:r>
    </w:p>
    <w:p w14:paraId="29E92A5B" w14:textId="653BBDCF" w:rsidR="006D2C43" w:rsidRPr="009C6218" w:rsidRDefault="003E115B" w:rsidP="004749BC">
      <w:pPr>
        <w:pStyle w:val="ListParagraph"/>
        <w:numPr>
          <w:ilvl w:val="0"/>
          <w:numId w:val="6"/>
        </w:numPr>
        <w:spacing w:after="200" w:line="276" w:lineRule="auto"/>
        <w:ind w:left="1134" w:right="855" w:hanging="283"/>
        <w:rPr>
          <w:lang w:val="fr-CA"/>
        </w:rPr>
      </w:pPr>
      <w:r w:rsidRPr="009C6218">
        <w:rPr>
          <w:lang w:val="fr-CA"/>
        </w:rPr>
        <w:t xml:space="preserve">une partialité apparente et réelle, et continue; </w:t>
      </w:r>
    </w:p>
    <w:p w14:paraId="710AACEA" w14:textId="159B78AD" w:rsidR="006D2C43" w:rsidRPr="009C6218" w:rsidRDefault="003E115B" w:rsidP="004749BC">
      <w:pPr>
        <w:pStyle w:val="ListParagraph"/>
        <w:numPr>
          <w:ilvl w:val="0"/>
          <w:numId w:val="6"/>
        </w:numPr>
        <w:spacing w:after="200" w:line="276" w:lineRule="auto"/>
        <w:ind w:left="1134" w:right="855" w:hanging="283"/>
        <w:rPr>
          <w:lang w:val="fr-CA"/>
        </w:rPr>
      </w:pPr>
      <w:r w:rsidRPr="009C6218">
        <w:rPr>
          <w:lang w:val="fr-CA"/>
        </w:rPr>
        <w:t>un manque de remord</w:t>
      </w:r>
      <w:r w:rsidR="001D76B6">
        <w:rPr>
          <w:lang w:val="fr-CA"/>
        </w:rPr>
        <w:t>s</w:t>
      </w:r>
      <w:r w:rsidR="006D2C43" w:rsidRPr="009C6218">
        <w:rPr>
          <w:lang w:val="fr-CA"/>
        </w:rPr>
        <w:t>;</w:t>
      </w:r>
    </w:p>
    <w:p w14:paraId="41986E44" w14:textId="12620BD2" w:rsidR="006D2C43" w:rsidRPr="009C6218" w:rsidRDefault="003E115B" w:rsidP="004749BC">
      <w:pPr>
        <w:pStyle w:val="ListParagraph"/>
        <w:numPr>
          <w:ilvl w:val="0"/>
          <w:numId w:val="6"/>
        </w:numPr>
        <w:spacing w:after="200" w:line="276" w:lineRule="auto"/>
        <w:ind w:left="1134" w:right="855" w:hanging="283"/>
        <w:rPr>
          <w:lang w:val="fr-CA"/>
        </w:rPr>
      </w:pPr>
      <w:r w:rsidRPr="009C6218">
        <w:rPr>
          <w:lang w:val="fr-CA"/>
        </w:rPr>
        <w:t xml:space="preserve">un manque de compréhension du caractère inapproprié de sa conduite; </w:t>
      </w:r>
    </w:p>
    <w:p w14:paraId="0FCAF7DB" w14:textId="41ED1ADE" w:rsidR="006D2C43" w:rsidRPr="009C6218" w:rsidRDefault="003E115B" w:rsidP="004749BC">
      <w:pPr>
        <w:pStyle w:val="ListParagraph"/>
        <w:numPr>
          <w:ilvl w:val="0"/>
          <w:numId w:val="6"/>
        </w:numPr>
        <w:spacing w:after="200" w:line="276" w:lineRule="auto"/>
        <w:ind w:left="1134" w:right="855" w:hanging="283"/>
        <w:rPr>
          <w:lang w:val="fr-CA"/>
        </w:rPr>
      </w:pPr>
      <w:r w:rsidRPr="009C6218">
        <w:rPr>
          <w:lang w:val="fr-CA"/>
        </w:rPr>
        <w:t xml:space="preserve">un manque d’égard pour l’instance. </w:t>
      </w:r>
    </w:p>
    <w:p w14:paraId="426B9DB2" w14:textId="3DCD6A66" w:rsidR="006D2C43" w:rsidRPr="009C6218" w:rsidRDefault="003E115B" w:rsidP="004749BC">
      <w:pPr>
        <w:numPr>
          <w:ilvl w:val="0"/>
          <w:numId w:val="1"/>
        </w:numPr>
        <w:spacing w:after="200" w:line="276" w:lineRule="auto"/>
        <w:ind w:left="567" w:hanging="567"/>
        <w:rPr>
          <w:lang w:val="fr-CA"/>
        </w:rPr>
      </w:pPr>
      <w:r w:rsidRPr="009C6218">
        <w:rPr>
          <w:lang w:val="fr-CA"/>
        </w:rPr>
        <w:t xml:space="preserve">L’avocat de la juge de paix s’est opposé à ces observations, arguant qu’elles se rapportaient à la décision finale. En particulier, il a souligné une des observations, </w:t>
      </w:r>
      <w:r w:rsidRPr="009C6218">
        <w:rPr>
          <w:lang w:val="fr-CA"/>
        </w:rPr>
        <w:lastRenderedPageBreak/>
        <w:t>à savoir : « </w:t>
      </w:r>
      <w:r w:rsidR="001D76B6">
        <w:rPr>
          <w:lang w:val="fr-CA"/>
        </w:rPr>
        <w:t>Le</w:t>
      </w:r>
      <w:r w:rsidRPr="009C6218">
        <w:rPr>
          <w:lang w:val="fr-CA"/>
        </w:rPr>
        <w:t xml:space="preserve"> comité d’audition </w:t>
      </w:r>
      <w:r w:rsidR="001D76B6">
        <w:rPr>
          <w:lang w:val="fr-CA"/>
        </w:rPr>
        <w:t>pourrait</w:t>
      </w:r>
      <w:r w:rsidRPr="009C6218">
        <w:rPr>
          <w:lang w:val="fr-CA"/>
        </w:rPr>
        <w:t xml:space="preserve"> conclure que </w:t>
      </w:r>
      <w:r w:rsidR="006D2C43" w:rsidRPr="009C6218">
        <w:rPr>
          <w:lang w:val="fr-CA"/>
        </w:rPr>
        <w:t>[</w:t>
      </w:r>
      <w:r w:rsidRPr="009C6218">
        <w:rPr>
          <w:lang w:val="fr-CA"/>
        </w:rPr>
        <w:t>la juge de paix</w:t>
      </w:r>
      <w:r w:rsidR="006D2C43" w:rsidRPr="009C6218">
        <w:rPr>
          <w:lang w:val="fr-CA"/>
        </w:rPr>
        <w:t xml:space="preserve">] </w:t>
      </w:r>
      <w:r w:rsidRPr="009C6218">
        <w:rPr>
          <w:lang w:val="fr-CA"/>
        </w:rPr>
        <w:t>est incapable d’exécuter les fonctions de sa charge »</w:t>
      </w:r>
      <w:r w:rsidR="006D2C43" w:rsidRPr="009C6218">
        <w:rPr>
          <w:rStyle w:val="FootnoteReference"/>
          <w:lang w:val="fr-CA"/>
        </w:rPr>
        <w:footnoteReference w:id="12"/>
      </w:r>
      <w:r w:rsidRPr="009C6218">
        <w:rPr>
          <w:lang w:val="fr-CA"/>
        </w:rPr>
        <w:t>. Il affirme que ces observations sont présomptueuses et prématurées à ce stade de l’instance, où notre tâche est de déterminer si les deux allégations d’inconduite ont été établies ou non selon la prépondérance des probabilités. Il a comparé ces observations à des observations relatives à la peine avant une déclaration de culpabilité</w:t>
      </w:r>
      <w:r w:rsidR="006D2C43" w:rsidRPr="009C6218">
        <w:rPr>
          <w:lang w:val="fr-CA"/>
        </w:rPr>
        <w:t>.</w:t>
      </w:r>
    </w:p>
    <w:p w14:paraId="1048F640" w14:textId="7A166533" w:rsidR="006D2C43" w:rsidRPr="009C6218" w:rsidRDefault="00003E43" w:rsidP="00747EAE">
      <w:pPr>
        <w:numPr>
          <w:ilvl w:val="0"/>
          <w:numId w:val="1"/>
        </w:numPr>
        <w:spacing w:after="200" w:line="276" w:lineRule="auto"/>
        <w:ind w:left="567" w:hanging="567"/>
        <w:rPr>
          <w:lang w:val="fr-CA"/>
        </w:rPr>
      </w:pPr>
      <w:r w:rsidRPr="009C6218">
        <w:rPr>
          <w:lang w:val="fr-CA"/>
        </w:rPr>
        <w:t xml:space="preserve">L’avocat chargé </w:t>
      </w:r>
      <w:r w:rsidR="002C390C" w:rsidRPr="009C6218">
        <w:rPr>
          <w:rFonts w:eastAsia="Arial" w:cs="Times New Roman"/>
          <w:szCs w:val="22"/>
          <w:lang w:val="fr-CA"/>
        </w:rPr>
        <w:t>de la présentation</w:t>
      </w:r>
      <w:r w:rsidRPr="009C6218">
        <w:rPr>
          <w:lang w:val="fr-CA"/>
        </w:rPr>
        <w:t>, Me</w:t>
      </w:r>
      <w:r w:rsidR="006D2C43" w:rsidRPr="009C6218">
        <w:rPr>
          <w:lang w:val="fr-CA"/>
        </w:rPr>
        <w:t xml:space="preserve"> </w:t>
      </w:r>
      <w:r w:rsidR="005A732D" w:rsidRPr="009C6218">
        <w:rPr>
          <w:lang w:val="fr-CA"/>
        </w:rPr>
        <w:t xml:space="preserve">Ian </w:t>
      </w:r>
      <w:r w:rsidR="006D2C43" w:rsidRPr="009C6218">
        <w:rPr>
          <w:lang w:val="fr-CA"/>
        </w:rPr>
        <w:t xml:space="preserve">Smith, </w:t>
      </w:r>
      <w:r w:rsidRPr="009C6218">
        <w:rPr>
          <w:lang w:val="fr-CA"/>
        </w:rPr>
        <w:t xml:space="preserve">a répondu que </w:t>
      </w:r>
      <w:r w:rsidR="001D76B6">
        <w:rPr>
          <w:lang w:val="fr-CA"/>
        </w:rPr>
        <w:t>l</w:t>
      </w:r>
      <w:r w:rsidRPr="009C6218">
        <w:rPr>
          <w:lang w:val="fr-CA"/>
        </w:rPr>
        <w:t xml:space="preserve">es observations étaient appropriées et nécessaires pour aider le comité d’audition à établir la gravité de l’inconduite. Ce n’est pas </w:t>
      </w:r>
      <w:r w:rsidR="001D76B6">
        <w:rPr>
          <w:lang w:val="fr-CA"/>
        </w:rPr>
        <w:t>n’importe quelle</w:t>
      </w:r>
      <w:r w:rsidRPr="009C6218">
        <w:rPr>
          <w:lang w:val="fr-CA"/>
        </w:rPr>
        <w:t xml:space="preserve"> conduite inappropriée qui </w:t>
      </w:r>
      <w:r w:rsidR="001D76B6">
        <w:rPr>
          <w:lang w:val="fr-CA"/>
        </w:rPr>
        <w:t xml:space="preserve">est </w:t>
      </w:r>
      <w:r w:rsidRPr="009C6218">
        <w:rPr>
          <w:lang w:val="fr-CA"/>
        </w:rPr>
        <w:t xml:space="preserve">caractérisée d’inconduite judiciaire. Il faut que la conduite inappropriée soit </w:t>
      </w:r>
      <w:r w:rsidR="00747EAE" w:rsidRPr="009C6218">
        <w:rPr>
          <w:lang w:val="fr-CA"/>
        </w:rPr>
        <w:t>si gravement contraire aux principes d'impartialité, d'intégrité et d'indépendance judiciaires qu'elle a miné la confiance du public</w:t>
      </w:r>
      <w:r w:rsidR="006D2C43" w:rsidRPr="009C6218">
        <w:rPr>
          <w:lang w:val="fr-CA"/>
        </w:rPr>
        <w:t>.</w:t>
      </w:r>
    </w:p>
    <w:p w14:paraId="7133441A" w14:textId="11F7ACC5" w:rsidR="006D2C43" w:rsidRPr="009C6218" w:rsidRDefault="00E11A38" w:rsidP="00747EAE">
      <w:pPr>
        <w:numPr>
          <w:ilvl w:val="0"/>
          <w:numId w:val="1"/>
        </w:numPr>
        <w:spacing w:after="200" w:line="276" w:lineRule="auto"/>
        <w:ind w:left="567" w:hanging="567"/>
        <w:rPr>
          <w:lang w:val="fr-CA"/>
        </w:rPr>
      </w:pPr>
      <w:r w:rsidRPr="009C6218">
        <w:rPr>
          <w:lang w:val="fr-CA"/>
        </w:rPr>
        <w:t xml:space="preserve">Ainsi, Me </w:t>
      </w:r>
      <w:r w:rsidR="006D2C43" w:rsidRPr="009C6218">
        <w:rPr>
          <w:lang w:val="fr-CA"/>
        </w:rPr>
        <w:t>Smith s</w:t>
      </w:r>
      <w:r w:rsidRPr="009C6218">
        <w:rPr>
          <w:lang w:val="fr-CA"/>
        </w:rPr>
        <w:t>outient que les observations visées sont nécessaires pour permettre au comité d’audition de déterminer si une mesure de redressement est nécessaire, et pas quelle d</w:t>
      </w:r>
      <w:r w:rsidR="001D76B6">
        <w:rPr>
          <w:lang w:val="fr-CA"/>
        </w:rPr>
        <w:t xml:space="preserve">evrait </w:t>
      </w:r>
      <w:r w:rsidRPr="009C6218">
        <w:rPr>
          <w:lang w:val="fr-CA"/>
        </w:rPr>
        <w:t>être cette mesure.</w:t>
      </w:r>
    </w:p>
    <w:p w14:paraId="68CC8646" w14:textId="2F8EA4E6" w:rsidR="006D2C43" w:rsidRPr="009C6218" w:rsidRDefault="00E11A38" w:rsidP="004749BC">
      <w:pPr>
        <w:numPr>
          <w:ilvl w:val="0"/>
          <w:numId w:val="1"/>
        </w:numPr>
        <w:spacing w:after="200" w:line="276" w:lineRule="auto"/>
        <w:ind w:left="567" w:hanging="567"/>
        <w:rPr>
          <w:lang w:val="fr-CA"/>
        </w:rPr>
      </w:pPr>
      <w:r w:rsidRPr="009C6218">
        <w:rPr>
          <w:lang w:val="fr-CA"/>
        </w:rPr>
        <w:t xml:space="preserve">Nous ne pensons pas que les observations de l’avocat chargé </w:t>
      </w:r>
      <w:r w:rsidR="002C390C" w:rsidRPr="009C6218">
        <w:rPr>
          <w:rFonts w:eastAsia="Arial" w:cs="Times New Roman"/>
          <w:szCs w:val="22"/>
          <w:lang w:val="fr-CA"/>
        </w:rPr>
        <w:t xml:space="preserve">de la présentation </w:t>
      </w:r>
      <w:r w:rsidRPr="009C6218">
        <w:rPr>
          <w:lang w:val="fr-CA"/>
        </w:rPr>
        <w:t>sont préjudiciables à la juge de paix ou qu’elles risquent de nuire à la capacité du comité d’audition de demeurer impartial et d’évaluer les éléments de preuve pertinents à cette étape initiale de l’instance. Aucune mention n’est faite de questions extérieures à cette instance. La juge de paix a choisi de témoigner. Nous avons entendu ses réponses aux questions qui lui ont été posées et avons observé la façon dont elle a fait sa déposition</w:t>
      </w:r>
      <w:r w:rsidR="006D2C43" w:rsidRPr="009C6218">
        <w:rPr>
          <w:lang w:val="fr-CA"/>
        </w:rPr>
        <w:t>.</w:t>
      </w:r>
    </w:p>
    <w:p w14:paraId="2E0436F3" w14:textId="05B7EAE8" w:rsidR="006D2C43" w:rsidRPr="009C6218" w:rsidRDefault="00E11A38" w:rsidP="004749BC">
      <w:pPr>
        <w:numPr>
          <w:ilvl w:val="0"/>
          <w:numId w:val="1"/>
        </w:numPr>
        <w:spacing w:after="200" w:line="276" w:lineRule="auto"/>
        <w:ind w:left="567" w:hanging="567"/>
        <w:rPr>
          <w:lang w:val="fr-CA"/>
        </w:rPr>
      </w:pPr>
      <w:r w:rsidRPr="009C6218">
        <w:rPr>
          <w:lang w:val="fr-CA"/>
        </w:rPr>
        <w:t xml:space="preserve">Le comité d’audition conclut que tout le témoignage de la juge de paix concernant l’Article et, en particulier, sa motivation, ses objectifs, son choix de style, son contenu et son ton, ainsi que ses </w:t>
      </w:r>
      <w:r w:rsidR="00965B66" w:rsidRPr="009C6218">
        <w:rPr>
          <w:lang w:val="fr-CA"/>
        </w:rPr>
        <w:t>propos</w:t>
      </w:r>
      <w:r w:rsidRPr="009C6218">
        <w:rPr>
          <w:lang w:val="fr-CA"/>
        </w:rPr>
        <w:t xml:space="preserve"> au sujet de la décision de la juge Ratushny sur la </w:t>
      </w:r>
      <w:r w:rsidRPr="009C6218">
        <w:rPr>
          <w:rFonts w:eastAsia="Arial" w:cs="Times New Roman"/>
          <w:szCs w:val="22"/>
          <w:lang w:val="fr-CA"/>
        </w:rPr>
        <w:t>révision de la mise en liberté sous caution</w:t>
      </w:r>
      <w:r w:rsidRPr="009C6218">
        <w:rPr>
          <w:lang w:val="fr-CA"/>
        </w:rPr>
        <w:t xml:space="preserve"> sont directement pertinents pour les allégations</w:t>
      </w:r>
      <w:r w:rsidR="006D2C43" w:rsidRPr="009C6218">
        <w:rPr>
          <w:lang w:val="fr-CA"/>
        </w:rPr>
        <w:t>.</w:t>
      </w:r>
    </w:p>
    <w:p w14:paraId="53C2847E" w14:textId="06F28508" w:rsidR="006D2C43" w:rsidRPr="009C6218" w:rsidRDefault="00CF5EBA" w:rsidP="004749BC">
      <w:pPr>
        <w:numPr>
          <w:ilvl w:val="0"/>
          <w:numId w:val="1"/>
        </w:numPr>
        <w:spacing w:after="200" w:line="276" w:lineRule="auto"/>
        <w:ind w:left="567" w:hanging="567"/>
        <w:rPr>
          <w:lang w:val="fr-CA"/>
        </w:rPr>
      </w:pPr>
      <w:r w:rsidRPr="009C6218">
        <w:rPr>
          <w:lang w:val="fr-CA"/>
        </w:rPr>
        <w:t xml:space="preserve">Le comité d’audition peut s’écarter de toute observation qui </w:t>
      </w:r>
      <w:r w:rsidRPr="009C6218">
        <w:rPr>
          <w:i/>
          <w:lang w:val="fr-CA"/>
        </w:rPr>
        <w:t>pourrait</w:t>
      </w:r>
      <w:r w:rsidRPr="009C6218">
        <w:rPr>
          <w:lang w:val="fr-CA"/>
        </w:rPr>
        <w:t xml:space="preserve"> être décrite comme pertinente pour la décision finale. Sans arriver à la conclusion que les observations de l’avocat chargé </w:t>
      </w:r>
      <w:r w:rsidR="002C390C" w:rsidRPr="009C6218">
        <w:rPr>
          <w:rFonts w:eastAsia="Arial" w:cs="Times New Roman"/>
          <w:szCs w:val="22"/>
          <w:lang w:val="fr-CA"/>
        </w:rPr>
        <w:t>de la présentation</w:t>
      </w:r>
      <w:r w:rsidRPr="009C6218">
        <w:rPr>
          <w:lang w:val="fr-CA"/>
        </w:rPr>
        <w:t xml:space="preserve">, aux paragraphes </w:t>
      </w:r>
      <w:r w:rsidR="006D2C43" w:rsidRPr="009C6218">
        <w:rPr>
          <w:lang w:val="fr-CA"/>
        </w:rPr>
        <w:t>79-97</w:t>
      </w:r>
      <w:r w:rsidRPr="009C6218">
        <w:rPr>
          <w:lang w:val="fr-CA"/>
        </w:rPr>
        <w:t>, sont inadéquates, nous acceptons de mettre ces observations « en réserve ». Nous nous sommes concentrés sur notre tâche initiale : déterminer si l’inconduite judiciaire a été prouvée selon la prépondérance des probabilités et</w:t>
      </w:r>
      <w:r w:rsidR="00C6452A">
        <w:rPr>
          <w:lang w:val="fr-CA"/>
        </w:rPr>
        <w:t>,</w:t>
      </w:r>
      <w:r w:rsidRPr="009C6218">
        <w:rPr>
          <w:lang w:val="fr-CA"/>
        </w:rPr>
        <w:t xml:space="preserve"> dans l’affirmative, si elle </w:t>
      </w:r>
      <w:r w:rsidR="00A33870" w:rsidRPr="009C6218">
        <w:rPr>
          <w:lang w:val="fr-CA"/>
        </w:rPr>
        <w:t>est grave au point de justifier la prise d’une mesure dans les circonstances</w:t>
      </w:r>
      <w:r w:rsidR="006D2C43" w:rsidRPr="009C6218">
        <w:rPr>
          <w:lang w:val="fr-CA"/>
        </w:rPr>
        <w:t>.</w:t>
      </w:r>
      <w:r w:rsidRPr="009C6218">
        <w:rPr>
          <w:lang w:val="fr-CA"/>
        </w:rPr>
        <w:t xml:space="preserve"> </w:t>
      </w:r>
    </w:p>
    <w:p w14:paraId="0644AF97" w14:textId="2F6205B2" w:rsidR="006D2C43" w:rsidRPr="009C6218" w:rsidRDefault="00A33870" w:rsidP="00D74CBA">
      <w:pPr>
        <w:pStyle w:val="Heading2"/>
        <w:rPr>
          <w:lang w:val="fr-CA"/>
        </w:rPr>
      </w:pPr>
      <w:bookmarkStart w:id="16" w:name="_Toc42946530"/>
      <w:r w:rsidRPr="009C6218">
        <w:rPr>
          <w:lang w:val="fr-CA"/>
        </w:rPr>
        <w:lastRenderedPageBreak/>
        <w:t>Observations de l’</w:t>
      </w:r>
      <w:r w:rsidR="006D2C43" w:rsidRPr="009C6218">
        <w:rPr>
          <w:lang w:val="fr-CA"/>
        </w:rPr>
        <w:t>AJPO</w:t>
      </w:r>
      <w:r w:rsidRPr="009C6218">
        <w:rPr>
          <w:lang w:val="fr-CA"/>
        </w:rPr>
        <w:t xml:space="preserve"> </w:t>
      </w:r>
      <w:r w:rsidRPr="00C6452A">
        <w:rPr>
          <w:lang w:val="fr-CA"/>
        </w:rPr>
        <w:t xml:space="preserve">sur </w:t>
      </w:r>
      <w:bookmarkEnd w:id="16"/>
      <w:r w:rsidR="00C6452A">
        <w:rPr>
          <w:lang w:val="fr-CA"/>
        </w:rPr>
        <w:t xml:space="preserve">la décision </w:t>
      </w:r>
      <w:r w:rsidRPr="00C6452A">
        <w:rPr>
          <w:lang w:val="fr-CA"/>
        </w:rPr>
        <w:t xml:space="preserve"> </w:t>
      </w:r>
    </w:p>
    <w:p w14:paraId="1410EF6D" w14:textId="11415DD1" w:rsidR="006D2C43" w:rsidRPr="009C6218" w:rsidRDefault="00A33870" w:rsidP="00D74CBA">
      <w:pPr>
        <w:numPr>
          <w:ilvl w:val="0"/>
          <w:numId w:val="1"/>
        </w:numPr>
        <w:spacing w:after="360" w:line="276" w:lineRule="auto"/>
        <w:ind w:left="567" w:hanging="567"/>
        <w:rPr>
          <w:lang w:val="fr-CA"/>
        </w:rPr>
      </w:pPr>
      <w:r w:rsidRPr="009C6218">
        <w:rPr>
          <w:lang w:val="fr-CA"/>
        </w:rPr>
        <w:t>Le comité d’audition a accordé à l’</w:t>
      </w:r>
      <w:r w:rsidR="000665EA" w:rsidRPr="009C6218">
        <w:rPr>
          <w:lang w:val="fr-CA"/>
        </w:rPr>
        <w:t>AJPO</w:t>
      </w:r>
      <w:r w:rsidR="006D2C43" w:rsidRPr="009C6218">
        <w:rPr>
          <w:rFonts w:eastAsia="Arial" w:cs="Times New Roman"/>
          <w:lang w:val="fr-CA"/>
        </w:rPr>
        <w:t xml:space="preserve"> </w:t>
      </w:r>
      <w:r w:rsidRPr="009C6218">
        <w:rPr>
          <w:rFonts w:eastAsia="Arial" w:cs="Times New Roman"/>
          <w:lang w:val="fr-CA"/>
        </w:rPr>
        <w:t xml:space="preserve">la qualité d’intervenant le 30 octobre </w:t>
      </w:r>
      <w:r w:rsidR="006D2C43" w:rsidRPr="009C6218">
        <w:rPr>
          <w:lang w:val="fr-CA"/>
        </w:rPr>
        <w:t>2018.</w:t>
      </w:r>
    </w:p>
    <w:p w14:paraId="68BDEB95" w14:textId="5EEA4A75" w:rsidR="006D2C43" w:rsidRPr="004D4B60" w:rsidRDefault="00A33870" w:rsidP="004749BC">
      <w:pPr>
        <w:numPr>
          <w:ilvl w:val="0"/>
          <w:numId w:val="1"/>
        </w:numPr>
        <w:spacing w:after="200" w:line="276" w:lineRule="auto"/>
        <w:ind w:left="567" w:hanging="567"/>
        <w:rPr>
          <w:lang w:val="fr-CA"/>
        </w:rPr>
      </w:pPr>
      <w:r w:rsidRPr="009C6218">
        <w:rPr>
          <w:lang w:val="fr-CA"/>
        </w:rPr>
        <w:t>La demande de l’</w:t>
      </w:r>
      <w:r w:rsidR="00604A59" w:rsidRPr="009C6218">
        <w:rPr>
          <w:lang w:val="fr-CA"/>
        </w:rPr>
        <w:t>AJPO</w:t>
      </w:r>
      <w:r w:rsidRPr="009C6218">
        <w:rPr>
          <w:lang w:val="fr-CA"/>
        </w:rPr>
        <w:t xml:space="preserve"> d’obtenir la permission d’intervenir se fondait sur son argument que sa contribution à l’instance se limiterait aux questions constitutionnelles et </w:t>
      </w:r>
      <w:r w:rsidRPr="004D4B60">
        <w:rPr>
          <w:lang w:val="fr-CA"/>
        </w:rPr>
        <w:t xml:space="preserve">juridiques relatives à la limite adéquate entre </w:t>
      </w:r>
      <w:r w:rsidR="004D4B60" w:rsidRPr="004D4B60">
        <w:rPr>
          <w:lang w:val="fr-CA"/>
        </w:rPr>
        <w:t xml:space="preserve">liberté d’expression </w:t>
      </w:r>
      <w:r w:rsidR="00EA1B91" w:rsidRPr="004D4B60">
        <w:rPr>
          <w:lang w:val="fr-CA"/>
        </w:rPr>
        <w:t xml:space="preserve">d’un officier de justice et </w:t>
      </w:r>
      <w:r w:rsidRPr="004D4B60">
        <w:rPr>
          <w:lang w:val="fr-CA"/>
        </w:rPr>
        <w:t xml:space="preserve">indépendance </w:t>
      </w:r>
      <w:r w:rsidR="00AA2800" w:rsidRPr="004D4B60">
        <w:rPr>
          <w:lang w:val="fr-CA"/>
        </w:rPr>
        <w:t>judiciaire</w:t>
      </w:r>
      <w:r w:rsidR="006D2C43" w:rsidRPr="004D4B60">
        <w:rPr>
          <w:lang w:val="fr-CA"/>
        </w:rPr>
        <w:t>.</w:t>
      </w:r>
    </w:p>
    <w:p w14:paraId="7A7CFE28" w14:textId="3F24EAE5" w:rsidR="006D2C43" w:rsidRPr="009C6218" w:rsidRDefault="00A33870" w:rsidP="004749BC">
      <w:pPr>
        <w:numPr>
          <w:ilvl w:val="0"/>
          <w:numId w:val="1"/>
        </w:numPr>
        <w:spacing w:after="200" w:line="276" w:lineRule="auto"/>
        <w:ind w:left="567" w:hanging="567"/>
        <w:rPr>
          <w:lang w:val="fr-CA"/>
        </w:rPr>
      </w:pPr>
      <w:r w:rsidRPr="009C6218">
        <w:rPr>
          <w:lang w:val="fr-CA"/>
        </w:rPr>
        <w:t>Lorsqu’un membre du comité d’audition a demandé à l’Association si elle promettait de ne pas prendre position à l’égard de la question de savoir si une inconduite judiciaire a été commise ou non, l’avocat de l’</w:t>
      </w:r>
      <w:r w:rsidR="00604A59" w:rsidRPr="009C6218">
        <w:rPr>
          <w:lang w:val="fr-CA"/>
        </w:rPr>
        <w:t>AJPO</w:t>
      </w:r>
      <w:r w:rsidR="006D2C43" w:rsidRPr="009C6218">
        <w:rPr>
          <w:lang w:val="fr-CA"/>
        </w:rPr>
        <w:t xml:space="preserve"> </w:t>
      </w:r>
      <w:r w:rsidRPr="009C6218">
        <w:rPr>
          <w:lang w:val="fr-CA"/>
        </w:rPr>
        <w:t>a rassuré le comité d’audition en ces termes : « Donc, nos observations vont être limitées</w:t>
      </w:r>
      <w:r w:rsidR="006D2C43" w:rsidRPr="009C6218">
        <w:rPr>
          <w:lang w:val="fr-CA"/>
        </w:rPr>
        <w:t xml:space="preserve">… </w:t>
      </w:r>
      <w:r w:rsidRPr="009C6218">
        <w:rPr>
          <w:lang w:val="fr-CA"/>
        </w:rPr>
        <w:t xml:space="preserve">Nous n’allons pas prendre position sur la plainte elle-même </w:t>
      </w:r>
      <w:r w:rsidR="006D2C43" w:rsidRPr="009C6218">
        <w:rPr>
          <w:lang w:val="fr-CA"/>
        </w:rPr>
        <w:t>…</w:t>
      </w:r>
      <w:r w:rsidRPr="009C6218">
        <w:rPr>
          <w:lang w:val="fr-CA"/>
        </w:rPr>
        <w:t> »</w:t>
      </w:r>
      <w:r w:rsidR="006D2C43" w:rsidRPr="009C6218">
        <w:rPr>
          <w:rStyle w:val="FootnoteReference"/>
          <w:lang w:val="fr-CA"/>
        </w:rPr>
        <w:footnoteReference w:id="13"/>
      </w:r>
      <w:r w:rsidR="001A39EB" w:rsidRPr="009C6218">
        <w:rPr>
          <w:lang w:val="fr-CA"/>
        </w:rPr>
        <w:t xml:space="preserve">. </w:t>
      </w:r>
      <w:r w:rsidR="001A39EB" w:rsidRPr="009C6218">
        <w:rPr>
          <w:rFonts w:eastAsia="Arial"/>
          <w:lang w:val="fr-CA"/>
        </w:rPr>
        <w:t>[TRADUCTION]</w:t>
      </w:r>
    </w:p>
    <w:p w14:paraId="36CEC4AB" w14:textId="08B5A0D2" w:rsidR="006D2C43" w:rsidRPr="009C6218" w:rsidRDefault="00545E18" w:rsidP="004749BC">
      <w:pPr>
        <w:numPr>
          <w:ilvl w:val="0"/>
          <w:numId w:val="1"/>
        </w:numPr>
        <w:spacing w:after="200" w:line="276" w:lineRule="auto"/>
        <w:ind w:left="567" w:hanging="567"/>
        <w:rPr>
          <w:lang w:val="fr-CA"/>
        </w:rPr>
      </w:pPr>
      <w:r w:rsidRPr="009C6218">
        <w:rPr>
          <w:rFonts w:eastAsia="Arial" w:cs="Times New Roman"/>
          <w:lang w:val="fr-CA"/>
        </w:rPr>
        <w:t>Cependant, dans ses observations écrites et orales, l’</w:t>
      </w:r>
      <w:r w:rsidR="006D2C43" w:rsidRPr="009C6218">
        <w:rPr>
          <w:rFonts w:eastAsia="Arial" w:cs="Times New Roman"/>
          <w:lang w:val="fr-CA"/>
        </w:rPr>
        <w:t xml:space="preserve">AJPO </w:t>
      </w:r>
      <w:r w:rsidRPr="009C6218">
        <w:rPr>
          <w:rFonts w:eastAsia="Arial" w:cs="Times New Roman"/>
          <w:lang w:val="fr-CA"/>
        </w:rPr>
        <w:t xml:space="preserve">s’est exprimée comme si elle était partie à l’instance en abordant les questions factuelles </w:t>
      </w:r>
      <w:r w:rsidR="004D4B60">
        <w:rPr>
          <w:rFonts w:eastAsia="Arial" w:cs="Times New Roman"/>
          <w:lang w:val="fr-CA"/>
        </w:rPr>
        <w:t xml:space="preserve">en jeu </w:t>
      </w:r>
      <w:r w:rsidRPr="009C6218">
        <w:rPr>
          <w:rFonts w:eastAsia="Arial" w:cs="Times New Roman"/>
          <w:lang w:val="fr-CA"/>
        </w:rPr>
        <w:t xml:space="preserve">à l’audience et en mentionnant le témoignage de la juge de paix sur ses perceptions et les </w:t>
      </w:r>
      <w:r w:rsidR="004D4B60">
        <w:rPr>
          <w:rFonts w:eastAsia="Arial" w:cs="Times New Roman"/>
          <w:lang w:val="fr-CA"/>
        </w:rPr>
        <w:t xml:space="preserve">dépositions </w:t>
      </w:r>
      <w:r w:rsidRPr="009C6218">
        <w:rPr>
          <w:rFonts w:eastAsia="Arial" w:cs="Times New Roman"/>
          <w:lang w:val="fr-CA"/>
        </w:rPr>
        <w:t>d’autres juges de paix devant notre comité d’aud</w:t>
      </w:r>
      <w:r w:rsidR="001A39EB" w:rsidRPr="009C6218">
        <w:rPr>
          <w:rFonts w:eastAsia="Arial" w:cs="Times New Roman"/>
          <w:lang w:val="fr-CA"/>
        </w:rPr>
        <w:t>i</w:t>
      </w:r>
      <w:r w:rsidRPr="009C6218">
        <w:rPr>
          <w:rFonts w:eastAsia="Arial" w:cs="Times New Roman"/>
          <w:lang w:val="fr-CA"/>
        </w:rPr>
        <w:t xml:space="preserve">tion, et en prenant à plusieurs reprises position </w:t>
      </w:r>
      <w:r w:rsidR="004D4B60">
        <w:rPr>
          <w:rFonts w:eastAsia="Arial" w:cs="Times New Roman"/>
          <w:lang w:val="fr-CA"/>
        </w:rPr>
        <w:t>à l’égard de</w:t>
      </w:r>
      <w:r w:rsidRPr="009C6218">
        <w:rPr>
          <w:rFonts w:eastAsia="Arial" w:cs="Times New Roman"/>
          <w:lang w:val="fr-CA"/>
        </w:rPr>
        <w:t xml:space="preserve"> la </w:t>
      </w:r>
      <w:r w:rsidR="00BE3FF2" w:rsidRPr="009C6218">
        <w:rPr>
          <w:rFonts w:eastAsia="Arial" w:cs="Times New Roman"/>
          <w:lang w:val="fr-CA"/>
        </w:rPr>
        <w:t>décision finale</w:t>
      </w:r>
      <w:r w:rsidR="006D2C43" w:rsidRPr="009C6218">
        <w:rPr>
          <w:rFonts w:eastAsia="Arial" w:cs="Times New Roman"/>
          <w:lang w:val="fr-CA"/>
        </w:rPr>
        <w:t>.</w:t>
      </w:r>
    </w:p>
    <w:p w14:paraId="3079A07A" w14:textId="2EB64949" w:rsidR="00AC7B83" w:rsidRPr="009C6218" w:rsidRDefault="00BE3FF2" w:rsidP="004749BC">
      <w:pPr>
        <w:numPr>
          <w:ilvl w:val="0"/>
          <w:numId w:val="1"/>
        </w:numPr>
        <w:spacing w:after="200" w:line="276" w:lineRule="auto"/>
        <w:ind w:left="567" w:hanging="567"/>
        <w:rPr>
          <w:lang w:val="fr-CA"/>
        </w:rPr>
      </w:pPr>
      <w:r w:rsidRPr="009C6218">
        <w:rPr>
          <w:rFonts w:eastAsia="Arial" w:cs="Times New Roman"/>
          <w:lang w:val="fr-CA"/>
        </w:rPr>
        <w:t>Dans ses observations écrites, l’avocat de l’</w:t>
      </w:r>
      <w:r w:rsidR="006D2C43" w:rsidRPr="009C6218">
        <w:rPr>
          <w:rFonts w:eastAsia="Arial" w:cs="Times New Roman"/>
          <w:lang w:val="fr-CA"/>
        </w:rPr>
        <w:t>AJPO</w:t>
      </w:r>
      <w:r w:rsidRPr="009C6218">
        <w:rPr>
          <w:rFonts w:eastAsia="Arial" w:cs="Times New Roman"/>
          <w:lang w:val="fr-CA"/>
        </w:rPr>
        <w:t xml:space="preserve"> a initialement déclaré qu’à la lumière du manque de respect </w:t>
      </w:r>
      <w:r w:rsidR="004D4B60">
        <w:rPr>
          <w:rFonts w:eastAsia="Arial" w:cs="Times New Roman"/>
          <w:lang w:val="fr-CA"/>
        </w:rPr>
        <w:t>dont</w:t>
      </w:r>
      <w:r w:rsidRPr="009C6218">
        <w:rPr>
          <w:rFonts w:eastAsia="Arial" w:cs="Times New Roman"/>
          <w:lang w:val="fr-CA"/>
        </w:rPr>
        <w:t xml:space="preserve"> témoigne la juge de paix envers sa charge judiciaire, des circonstances qui ont conduit à la publication de l’article et du rôle réparateur du comité d’audition, « </w:t>
      </w:r>
      <w:r w:rsidRPr="004D4B60">
        <w:rPr>
          <w:rFonts w:eastAsia="Arial" w:cs="Times New Roman"/>
          <w:u w:val="single"/>
          <w:lang w:val="fr-CA"/>
        </w:rPr>
        <w:t xml:space="preserve">il revient au Conseil de peser le besoin d’agir face à la plainte contre le </w:t>
      </w:r>
      <w:r w:rsidR="004D4B60">
        <w:rPr>
          <w:rFonts w:eastAsia="Arial" w:cs="Times New Roman"/>
          <w:u w:val="single"/>
          <w:lang w:val="fr-CA"/>
        </w:rPr>
        <w:t>contexte</w:t>
      </w:r>
      <w:r w:rsidRPr="004D4B60">
        <w:rPr>
          <w:rFonts w:eastAsia="Arial" w:cs="Times New Roman"/>
          <w:u w:val="single"/>
          <w:lang w:val="fr-CA"/>
        </w:rPr>
        <w:t xml:space="preserve"> de ces perceptions</w:t>
      </w:r>
      <w:r w:rsidRPr="009C6218">
        <w:rPr>
          <w:rFonts w:eastAsia="Arial" w:cs="Times New Roman"/>
          <w:lang w:val="fr-CA"/>
        </w:rPr>
        <w:t> »</w:t>
      </w:r>
      <w:r w:rsidR="009B41A7" w:rsidRPr="009C6218">
        <w:rPr>
          <w:rStyle w:val="FootnoteReference"/>
          <w:rFonts w:eastAsia="Arial" w:cs="Times New Roman"/>
          <w:lang w:val="fr-CA"/>
        </w:rPr>
        <w:footnoteReference w:id="14"/>
      </w:r>
      <w:r w:rsidR="001A39EB" w:rsidRPr="009C6218">
        <w:rPr>
          <w:rFonts w:eastAsia="Arial" w:cs="Times New Roman"/>
          <w:lang w:val="fr-CA"/>
        </w:rPr>
        <w:t>.</w:t>
      </w:r>
      <w:r w:rsidR="00AC7B83" w:rsidRPr="009C6218">
        <w:rPr>
          <w:rFonts w:eastAsia="Arial" w:cs="Times New Roman"/>
          <w:lang w:val="fr-CA"/>
        </w:rPr>
        <w:t xml:space="preserve"> </w:t>
      </w:r>
      <w:r w:rsidR="001A39EB" w:rsidRPr="009C6218">
        <w:rPr>
          <w:rFonts w:eastAsia="Arial"/>
          <w:lang w:val="fr-CA"/>
        </w:rPr>
        <w:t>[TRADUCTION]</w:t>
      </w:r>
      <w:r w:rsidR="001A39EB" w:rsidRPr="009C6218">
        <w:rPr>
          <w:rFonts w:eastAsia="Arial" w:cs="Times New Roman"/>
          <w:lang w:val="fr-CA"/>
        </w:rPr>
        <w:t xml:space="preserve"> </w:t>
      </w:r>
      <w:r w:rsidR="0039235F" w:rsidRPr="009C6218">
        <w:rPr>
          <w:rFonts w:eastAsia="Arial" w:cs="Times New Roman"/>
          <w:lang w:val="fr-CA"/>
        </w:rPr>
        <w:t>(</w:t>
      </w:r>
      <w:r w:rsidRPr="009C6218">
        <w:rPr>
          <w:rFonts w:eastAsia="Arial" w:cs="Times New Roman"/>
          <w:lang w:val="fr-CA"/>
        </w:rPr>
        <w:t>mise en valeur ajoutée</w:t>
      </w:r>
      <w:r w:rsidR="0039235F" w:rsidRPr="009C6218">
        <w:rPr>
          <w:rFonts w:eastAsia="Arial" w:cs="Times New Roman"/>
          <w:lang w:val="fr-CA"/>
        </w:rPr>
        <w:t>)</w:t>
      </w:r>
    </w:p>
    <w:p w14:paraId="5147C15B" w14:textId="2B2F7719" w:rsidR="00095A3B" w:rsidRPr="009C6218" w:rsidRDefault="00BE3FF2" w:rsidP="004749BC">
      <w:pPr>
        <w:numPr>
          <w:ilvl w:val="0"/>
          <w:numId w:val="1"/>
        </w:numPr>
        <w:spacing w:after="200" w:line="276" w:lineRule="auto"/>
        <w:ind w:left="567" w:hanging="567"/>
        <w:rPr>
          <w:lang w:val="fr-CA"/>
        </w:rPr>
      </w:pPr>
      <w:r w:rsidRPr="009C6218">
        <w:rPr>
          <w:rFonts w:eastAsia="Arial" w:cs="Times New Roman"/>
          <w:lang w:val="fr-CA"/>
        </w:rPr>
        <w:t>L’</w:t>
      </w:r>
      <w:r w:rsidR="00AC7B83" w:rsidRPr="009C6218">
        <w:rPr>
          <w:rFonts w:eastAsia="Arial" w:cs="Times New Roman"/>
          <w:lang w:val="fr-CA"/>
        </w:rPr>
        <w:t xml:space="preserve">AJPO </w:t>
      </w:r>
      <w:r w:rsidRPr="009C6218">
        <w:rPr>
          <w:rFonts w:eastAsia="Arial" w:cs="Times New Roman"/>
          <w:lang w:val="fr-CA"/>
        </w:rPr>
        <w:t>a ensuite été plus loin en faisant une remarque au sujet de la première allégation concernant l’Article. L’avocat de l’</w:t>
      </w:r>
      <w:r w:rsidR="000E3D14" w:rsidRPr="009C6218">
        <w:rPr>
          <w:rFonts w:eastAsia="Arial" w:cs="Times New Roman"/>
          <w:lang w:val="fr-CA"/>
        </w:rPr>
        <w:t>AJPO</w:t>
      </w:r>
      <w:r w:rsidR="009B41A7" w:rsidRPr="009C6218">
        <w:rPr>
          <w:rFonts w:eastAsia="Arial" w:cs="Times New Roman"/>
          <w:lang w:val="fr-CA"/>
        </w:rPr>
        <w:t xml:space="preserve"> </w:t>
      </w:r>
      <w:r w:rsidRPr="009C6218">
        <w:rPr>
          <w:rFonts w:eastAsia="Arial" w:cs="Times New Roman"/>
          <w:lang w:val="fr-CA"/>
        </w:rPr>
        <w:t>a déclaré que « même si l’article et les circonstances qui ont conduit à sa publication sont regrettables », lorsque le comité d’audition examinera la nature réparatrice de sa compétence, « </w:t>
      </w:r>
      <w:r w:rsidRPr="009C6218">
        <w:rPr>
          <w:rFonts w:eastAsia="Arial" w:cs="Times New Roman"/>
          <w:u w:val="single"/>
          <w:lang w:val="fr-CA"/>
        </w:rPr>
        <w:t>le Conseil n’aura aucune mesure à prendre</w:t>
      </w:r>
      <w:r w:rsidRPr="009C6218">
        <w:rPr>
          <w:rFonts w:eastAsia="Arial" w:cs="Times New Roman"/>
          <w:lang w:val="fr-CA"/>
        </w:rPr>
        <w:t> »</w:t>
      </w:r>
      <w:r w:rsidR="00095A3B" w:rsidRPr="009C6218">
        <w:rPr>
          <w:rFonts w:eastAsia="Arial" w:cs="Times New Roman"/>
          <w:lang w:val="fr-CA"/>
        </w:rPr>
        <w:t xml:space="preserve"> (</w:t>
      </w:r>
      <w:r w:rsidRPr="009C6218">
        <w:rPr>
          <w:rFonts w:eastAsia="Arial" w:cs="Times New Roman"/>
          <w:lang w:val="fr-CA"/>
        </w:rPr>
        <w:t>mise en valeur ajoutée</w:t>
      </w:r>
      <w:r w:rsidR="00095A3B" w:rsidRPr="009C6218">
        <w:rPr>
          <w:rFonts w:eastAsia="Arial" w:cs="Times New Roman"/>
          <w:lang w:val="fr-CA"/>
        </w:rPr>
        <w:t>)</w:t>
      </w:r>
      <w:r w:rsidRPr="009C6218">
        <w:rPr>
          <w:rFonts w:eastAsia="Arial" w:cs="Times New Roman"/>
          <w:lang w:val="fr-CA"/>
        </w:rPr>
        <w:t>.</w:t>
      </w:r>
      <w:r w:rsidR="00095A3B" w:rsidRPr="009C6218">
        <w:rPr>
          <w:rFonts w:eastAsia="Arial" w:cs="Times New Roman"/>
          <w:lang w:val="fr-CA"/>
        </w:rPr>
        <w:t xml:space="preserve"> </w:t>
      </w:r>
      <w:r w:rsidRPr="009C6218">
        <w:rPr>
          <w:rFonts w:eastAsia="Arial" w:cs="Times New Roman"/>
          <w:lang w:val="fr-CA"/>
        </w:rPr>
        <w:t>En parlant des circonstances de l’affaire, l’</w:t>
      </w:r>
      <w:r w:rsidR="00095A3B" w:rsidRPr="009C6218">
        <w:rPr>
          <w:rFonts w:eastAsia="Arial" w:cs="Times New Roman"/>
          <w:lang w:val="fr-CA"/>
        </w:rPr>
        <w:t>AJPO</w:t>
      </w:r>
      <w:r w:rsidRPr="009C6218">
        <w:rPr>
          <w:rFonts w:eastAsia="Arial" w:cs="Times New Roman"/>
          <w:lang w:val="fr-CA"/>
        </w:rPr>
        <w:t xml:space="preserve"> a encouragé le comité d’audition </w:t>
      </w:r>
      <w:proofErr w:type="spellStart"/>
      <w:r w:rsidRPr="009C6218">
        <w:rPr>
          <w:rFonts w:eastAsia="Arial" w:cs="Times New Roman"/>
          <w:lang w:val="fr-CA"/>
        </w:rPr>
        <w:t>a</w:t>
      </w:r>
      <w:proofErr w:type="spellEnd"/>
      <w:r w:rsidRPr="009C6218">
        <w:rPr>
          <w:rFonts w:eastAsia="Arial" w:cs="Times New Roman"/>
          <w:lang w:val="fr-CA"/>
        </w:rPr>
        <w:t xml:space="preserve"> considérer les circonstances ayant conduit aux plaintes comme « une conséquence regrettable de participants dévoués au système de justice qui ont fait ce qu’ils croyaient justes au sein d’un système subissant d’intenses pressions systémiques et une incertitude juridique »</w:t>
      </w:r>
      <w:r w:rsidR="009B41A7" w:rsidRPr="009C6218">
        <w:rPr>
          <w:rStyle w:val="FootnoteReference"/>
          <w:rFonts w:eastAsia="Arial" w:cs="Times New Roman"/>
          <w:lang w:val="fr-CA"/>
        </w:rPr>
        <w:footnoteReference w:id="15"/>
      </w:r>
      <w:r w:rsidR="001A39EB" w:rsidRPr="009C6218">
        <w:rPr>
          <w:rFonts w:eastAsia="Arial" w:cs="Times New Roman"/>
          <w:lang w:val="fr-CA"/>
        </w:rPr>
        <w:t xml:space="preserve">. </w:t>
      </w:r>
      <w:r w:rsidR="001A39EB" w:rsidRPr="009C6218">
        <w:rPr>
          <w:rFonts w:eastAsia="Arial"/>
          <w:lang w:val="fr-CA"/>
        </w:rPr>
        <w:t>[TRADUCTION]</w:t>
      </w:r>
    </w:p>
    <w:p w14:paraId="1719BFF8" w14:textId="04201088" w:rsidR="006D2C43" w:rsidRPr="009C6218" w:rsidRDefault="00825AF4" w:rsidP="004749BC">
      <w:pPr>
        <w:numPr>
          <w:ilvl w:val="0"/>
          <w:numId w:val="1"/>
        </w:numPr>
        <w:spacing w:after="200" w:line="276" w:lineRule="auto"/>
        <w:ind w:left="567" w:hanging="567"/>
        <w:rPr>
          <w:lang w:val="fr-CA"/>
        </w:rPr>
      </w:pPr>
      <w:r w:rsidRPr="009C6218">
        <w:rPr>
          <w:rFonts w:eastAsia="Arial" w:cs="Times New Roman"/>
          <w:lang w:val="fr-CA"/>
        </w:rPr>
        <w:lastRenderedPageBreak/>
        <w:t>Dans ses observations écrites, l’</w:t>
      </w:r>
      <w:r w:rsidR="0039235F" w:rsidRPr="009C6218">
        <w:rPr>
          <w:rFonts w:eastAsia="Arial" w:cs="Times New Roman"/>
          <w:lang w:val="fr-CA"/>
        </w:rPr>
        <w:t>AJPO</w:t>
      </w:r>
      <w:r w:rsidRPr="009C6218">
        <w:rPr>
          <w:rFonts w:eastAsia="Arial" w:cs="Times New Roman"/>
          <w:lang w:val="fr-CA"/>
        </w:rPr>
        <w:t xml:space="preserve"> est revenue sur la perception que les juges de paix se voient accorder moins de respect, bien qu’ils se trouvent en première ligne du système de justice, particulièrement vulnérables face à des pressions susceptibles d’entraver leur indépendance. L’</w:t>
      </w:r>
      <w:r w:rsidR="0039235F" w:rsidRPr="009C6218">
        <w:rPr>
          <w:rFonts w:eastAsia="Arial" w:cs="Times New Roman"/>
          <w:lang w:val="fr-CA"/>
        </w:rPr>
        <w:t xml:space="preserve">AJPO </w:t>
      </w:r>
      <w:r w:rsidRPr="009C6218">
        <w:rPr>
          <w:rFonts w:eastAsia="Arial" w:cs="Times New Roman"/>
          <w:lang w:val="fr-CA"/>
        </w:rPr>
        <w:t xml:space="preserve">a affirmé que « même si cette perception n’excuse pas l’omission de se conformer à ce qui serait autrement </w:t>
      </w:r>
      <w:r w:rsidR="00093192">
        <w:rPr>
          <w:rFonts w:eastAsia="Arial" w:cs="Times New Roman"/>
          <w:lang w:val="fr-CA"/>
        </w:rPr>
        <w:t>l</w:t>
      </w:r>
      <w:r w:rsidRPr="009C6218">
        <w:rPr>
          <w:rFonts w:eastAsia="Arial" w:cs="Times New Roman"/>
          <w:lang w:val="fr-CA"/>
        </w:rPr>
        <w:t xml:space="preserve">es normes </w:t>
      </w:r>
      <w:r w:rsidR="00093192">
        <w:rPr>
          <w:rFonts w:eastAsia="Arial" w:cs="Times New Roman"/>
          <w:lang w:val="fr-CA"/>
        </w:rPr>
        <w:t xml:space="preserve">les plus </w:t>
      </w:r>
      <w:r w:rsidRPr="009C6218">
        <w:rPr>
          <w:rFonts w:eastAsia="Arial" w:cs="Times New Roman"/>
          <w:lang w:val="fr-CA"/>
        </w:rPr>
        <w:t>élevées de conduite judiciaire », le comité d’audition a le droit d’en tenir compte pour déterminer si et dans quelle mesure une mesure est justifiée dans les circonstances</w:t>
      </w:r>
      <w:r w:rsidR="006D2C43" w:rsidRPr="009C6218">
        <w:rPr>
          <w:rStyle w:val="FootnoteReference"/>
          <w:rFonts w:eastAsia="Arial" w:cs="Times New Roman"/>
          <w:lang w:val="fr-CA"/>
        </w:rPr>
        <w:footnoteReference w:id="16"/>
      </w:r>
      <w:r w:rsidRPr="009C6218">
        <w:rPr>
          <w:rFonts w:eastAsia="Arial" w:cs="Times New Roman"/>
          <w:lang w:val="fr-CA"/>
        </w:rPr>
        <w:t>.</w:t>
      </w:r>
      <w:r w:rsidR="006D2C43" w:rsidRPr="009C6218">
        <w:rPr>
          <w:rFonts w:eastAsia="Arial" w:cs="Times New Roman"/>
          <w:lang w:val="fr-CA"/>
        </w:rPr>
        <w:t xml:space="preserve">  </w:t>
      </w:r>
    </w:p>
    <w:p w14:paraId="3D672CD9" w14:textId="587DB548" w:rsidR="00263C59" w:rsidRPr="009C6218" w:rsidRDefault="00825AF4" w:rsidP="00AA2800">
      <w:pPr>
        <w:numPr>
          <w:ilvl w:val="0"/>
          <w:numId w:val="1"/>
        </w:numPr>
        <w:spacing w:after="200" w:line="276" w:lineRule="auto"/>
        <w:ind w:left="567" w:hanging="567"/>
        <w:rPr>
          <w:lang w:val="fr-CA"/>
        </w:rPr>
      </w:pPr>
      <w:r w:rsidRPr="009C6218">
        <w:rPr>
          <w:rFonts w:eastAsia="Arial" w:cs="Times New Roman"/>
          <w:lang w:val="fr-CA"/>
        </w:rPr>
        <w:t>Enfin, l’</w:t>
      </w:r>
      <w:r w:rsidR="00263C59" w:rsidRPr="009C6218">
        <w:rPr>
          <w:rFonts w:eastAsia="Arial" w:cs="Times New Roman"/>
          <w:lang w:val="fr-CA"/>
        </w:rPr>
        <w:t xml:space="preserve">AJPO </w:t>
      </w:r>
      <w:r w:rsidRPr="009C6218">
        <w:rPr>
          <w:rFonts w:eastAsia="Arial" w:cs="Times New Roman"/>
          <w:lang w:val="fr-CA"/>
        </w:rPr>
        <w:t xml:space="preserve">a </w:t>
      </w:r>
      <w:r w:rsidR="00093192">
        <w:rPr>
          <w:rFonts w:eastAsia="Arial" w:cs="Times New Roman"/>
          <w:lang w:val="fr-CA"/>
        </w:rPr>
        <w:t>affirmé</w:t>
      </w:r>
      <w:r w:rsidRPr="009C6218">
        <w:rPr>
          <w:rFonts w:eastAsia="Arial" w:cs="Times New Roman"/>
          <w:lang w:val="fr-CA"/>
        </w:rPr>
        <w:t xml:space="preserve"> que le comité d’audition avait « le droit de conclure que les faits en cause en l’espèce découlaient de divers facteurs qui avaient été considérablement améliorés sous l’effet de nouvelles politiques, procédures et jurisprudence, de sorte que cette dynamique ne risque pas de se reproduire à l’avenir »</w:t>
      </w:r>
      <w:r w:rsidR="009B41A7" w:rsidRPr="009C6218">
        <w:rPr>
          <w:rStyle w:val="FootnoteReference"/>
          <w:rFonts w:eastAsia="Arial" w:cs="Times New Roman"/>
          <w:lang w:val="fr-CA"/>
        </w:rPr>
        <w:footnoteReference w:id="17"/>
      </w:r>
      <w:r w:rsidRPr="009C6218">
        <w:rPr>
          <w:rFonts w:eastAsia="Arial" w:cs="Times New Roman"/>
          <w:lang w:val="fr-CA"/>
        </w:rPr>
        <w:t>.</w:t>
      </w:r>
    </w:p>
    <w:p w14:paraId="4B8D6A2E" w14:textId="19B95767" w:rsidR="004E3186" w:rsidRPr="009C6218" w:rsidRDefault="00AA2800" w:rsidP="00AA2800">
      <w:pPr>
        <w:numPr>
          <w:ilvl w:val="0"/>
          <w:numId w:val="1"/>
        </w:numPr>
        <w:spacing w:after="200" w:line="276" w:lineRule="auto"/>
        <w:ind w:left="567" w:hanging="567"/>
        <w:rPr>
          <w:rFonts w:eastAsia="Arial" w:cs="Times New Roman"/>
          <w:sz w:val="32"/>
          <w:szCs w:val="32"/>
          <w:lang w:val="fr-CA"/>
        </w:rPr>
      </w:pPr>
      <w:r w:rsidRPr="009C6218">
        <w:rPr>
          <w:rFonts w:eastAsia="Arial" w:cs="Times New Roman"/>
          <w:lang w:val="fr-CA"/>
        </w:rPr>
        <w:t>Nous sommes d’avis que l’</w:t>
      </w:r>
      <w:r w:rsidR="004E3186" w:rsidRPr="009C6218">
        <w:rPr>
          <w:rFonts w:eastAsia="Arial" w:cs="Times New Roman"/>
          <w:lang w:val="fr-CA"/>
        </w:rPr>
        <w:t xml:space="preserve">AJPO </w:t>
      </w:r>
      <w:r w:rsidRPr="009C6218">
        <w:rPr>
          <w:rFonts w:eastAsia="Arial" w:cs="Times New Roman"/>
          <w:lang w:val="fr-CA"/>
        </w:rPr>
        <w:t>a dépassé l’étendue de son intervention en descendant dans l'arène des faits</w:t>
      </w:r>
      <w:r w:rsidR="004E3186" w:rsidRPr="009C6218">
        <w:rPr>
          <w:rFonts w:eastAsia="Arial" w:cs="Times New Roman"/>
          <w:lang w:val="fr-CA"/>
        </w:rPr>
        <w:t xml:space="preserve">, </w:t>
      </w:r>
      <w:r w:rsidRPr="009C6218">
        <w:rPr>
          <w:rFonts w:eastAsia="Arial" w:cs="Times New Roman"/>
          <w:lang w:val="fr-CA"/>
        </w:rPr>
        <w:t xml:space="preserve">en faisant des observations sur la décision à prendre et en assumant un rôle de défenseur, au lieu de se limiter à sa contribution </w:t>
      </w:r>
      <w:r w:rsidR="00072D54" w:rsidRPr="009C6218">
        <w:rPr>
          <w:rFonts w:eastAsia="Arial" w:cs="Times New Roman"/>
          <w:lang w:val="fr-CA"/>
        </w:rPr>
        <w:t xml:space="preserve">prévue </w:t>
      </w:r>
      <w:r w:rsidRPr="009C6218">
        <w:rPr>
          <w:rFonts w:eastAsia="Arial" w:cs="Times New Roman"/>
          <w:lang w:val="fr-CA"/>
        </w:rPr>
        <w:t>à l’instance</w:t>
      </w:r>
      <w:r w:rsidR="00072D54" w:rsidRPr="009C6218">
        <w:rPr>
          <w:rFonts w:eastAsia="Arial" w:cs="Times New Roman"/>
          <w:lang w:val="fr-CA"/>
        </w:rPr>
        <w:t>, à savoir les</w:t>
      </w:r>
      <w:r w:rsidRPr="009C6218">
        <w:rPr>
          <w:rFonts w:eastAsia="Arial" w:cs="Times New Roman"/>
          <w:lang w:val="fr-CA"/>
        </w:rPr>
        <w:t xml:space="preserve"> questions juridiques et constitutionnelles </w:t>
      </w:r>
      <w:r w:rsidR="00072D54" w:rsidRPr="009C6218">
        <w:rPr>
          <w:rFonts w:eastAsia="Arial" w:cs="Times New Roman"/>
          <w:lang w:val="fr-CA"/>
        </w:rPr>
        <w:t xml:space="preserve">et la mesure où elles limitent </w:t>
      </w:r>
      <w:r w:rsidR="00093192">
        <w:rPr>
          <w:rFonts w:eastAsia="Arial" w:cs="Times New Roman"/>
          <w:lang w:val="fr-CA"/>
        </w:rPr>
        <w:t>la liberté d’expression des magistrats</w:t>
      </w:r>
      <w:r w:rsidR="00072D54" w:rsidRPr="009C6218">
        <w:rPr>
          <w:rFonts w:eastAsia="Arial" w:cs="Times New Roman"/>
          <w:lang w:val="fr-CA"/>
        </w:rPr>
        <w:t xml:space="preserve"> et l’indépendance judiciaire</w:t>
      </w:r>
      <w:r w:rsidR="004974A7" w:rsidRPr="009C6218">
        <w:rPr>
          <w:rFonts w:eastAsia="Arial" w:cs="Times New Roman"/>
          <w:lang w:val="fr-CA"/>
        </w:rPr>
        <w:t>.</w:t>
      </w:r>
      <w:r w:rsidR="004E3186" w:rsidRPr="009C6218">
        <w:rPr>
          <w:rFonts w:eastAsia="Arial" w:cs="Times New Roman"/>
          <w:lang w:val="fr-CA"/>
        </w:rPr>
        <w:t xml:space="preserve"> </w:t>
      </w:r>
    </w:p>
    <w:p w14:paraId="0A8F2E90" w14:textId="7BCFF14B" w:rsidR="00943E13" w:rsidRPr="009C6218" w:rsidRDefault="00072D54" w:rsidP="00AA2800">
      <w:pPr>
        <w:numPr>
          <w:ilvl w:val="0"/>
          <w:numId w:val="1"/>
        </w:numPr>
        <w:spacing w:after="200" w:line="276" w:lineRule="auto"/>
        <w:ind w:left="567" w:hanging="567"/>
        <w:rPr>
          <w:rFonts w:eastAsia="Arial" w:cs="Times New Roman"/>
          <w:sz w:val="32"/>
          <w:szCs w:val="32"/>
          <w:lang w:val="fr-CA"/>
        </w:rPr>
      </w:pPr>
      <w:r w:rsidRPr="009C6218">
        <w:rPr>
          <w:rFonts w:eastAsia="Arial" w:cs="Times New Roman"/>
          <w:lang w:val="fr-CA"/>
        </w:rPr>
        <w:t>Pour ces raisons, le comité d’audition n’a pas du tout tenu compte des observations de l’</w:t>
      </w:r>
      <w:r w:rsidR="006D2C43" w:rsidRPr="009C6218">
        <w:rPr>
          <w:rFonts w:eastAsia="Arial" w:cs="Times New Roman"/>
          <w:lang w:val="fr-CA"/>
        </w:rPr>
        <w:t>AJPO</w:t>
      </w:r>
      <w:r w:rsidRPr="009C6218">
        <w:rPr>
          <w:rFonts w:eastAsia="Arial" w:cs="Times New Roman"/>
          <w:lang w:val="fr-CA"/>
        </w:rPr>
        <w:t xml:space="preserve"> relatives au bien-fondé ou à la décision finale et il n’a pas l’intention d’en tenir compte à une étape subséquente de l’instance. </w:t>
      </w:r>
    </w:p>
    <w:p w14:paraId="726A2610" w14:textId="77777777" w:rsidR="00961853" w:rsidRPr="009C6218" w:rsidRDefault="00961853" w:rsidP="00961853">
      <w:pPr>
        <w:rPr>
          <w:rFonts w:ascii="Arial Bold" w:eastAsia="Times New Roman" w:hAnsi="Arial Bold" w:cs="Times New Roman"/>
          <w:b/>
          <w:bCs/>
          <w:sz w:val="26"/>
          <w:lang w:val="fr-CA"/>
        </w:rPr>
      </w:pPr>
    </w:p>
    <w:p w14:paraId="58D0A77C" w14:textId="77777777" w:rsidR="00741CB1" w:rsidRPr="009C6218" w:rsidRDefault="00741CB1" w:rsidP="00741CB1">
      <w:pPr>
        <w:rPr>
          <w:b/>
          <w:lang w:val="fr-CA"/>
        </w:rPr>
      </w:pPr>
    </w:p>
    <w:p w14:paraId="609757DA" w14:textId="3CA186A5" w:rsidR="003667C9" w:rsidRPr="009C6218" w:rsidRDefault="00741CB1" w:rsidP="00741CB1">
      <w:pPr>
        <w:pStyle w:val="Heading1"/>
        <w:rPr>
          <w:lang w:val="fr-CA"/>
        </w:rPr>
      </w:pPr>
      <w:bookmarkStart w:id="17" w:name="_Toc42946531"/>
      <w:r w:rsidRPr="009C6218">
        <w:rPr>
          <w:lang w:val="fr-CA"/>
        </w:rPr>
        <w:t>PART</w:t>
      </w:r>
      <w:r w:rsidR="00072D54" w:rsidRPr="009C6218">
        <w:rPr>
          <w:lang w:val="fr-CA"/>
        </w:rPr>
        <w:t>IE</w:t>
      </w:r>
      <w:r w:rsidRPr="009C6218">
        <w:rPr>
          <w:lang w:val="fr-CA"/>
        </w:rPr>
        <w:t xml:space="preserve"> I</w:t>
      </w:r>
      <w:r w:rsidR="006D2C43" w:rsidRPr="009C6218">
        <w:rPr>
          <w:lang w:val="fr-CA"/>
        </w:rPr>
        <w:t>V</w:t>
      </w:r>
      <w:r w:rsidR="00072D54" w:rsidRPr="009C6218">
        <w:rPr>
          <w:lang w:val="fr-CA"/>
        </w:rPr>
        <w:t xml:space="preserve"> </w:t>
      </w:r>
      <w:r w:rsidR="006D2C43" w:rsidRPr="009C6218">
        <w:rPr>
          <w:lang w:val="fr-CA"/>
        </w:rPr>
        <w:t xml:space="preserve">: </w:t>
      </w:r>
      <w:bookmarkStart w:id="18" w:name="_Hlk39753931"/>
      <w:r w:rsidR="00072D54" w:rsidRPr="009C6218">
        <w:rPr>
          <w:lang w:val="fr-CA"/>
        </w:rPr>
        <w:t xml:space="preserve">CaDRE </w:t>
      </w:r>
      <w:r w:rsidR="003667C9" w:rsidRPr="009C6218">
        <w:rPr>
          <w:lang w:val="fr-CA"/>
        </w:rPr>
        <w:t>Analyti</w:t>
      </w:r>
      <w:r w:rsidR="00072D54" w:rsidRPr="009C6218">
        <w:rPr>
          <w:lang w:val="fr-CA"/>
        </w:rPr>
        <w:t>QUE</w:t>
      </w:r>
      <w:bookmarkEnd w:id="18"/>
      <w:bookmarkEnd w:id="17"/>
    </w:p>
    <w:p w14:paraId="67900EF4" w14:textId="77777777" w:rsidR="003667C9" w:rsidRPr="009C6218" w:rsidRDefault="003667C9" w:rsidP="003667C9">
      <w:pPr>
        <w:pStyle w:val="ListParagraph"/>
        <w:rPr>
          <w:lang w:val="fr-CA"/>
        </w:rPr>
      </w:pPr>
    </w:p>
    <w:p w14:paraId="636CA7F6" w14:textId="331ED8AE" w:rsidR="002E38CB" w:rsidRPr="009C6218" w:rsidRDefault="00AF3995" w:rsidP="004749BC">
      <w:pPr>
        <w:numPr>
          <w:ilvl w:val="0"/>
          <w:numId w:val="1"/>
        </w:numPr>
        <w:spacing w:after="200" w:line="276" w:lineRule="auto"/>
        <w:ind w:left="567" w:hanging="567"/>
        <w:rPr>
          <w:lang w:val="fr-CA"/>
        </w:rPr>
      </w:pPr>
      <w:r w:rsidRPr="009C6218">
        <w:rPr>
          <w:lang w:val="fr-CA"/>
        </w:rPr>
        <w:t>Les plaintes qui ont donné naissance à la première allégation concernant l’Article soulèvent un certain nombre de questions étant donné que l’Article constituait une déclaration publique. La plainte relative à la deuxième allégation est quelque peu différente, car elle porte sur la conduite au tribunal, dans le contexte de la charge judiciaire de la juge de paix</w:t>
      </w:r>
      <w:r w:rsidR="00E7705F" w:rsidRPr="009C6218">
        <w:rPr>
          <w:lang w:val="fr-CA"/>
        </w:rPr>
        <w:t>.</w:t>
      </w:r>
    </w:p>
    <w:p w14:paraId="49300CC0" w14:textId="338F70C8" w:rsidR="003667C9" w:rsidRPr="009C6218" w:rsidRDefault="00AF3995" w:rsidP="00422A92">
      <w:pPr>
        <w:numPr>
          <w:ilvl w:val="0"/>
          <w:numId w:val="1"/>
        </w:numPr>
        <w:spacing w:after="200" w:line="276" w:lineRule="auto"/>
        <w:ind w:left="567" w:hanging="567"/>
        <w:rPr>
          <w:lang w:val="fr-CA"/>
        </w:rPr>
      </w:pPr>
      <w:r w:rsidRPr="009C6218">
        <w:rPr>
          <w:lang w:val="fr-CA"/>
        </w:rPr>
        <w:t>Pour évaluer le bien-fondé des allégations et en particulier de la première allégation, le comité d’audition a cadré son analyse en se posant les questions suivantes </w:t>
      </w:r>
      <w:r w:rsidR="003667C9" w:rsidRPr="009C6218">
        <w:rPr>
          <w:lang w:val="fr-CA"/>
        </w:rPr>
        <w:t>:</w:t>
      </w:r>
    </w:p>
    <w:p w14:paraId="190A50F1" w14:textId="12D4C4A0" w:rsidR="00A16F4C" w:rsidRPr="009C6218" w:rsidRDefault="00224E0A" w:rsidP="00422A92">
      <w:pPr>
        <w:pStyle w:val="ListParagraph"/>
        <w:numPr>
          <w:ilvl w:val="0"/>
          <w:numId w:val="13"/>
        </w:numPr>
        <w:spacing w:after="160" w:line="259" w:lineRule="auto"/>
        <w:ind w:left="1134" w:right="855" w:hanging="283"/>
        <w:rPr>
          <w:lang w:val="fr-CA"/>
        </w:rPr>
      </w:pPr>
      <w:r w:rsidRPr="009C6218">
        <w:rPr>
          <w:lang w:val="fr-CA"/>
        </w:rPr>
        <w:t xml:space="preserve">Quelle </w:t>
      </w:r>
      <w:r w:rsidR="00093192">
        <w:rPr>
          <w:lang w:val="fr-CA"/>
        </w:rPr>
        <w:t xml:space="preserve">est la </w:t>
      </w:r>
      <w:r w:rsidRPr="009C6218">
        <w:rPr>
          <w:lang w:val="fr-CA"/>
        </w:rPr>
        <w:t>norme de conduite attendue d’un officier de justice, que ce soit dans la salle d’audience et hors de la salle d’audience</w:t>
      </w:r>
      <w:r w:rsidR="003667C9" w:rsidRPr="009C6218">
        <w:rPr>
          <w:lang w:val="fr-CA"/>
        </w:rPr>
        <w:t>?</w:t>
      </w:r>
    </w:p>
    <w:p w14:paraId="35F33E49" w14:textId="77777777" w:rsidR="00472D07" w:rsidRPr="009C6218" w:rsidRDefault="00472D07" w:rsidP="00422A92">
      <w:pPr>
        <w:pStyle w:val="ListParagraph"/>
        <w:spacing w:after="160" w:line="259" w:lineRule="auto"/>
        <w:ind w:left="1134" w:right="855" w:hanging="283"/>
        <w:rPr>
          <w:lang w:val="fr-CA"/>
        </w:rPr>
      </w:pPr>
    </w:p>
    <w:p w14:paraId="0F80424F" w14:textId="3772F4F2" w:rsidR="00A16F4C" w:rsidRPr="009C6218" w:rsidRDefault="00224E0A" w:rsidP="00422A92">
      <w:pPr>
        <w:pStyle w:val="ListParagraph"/>
        <w:numPr>
          <w:ilvl w:val="0"/>
          <w:numId w:val="13"/>
        </w:numPr>
        <w:spacing w:after="160" w:line="259" w:lineRule="auto"/>
        <w:ind w:left="1134" w:right="855" w:hanging="283"/>
        <w:rPr>
          <w:lang w:val="fr-CA"/>
        </w:rPr>
      </w:pPr>
      <w:r w:rsidRPr="009C6218">
        <w:rPr>
          <w:lang w:val="fr-CA"/>
        </w:rPr>
        <w:t>Quels sont les principes qui guident la conduite des juges de paix au tribunal et hors du tribunal</w:t>
      </w:r>
      <w:r w:rsidR="003667C9" w:rsidRPr="009C6218">
        <w:rPr>
          <w:color w:val="000000" w:themeColor="text1"/>
          <w:lang w:val="fr-CA"/>
        </w:rPr>
        <w:t>?</w:t>
      </w:r>
    </w:p>
    <w:p w14:paraId="44793017" w14:textId="77777777" w:rsidR="00472D07" w:rsidRPr="009C6218" w:rsidRDefault="00472D07" w:rsidP="00422A92">
      <w:pPr>
        <w:pStyle w:val="ListParagraph"/>
        <w:ind w:left="1134" w:right="855" w:hanging="283"/>
        <w:rPr>
          <w:lang w:val="fr-CA"/>
        </w:rPr>
      </w:pPr>
    </w:p>
    <w:p w14:paraId="18921BD5" w14:textId="45230975" w:rsidR="003667C9" w:rsidRPr="009C6218" w:rsidRDefault="00224E0A" w:rsidP="00422A92">
      <w:pPr>
        <w:pStyle w:val="ListParagraph"/>
        <w:numPr>
          <w:ilvl w:val="0"/>
          <w:numId w:val="13"/>
        </w:numPr>
        <w:spacing w:after="160" w:line="259" w:lineRule="auto"/>
        <w:ind w:left="1134" w:right="855" w:hanging="283"/>
        <w:rPr>
          <w:lang w:val="fr-CA"/>
        </w:rPr>
      </w:pPr>
      <w:r w:rsidRPr="009C6218">
        <w:rPr>
          <w:lang w:val="fr-CA"/>
        </w:rPr>
        <w:t>Quelles limites, le cas échéant, s’imposent-elles aux officiers de justice lorsqu’ils expriment leurs opinions personnelles sur des questions liées à l’administration de la justice</w:t>
      </w:r>
      <w:r w:rsidR="003667C9" w:rsidRPr="009C6218">
        <w:rPr>
          <w:lang w:val="fr-CA"/>
        </w:rPr>
        <w:t>?</w:t>
      </w:r>
    </w:p>
    <w:p w14:paraId="5E13953E" w14:textId="77777777" w:rsidR="00472D07" w:rsidRPr="009C6218" w:rsidRDefault="00472D07" w:rsidP="00422A92">
      <w:pPr>
        <w:pStyle w:val="ListParagraph"/>
        <w:ind w:left="1134" w:right="855" w:hanging="283"/>
        <w:rPr>
          <w:lang w:val="fr-CA"/>
        </w:rPr>
      </w:pPr>
    </w:p>
    <w:p w14:paraId="384274E6" w14:textId="3BDD739B" w:rsidR="003667C9" w:rsidRPr="009C6218" w:rsidRDefault="00224E0A" w:rsidP="00422A92">
      <w:pPr>
        <w:pStyle w:val="ListParagraph"/>
        <w:numPr>
          <w:ilvl w:val="0"/>
          <w:numId w:val="13"/>
        </w:numPr>
        <w:spacing w:after="160" w:line="259" w:lineRule="auto"/>
        <w:ind w:left="1134" w:right="855" w:hanging="283"/>
        <w:rPr>
          <w:lang w:val="fr-CA"/>
        </w:rPr>
      </w:pPr>
      <w:r w:rsidRPr="009C6218">
        <w:rPr>
          <w:lang w:val="fr-CA"/>
        </w:rPr>
        <w:t>Si l’on part du principe que des limites s’imposent aux officiers de justice lorsqu’ils expriment leurs opinions hors de la salle d’audience, comment faudrait-il appliquer l’alinéa</w:t>
      </w:r>
      <w:r w:rsidR="003667C9" w:rsidRPr="009C6218">
        <w:rPr>
          <w:lang w:val="fr-CA"/>
        </w:rPr>
        <w:t xml:space="preserve"> 2</w:t>
      </w:r>
      <w:r w:rsidR="00B17ECD" w:rsidRPr="009C6218">
        <w:rPr>
          <w:lang w:val="fr-CA"/>
        </w:rPr>
        <w:t>b)</w:t>
      </w:r>
      <w:r w:rsidR="003667C9" w:rsidRPr="009C6218">
        <w:rPr>
          <w:lang w:val="fr-CA"/>
        </w:rPr>
        <w:t xml:space="preserve"> </w:t>
      </w:r>
      <w:r w:rsidRPr="009C6218">
        <w:rPr>
          <w:lang w:val="fr-CA"/>
        </w:rPr>
        <w:t>de la Charte dans le contexte des obligations éthiques et professionnelles d’un officier de justice</w:t>
      </w:r>
      <w:r w:rsidR="00165D34" w:rsidRPr="009C6218">
        <w:rPr>
          <w:lang w:val="fr-CA"/>
        </w:rPr>
        <w:t>?</w:t>
      </w:r>
    </w:p>
    <w:p w14:paraId="29543AE4" w14:textId="77777777" w:rsidR="00472D07" w:rsidRPr="009C6218" w:rsidRDefault="00472D07" w:rsidP="00422A92">
      <w:pPr>
        <w:pStyle w:val="ListParagraph"/>
        <w:ind w:left="1134" w:right="855" w:hanging="283"/>
        <w:rPr>
          <w:lang w:val="fr-CA"/>
        </w:rPr>
      </w:pPr>
    </w:p>
    <w:p w14:paraId="27C3EB18" w14:textId="06808D8F" w:rsidR="0051535C" w:rsidRPr="009C6218" w:rsidRDefault="00224E0A" w:rsidP="00422A92">
      <w:pPr>
        <w:pStyle w:val="ListParagraph"/>
        <w:numPr>
          <w:ilvl w:val="0"/>
          <w:numId w:val="13"/>
        </w:numPr>
        <w:spacing w:after="160" w:line="259" w:lineRule="auto"/>
        <w:ind w:left="1134" w:right="855" w:hanging="283"/>
        <w:rPr>
          <w:lang w:val="fr-CA"/>
        </w:rPr>
      </w:pPr>
      <w:r w:rsidRPr="009C6218">
        <w:rPr>
          <w:lang w:val="fr-CA"/>
        </w:rPr>
        <w:t>Quel est le critère applicable pour établir l’inconduite judiciaire? Des normes de conduite différentes s’appliquent-elles au tribunal et hors du tribunal</w:t>
      </w:r>
      <w:r w:rsidR="00AE4E21" w:rsidRPr="009C6218">
        <w:rPr>
          <w:lang w:val="fr-CA"/>
        </w:rPr>
        <w:t>?</w:t>
      </w:r>
    </w:p>
    <w:p w14:paraId="31496A0E" w14:textId="77777777" w:rsidR="00472D07" w:rsidRPr="009C6218" w:rsidRDefault="00472D07" w:rsidP="00422A92">
      <w:pPr>
        <w:pStyle w:val="ListParagraph"/>
        <w:ind w:left="1134" w:right="855" w:hanging="283"/>
        <w:rPr>
          <w:lang w:val="fr-CA"/>
        </w:rPr>
      </w:pPr>
    </w:p>
    <w:p w14:paraId="7D92A052" w14:textId="009560E1" w:rsidR="0051535C" w:rsidRPr="009C6218" w:rsidRDefault="00E00B33" w:rsidP="00422A92">
      <w:pPr>
        <w:pStyle w:val="ListParagraph"/>
        <w:numPr>
          <w:ilvl w:val="0"/>
          <w:numId w:val="13"/>
        </w:numPr>
        <w:spacing w:after="160" w:line="259" w:lineRule="auto"/>
        <w:ind w:left="1134" w:right="855" w:hanging="283"/>
        <w:rPr>
          <w:lang w:val="fr-CA"/>
        </w:rPr>
      </w:pPr>
      <w:r w:rsidRPr="009C6218">
        <w:rPr>
          <w:lang w:val="fr-CA"/>
        </w:rPr>
        <w:t xml:space="preserve">Si l’on </w:t>
      </w:r>
      <w:r w:rsidR="00093192">
        <w:rPr>
          <w:lang w:val="fr-CA"/>
        </w:rPr>
        <w:t>pèse</w:t>
      </w:r>
      <w:r w:rsidRPr="009C6218">
        <w:rPr>
          <w:lang w:val="fr-CA"/>
        </w:rPr>
        <w:t xml:space="preserve"> les valeurs prônées par l’al. 2</w:t>
      </w:r>
      <w:r w:rsidR="00B17ECD" w:rsidRPr="009C6218">
        <w:rPr>
          <w:lang w:val="fr-CA"/>
        </w:rPr>
        <w:t xml:space="preserve">b) </w:t>
      </w:r>
      <w:r w:rsidRPr="009C6218">
        <w:rPr>
          <w:lang w:val="fr-CA"/>
        </w:rPr>
        <w:t xml:space="preserve">de la Charte </w:t>
      </w:r>
      <w:r w:rsidR="00093192">
        <w:rPr>
          <w:lang w:val="fr-CA"/>
        </w:rPr>
        <w:t>par rapport au</w:t>
      </w:r>
      <w:r w:rsidRPr="009C6218">
        <w:rPr>
          <w:lang w:val="fr-CA"/>
        </w:rPr>
        <w:t xml:space="preserve"> besoin d’assurer l’intégrité, l’impartialité et l’indépendance d’un officier de justice, la conduite de la juge de paix, relativement à la rédaction et à la publication de l’Article de la façon dont elle l’a fait, était-elle incompatible avec sa charge judiciaire</w:t>
      </w:r>
      <w:r w:rsidR="003B29E8" w:rsidRPr="009C6218">
        <w:rPr>
          <w:lang w:val="fr-CA"/>
        </w:rPr>
        <w:t xml:space="preserve">? </w:t>
      </w:r>
      <w:r w:rsidRPr="009C6218">
        <w:rPr>
          <w:lang w:val="fr-CA"/>
        </w:rPr>
        <w:t>Plus précisément, le style, le ton et le contenu de l’Article étaient-ils incompatibles avec la norme élevé</w:t>
      </w:r>
      <w:r w:rsidR="00093192">
        <w:rPr>
          <w:lang w:val="fr-CA"/>
        </w:rPr>
        <w:t>e</w:t>
      </w:r>
      <w:r w:rsidRPr="009C6218">
        <w:rPr>
          <w:lang w:val="fr-CA"/>
        </w:rPr>
        <w:t xml:space="preserve"> de conduite attendue d’un officier de justice, en particulier avec son obligation de maintenir une apparence d’impartialité, d’intégrité et d’indépendance, </w:t>
      </w:r>
      <w:r w:rsidR="00093192">
        <w:rPr>
          <w:lang w:val="fr-CA"/>
        </w:rPr>
        <w:t>à la lumière</w:t>
      </w:r>
      <w:r w:rsidRPr="009C6218">
        <w:rPr>
          <w:lang w:val="fr-CA"/>
        </w:rPr>
        <w:t xml:space="preserve"> de toutes les circonstances</w:t>
      </w:r>
      <w:r w:rsidR="003667C9" w:rsidRPr="009C6218">
        <w:rPr>
          <w:lang w:val="fr-CA"/>
        </w:rPr>
        <w:t>?</w:t>
      </w:r>
    </w:p>
    <w:p w14:paraId="7E025BC4" w14:textId="77777777" w:rsidR="00472D07" w:rsidRPr="009C6218" w:rsidRDefault="00472D07" w:rsidP="00422A92">
      <w:pPr>
        <w:pStyle w:val="ListParagraph"/>
        <w:ind w:left="1134" w:right="855" w:hanging="283"/>
        <w:rPr>
          <w:lang w:val="fr-CA"/>
        </w:rPr>
      </w:pPr>
    </w:p>
    <w:p w14:paraId="14B5472F" w14:textId="10335626" w:rsidR="0050716B" w:rsidRPr="009C6218" w:rsidRDefault="008970CD" w:rsidP="00422A92">
      <w:pPr>
        <w:pStyle w:val="ListParagraph"/>
        <w:numPr>
          <w:ilvl w:val="0"/>
          <w:numId w:val="13"/>
        </w:numPr>
        <w:spacing w:after="160" w:line="259" w:lineRule="auto"/>
        <w:ind w:left="1134" w:right="855" w:hanging="283"/>
        <w:rPr>
          <w:lang w:val="fr-CA"/>
        </w:rPr>
      </w:pPr>
      <w:r w:rsidRPr="009C6218">
        <w:rPr>
          <w:lang w:val="fr-CA"/>
        </w:rPr>
        <w:t xml:space="preserve">Si la conduite était incompatible avec la norme élevée de conduite attendue d’un officier de justice, la prochaine question qui se pose est de savoir si la conduite de la juge de paix était si gravement contraire aux principes d'impartialité, d'intégrité et d'indépendance judiciaires qu'elle a miné la confiance du public </w:t>
      </w:r>
      <w:r w:rsidR="00093192">
        <w:rPr>
          <w:lang w:val="fr-CA"/>
        </w:rPr>
        <w:t>envers</w:t>
      </w:r>
      <w:r w:rsidRPr="009C6218">
        <w:rPr>
          <w:lang w:val="fr-CA"/>
        </w:rPr>
        <w:t xml:space="preserve"> l'aptitude de la juge de paix à exécuter les fonctions de sa charge ou </w:t>
      </w:r>
      <w:r w:rsidR="00093192">
        <w:rPr>
          <w:lang w:val="fr-CA"/>
        </w:rPr>
        <w:t>envers</w:t>
      </w:r>
      <w:r w:rsidRPr="009C6218">
        <w:rPr>
          <w:lang w:val="fr-CA"/>
        </w:rPr>
        <w:t xml:space="preserve"> l'administration de la justice en général que le comité d’audition </w:t>
      </w:r>
      <w:r w:rsidR="00093192">
        <w:rPr>
          <w:lang w:val="fr-CA"/>
        </w:rPr>
        <w:t>doit</w:t>
      </w:r>
      <w:r w:rsidRPr="009C6218">
        <w:rPr>
          <w:lang w:val="fr-CA"/>
        </w:rPr>
        <w:t xml:space="preserve"> arriver à une conclusion d’inconduite judiciaire</w:t>
      </w:r>
      <w:r w:rsidR="00227A27" w:rsidRPr="009C6218">
        <w:rPr>
          <w:lang w:val="fr-CA"/>
        </w:rPr>
        <w:t>.</w:t>
      </w:r>
    </w:p>
    <w:p w14:paraId="4CBE22BC" w14:textId="77777777" w:rsidR="00472D07" w:rsidRPr="009C6218" w:rsidRDefault="00472D07" w:rsidP="00422A92">
      <w:pPr>
        <w:pStyle w:val="ListParagraph"/>
        <w:ind w:left="1134" w:right="855" w:hanging="283"/>
        <w:rPr>
          <w:lang w:val="fr-CA"/>
        </w:rPr>
      </w:pPr>
    </w:p>
    <w:p w14:paraId="139416C0" w14:textId="6099FB83" w:rsidR="004C629F" w:rsidRPr="009C6218" w:rsidRDefault="008970CD" w:rsidP="00422A92">
      <w:pPr>
        <w:pStyle w:val="ListParagraph"/>
        <w:numPr>
          <w:ilvl w:val="0"/>
          <w:numId w:val="13"/>
        </w:numPr>
        <w:spacing w:after="160" w:line="259" w:lineRule="auto"/>
        <w:ind w:left="1134" w:right="855" w:hanging="283"/>
        <w:rPr>
          <w:lang w:val="fr-CA"/>
        </w:rPr>
      </w:pPr>
      <w:bookmarkStart w:id="19" w:name="_Hlk38021241"/>
      <w:r w:rsidRPr="009C6218">
        <w:rPr>
          <w:lang w:val="fr-CA"/>
        </w:rPr>
        <w:t xml:space="preserve">Ce n’est que si une conclusion d’inconduite judiciaire est faite que l’audience passera à la troisième étape, celle de la détermination de la sanction appropriée, le cas échéant, pour l’inconduite. </w:t>
      </w:r>
    </w:p>
    <w:p w14:paraId="388E4582" w14:textId="77777777" w:rsidR="00422A92" w:rsidRPr="009C6218" w:rsidRDefault="00422A92" w:rsidP="006B0C03">
      <w:pPr>
        <w:rPr>
          <w:rFonts w:ascii="Arial Bold" w:eastAsia="Times New Roman" w:hAnsi="Arial Bold" w:cs="Times New Roman"/>
          <w:b/>
          <w:bCs/>
          <w:sz w:val="26"/>
          <w:lang w:val="fr-CA"/>
        </w:rPr>
      </w:pPr>
    </w:p>
    <w:p w14:paraId="46A71954" w14:textId="77777777" w:rsidR="004E5F4F" w:rsidRPr="009C6218" w:rsidRDefault="004E5F4F" w:rsidP="004E5F4F">
      <w:pPr>
        <w:rPr>
          <w:b/>
          <w:lang w:val="fr-CA"/>
        </w:rPr>
      </w:pPr>
    </w:p>
    <w:p w14:paraId="623E23A2" w14:textId="0D647ABD" w:rsidR="006B0C03" w:rsidRPr="009C6218" w:rsidRDefault="004E5F4F" w:rsidP="004E5F4F">
      <w:pPr>
        <w:pStyle w:val="Heading1"/>
        <w:ind w:left="1134" w:hanging="1134"/>
        <w:rPr>
          <w:lang w:val="fr-CA"/>
        </w:rPr>
      </w:pPr>
      <w:bookmarkStart w:id="20" w:name="_Toc42946532"/>
      <w:r w:rsidRPr="009C6218">
        <w:rPr>
          <w:lang w:val="fr-CA"/>
        </w:rPr>
        <w:lastRenderedPageBreak/>
        <w:t>PART</w:t>
      </w:r>
      <w:r w:rsidR="008970CD" w:rsidRPr="009C6218">
        <w:rPr>
          <w:lang w:val="fr-CA"/>
        </w:rPr>
        <w:t>IE</w:t>
      </w:r>
      <w:r w:rsidRPr="009C6218">
        <w:rPr>
          <w:lang w:val="fr-CA"/>
        </w:rPr>
        <w:t xml:space="preserve"> </w:t>
      </w:r>
      <w:r w:rsidR="004C629F" w:rsidRPr="009C6218">
        <w:rPr>
          <w:lang w:val="fr-CA"/>
        </w:rPr>
        <w:t>V</w:t>
      </w:r>
      <w:r w:rsidR="008970CD" w:rsidRPr="009C6218">
        <w:rPr>
          <w:lang w:val="fr-CA"/>
        </w:rPr>
        <w:t xml:space="preserve"> </w:t>
      </w:r>
      <w:r w:rsidR="006B0C03" w:rsidRPr="009C6218">
        <w:rPr>
          <w:lang w:val="fr-CA"/>
        </w:rPr>
        <w:t xml:space="preserve">: </w:t>
      </w:r>
      <w:r w:rsidR="00536260" w:rsidRPr="009C6218">
        <w:rPr>
          <w:lang w:val="fr-CA"/>
        </w:rPr>
        <w:t>Normes de conduite judiciaire et critère applicable pour déterminer l’inconduite</w:t>
      </w:r>
      <w:bookmarkEnd w:id="20"/>
    </w:p>
    <w:p w14:paraId="2B73B572" w14:textId="77777777" w:rsidR="00422A92" w:rsidRPr="009C6218" w:rsidRDefault="00422A92" w:rsidP="006B0C03">
      <w:pPr>
        <w:rPr>
          <w:caps/>
          <w:lang w:val="fr-CA"/>
        </w:rPr>
      </w:pPr>
    </w:p>
    <w:bookmarkEnd w:id="19"/>
    <w:p w14:paraId="7670B57C" w14:textId="1C7CA74B" w:rsidR="002B68F5" w:rsidRPr="009C6218" w:rsidRDefault="00536260" w:rsidP="00422A92">
      <w:pPr>
        <w:numPr>
          <w:ilvl w:val="0"/>
          <w:numId w:val="1"/>
        </w:numPr>
        <w:spacing w:after="200" w:line="276" w:lineRule="auto"/>
        <w:ind w:left="567" w:hanging="567"/>
        <w:rPr>
          <w:rFonts w:eastAsia="Arial" w:cs="Times New Roman"/>
          <w:szCs w:val="22"/>
          <w:lang w:val="fr-CA"/>
        </w:rPr>
      </w:pPr>
      <w:r w:rsidRPr="009C6218">
        <w:rPr>
          <w:rFonts w:eastAsia="Arial" w:cs="Times New Roman"/>
          <w:szCs w:val="22"/>
          <w:lang w:val="fr-CA"/>
        </w:rPr>
        <w:t xml:space="preserve">Les juges de paix sont des officiers de justice et </w:t>
      </w:r>
      <w:r w:rsidR="00093192">
        <w:rPr>
          <w:rFonts w:eastAsia="Arial" w:cs="Times New Roman"/>
          <w:szCs w:val="22"/>
          <w:lang w:val="fr-CA"/>
        </w:rPr>
        <w:t xml:space="preserve">ils </w:t>
      </w:r>
      <w:r w:rsidRPr="009C6218">
        <w:rPr>
          <w:rFonts w:eastAsia="Arial" w:cs="Times New Roman"/>
          <w:szCs w:val="22"/>
          <w:lang w:val="fr-CA"/>
        </w:rPr>
        <w:t>doivent se conformer aux mêmes normes de conduite élevées que les juges. La jurisprudence ne fait pas de distinction apparente entre eux</w:t>
      </w:r>
      <w:r w:rsidR="00F37ED5" w:rsidRPr="009C6218">
        <w:rPr>
          <w:rStyle w:val="FootnoteReference"/>
          <w:rFonts w:eastAsia="Arial" w:cs="Times New Roman"/>
          <w:szCs w:val="22"/>
          <w:lang w:val="fr-CA"/>
        </w:rPr>
        <w:footnoteReference w:id="18"/>
      </w:r>
      <w:r w:rsidRPr="009C6218">
        <w:rPr>
          <w:rFonts w:eastAsia="Arial" w:cs="Times New Roman"/>
          <w:szCs w:val="22"/>
          <w:lang w:val="fr-CA"/>
        </w:rPr>
        <w:t>.</w:t>
      </w:r>
    </w:p>
    <w:p w14:paraId="215EBD0A" w14:textId="2C5D5263" w:rsidR="00D752EA" w:rsidRPr="009C6218" w:rsidRDefault="00536260" w:rsidP="00422A92">
      <w:pPr>
        <w:numPr>
          <w:ilvl w:val="0"/>
          <w:numId w:val="1"/>
        </w:numPr>
        <w:spacing w:after="200" w:line="276" w:lineRule="auto"/>
        <w:ind w:left="567" w:hanging="567"/>
        <w:rPr>
          <w:rFonts w:eastAsia="Arial" w:cs="Times New Roman"/>
          <w:szCs w:val="22"/>
          <w:lang w:val="fr-CA"/>
        </w:rPr>
      </w:pPr>
      <w:r w:rsidRPr="009C6218">
        <w:rPr>
          <w:rFonts w:eastAsia="Arial" w:cs="Times New Roman"/>
          <w:szCs w:val="22"/>
          <w:lang w:val="fr-CA"/>
        </w:rPr>
        <w:t xml:space="preserve">Dans l’affaire </w:t>
      </w:r>
      <w:r w:rsidRPr="009C6218">
        <w:rPr>
          <w:rFonts w:eastAsia="Arial" w:cs="Times New Roman"/>
          <w:i/>
          <w:szCs w:val="22"/>
          <w:lang w:val="fr-CA"/>
        </w:rPr>
        <w:t xml:space="preserve">Re </w:t>
      </w:r>
      <w:proofErr w:type="spellStart"/>
      <w:r w:rsidRPr="009C6218">
        <w:rPr>
          <w:rFonts w:eastAsia="Arial" w:cs="Times New Roman"/>
          <w:i/>
          <w:szCs w:val="22"/>
          <w:lang w:val="fr-CA"/>
        </w:rPr>
        <w:t>McLeod</w:t>
      </w:r>
      <w:proofErr w:type="spellEnd"/>
      <w:r w:rsidRPr="009C6218">
        <w:rPr>
          <w:rFonts w:eastAsia="Arial" w:cs="Times New Roman"/>
          <w:i/>
          <w:szCs w:val="22"/>
          <w:lang w:val="fr-CA"/>
        </w:rPr>
        <w:t xml:space="preserve"> </w:t>
      </w:r>
      <w:r w:rsidRPr="009C6218">
        <w:rPr>
          <w:rFonts w:eastAsia="Arial" w:cs="Times New Roman"/>
          <w:szCs w:val="22"/>
          <w:lang w:val="fr-CA"/>
        </w:rPr>
        <w:t xml:space="preserve">(OJC, 2018), le juge </w:t>
      </w:r>
      <w:r w:rsidR="00045A80" w:rsidRPr="009C6218">
        <w:rPr>
          <w:rFonts w:eastAsia="Arial" w:cs="Times New Roman"/>
          <w:szCs w:val="22"/>
          <w:lang w:val="fr-CA"/>
        </w:rPr>
        <w:t xml:space="preserve">Robert J. </w:t>
      </w:r>
      <w:r w:rsidR="00B73569" w:rsidRPr="009C6218">
        <w:rPr>
          <w:rFonts w:eastAsia="Arial" w:cs="Times New Roman"/>
          <w:szCs w:val="22"/>
          <w:lang w:val="fr-CA"/>
        </w:rPr>
        <w:t xml:space="preserve">Sharpe </w:t>
      </w:r>
      <w:r w:rsidRPr="009C6218">
        <w:rPr>
          <w:rFonts w:eastAsia="Arial" w:cs="Times New Roman"/>
          <w:szCs w:val="22"/>
          <w:lang w:val="fr-CA"/>
        </w:rPr>
        <w:t>a fait observer que : « </w:t>
      </w:r>
      <w:r w:rsidRPr="009C6218">
        <w:rPr>
          <w:lang w:val="fr-CA"/>
        </w:rPr>
        <w:t>L</w:t>
      </w:r>
      <w:r w:rsidR="006D7666" w:rsidRPr="009C6218">
        <w:rPr>
          <w:lang w:val="fr-CA"/>
        </w:rPr>
        <w:t>es juges ne sont pas guidés ou liés par un ensemble de règles bien définies. Ils sont assujettis à des principes de déontologie judiciaire généraux qui ont évolué avec le temps</w:t>
      </w:r>
      <w:r w:rsidR="00B73569" w:rsidRPr="009C6218">
        <w:rPr>
          <w:rFonts w:eastAsia="Arial" w:cs="Times New Roman"/>
          <w:szCs w:val="22"/>
          <w:lang w:val="fr-CA"/>
        </w:rPr>
        <w:t>.</w:t>
      </w:r>
      <w:r w:rsidRPr="009C6218">
        <w:rPr>
          <w:rFonts w:eastAsia="Arial" w:cs="Times New Roman"/>
          <w:szCs w:val="22"/>
          <w:lang w:val="fr-CA"/>
        </w:rPr>
        <w:t> »</w:t>
      </w:r>
      <w:r w:rsidR="00B73569" w:rsidRPr="009C6218">
        <w:rPr>
          <w:rFonts w:eastAsia="Arial" w:cs="Times New Roman"/>
          <w:szCs w:val="22"/>
          <w:lang w:val="fr-CA"/>
        </w:rPr>
        <w:t xml:space="preserve"> </w:t>
      </w:r>
      <w:r w:rsidRPr="009C6218">
        <w:rPr>
          <w:rFonts w:eastAsia="Arial" w:cs="Times New Roman"/>
          <w:szCs w:val="22"/>
          <w:lang w:val="fr-CA"/>
        </w:rPr>
        <w:t xml:space="preserve">Il a ensuite rappelé, comme l’a fait la Cour d’appel du Québec dans l’affaire </w:t>
      </w:r>
      <w:r w:rsidR="00490A79" w:rsidRPr="009C6218">
        <w:rPr>
          <w:rFonts w:eastAsia="Arial" w:cs="Times New Roman"/>
          <w:i/>
          <w:szCs w:val="22"/>
          <w:lang w:val="fr-CA"/>
        </w:rPr>
        <w:t xml:space="preserve">Re </w:t>
      </w:r>
      <w:proofErr w:type="spellStart"/>
      <w:r w:rsidR="005E0F3F" w:rsidRPr="009C6218">
        <w:rPr>
          <w:rFonts w:eastAsia="Arial" w:cs="Times New Roman"/>
          <w:i/>
          <w:szCs w:val="22"/>
          <w:lang w:val="fr-CA"/>
        </w:rPr>
        <w:t>Ruffo</w:t>
      </w:r>
      <w:proofErr w:type="spellEnd"/>
      <w:r w:rsidR="005E0F3F" w:rsidRPr="009C6218">
        <w:rPr>
          <w:rFonts w:eastAsia="Arial" w:cs="Times New Roman"/>
          <w:szCs w:val="22"/>
          <w:lang w:val="fr-CA"/>
        </w:rPr>
        <w:t xml:space="preserve">, </w:t>
      </w:r>
      <w:r w:rsidRPr="009C6218">
        <w:rPr>
          <w:rFonts w:eastAsia="Arial" w:cs="Times New Roman"/>
          <w:szCs w:val="22"/>
          <w:lang w:val="fr-CA"/>
        </w:rPr>
        <w:t xml:space="preserve">que </w:t>
      </w:r>
      <w:r w:rsidR="00012151" w:rsidRPr="009C6218">
        <w:rPr>
          <w:rFonts w:eastAsia="Arial" w:cs="Times New Roman"/>
          <w:szCs w:val="22"/>
          <w:lang w:val="fr-CA"/>
        </w:rPr>
        <w:t>les principes déontologiques qui guident les juristes à tous les niveaux de tribunal constituent de simples recommandations et ne doivent pas être utilisés comme un code exhaustif ou une liste de comportements prohibés. Les règles déontologiques se veulent « une ouverture vers la perfection », ils visent à donner des « conseils généraux », sans chercher à « d</w:t>
      </w:r>
      <w:r w:rsidR="00012151" w:rsidRPr="009C6218">
        <w:rPr>
          <w:lang w:val="fr-CA"/>
        </w:rPr>
        <w:t>éclarer qu’une conduite précise est inadmissible »</w:t>
      </w:r>
      <w:r w:rsidR="00B73569" w:rsidRPr="009C6218">
        <w:rPr>
          <w:rStyle w:val="FootnoteReference"/>
          <w:rFonts w:eastAsia="Arial" w:cs="Times New Roman"/>
          <w:szCs w:val="22"/>
          <w:lang w:val="fr-CA"/>
        </w:rPr>
        <w:footnoteReference w:id="19"/>
      </w:r>
      <w:r w:rsidR="00012151" w:rsidRPr="009C6218">
        <w:rPr>
          <w:lang w:val="fr-CA"/>
        </w:rPr>
        <w:t>.</w:t>
      </w:r>
    </w:p>
    <w:p w14:paraId="126618DB" w14:textId="71DEE698" w:rsidR="00975975" w:rsidRPr="009C6218" w:rsidRDefault="00975975" w:rsidP="00975975">
      <w:pPr>
        <w:pStyle w:val="Heading2"/>
        <w:spacing w:after="360"/>
        <w:rPr>
          <w:lang w:val="fr-CA"/>
        </w:rPr>
      </w:pPr>
      <w:bookmarkStart w:id="21" w:name="_Toc42946533"/>
      <w:r w:rsidRPr="009C6218">
        <w:rPr>
          <w:lang w:val="fr-CA"/>
        </w:rPr>
        <w:t>Princip</w:t>
      </w:r>
      <w:r w:rsidR="00630783" w:rsidRPr="009C6218">
        <w:rPr>
          <w:lang w:val="fr-CA"/>
        </w:rPr>
        <w:t>e</w:t>
      </w:r>
      <w:r w:rsidRPr="009C6218">
        <w:rPr>
          <w:lang w:val="fr-CA"/>
        </w:rPr>
        <w:t xml:space="preserve">s </w:t>
      </w:r>
      <w:r w:rsidR="00630783" w:rsidRPr="009C6218">
        <w:rPr>
          <w:lang w:val="fr-CA"/>
        </w:rPr>
        <w:t>de la charge judiciaire des juges de paix de la Cour de justice de l’Ontario</w:t>
      </w:r>
      <w:bookmarkEnd w:id="21"/>
      <w:r w:rsidR="00630783" w:rsidRPr="009C6218">
        <w:rPr>
          <w:lang w:val="fr-CA"/>
        </w:rPr>
        <w:t xml:space="preserve"> </w:t>
      </w:r>
    </w:p>
    <w:p w14:paraId="78EEC6C2" w14:textId="3AFD10DC" w:rsidR="008F18B5" w:rsidRPr="009C6218" w:rsidRDefault="00630783" w:rsidP="00422A92">
      <w:pPr>
        <w:numPr>
          <w:ilvl w:val="0"/>
          <w:numId w:val="1"/>
        </w:numPr>
        <w:spacing w:after="200" w:line="276" w:lineRule="auto"/>
        <w:ind w:left="567" w:hanging="567"/>
        <w:rPr>
          <w:rFonts w:eastAsia="Arial" w:cs="Times New Roman"/>
          <w:szCs w:val="22"/>
          <w:lang w:val="fr-CA"/>
        </w:rPr>
      </w:pPr>
      <w:r w:rsidRPr="009C6218">
        <w:rPr>
          <w:lang w:val="fr-CA"/>
        </w:rPr>
        <w:t xml:space="preserve">Dans l’Exposé conjoint des faits, constituant la pièce 2, les parties ont convenu que « les principes pertinents qui entrent en jeu dans l’affaire figurent dans les </w:t>
      </w:r>
      <w:r w:rsidRPr="009C6218">
        <w:rPr>
          <w:i/>
          <w:lang w:val="fr-CA"/>
        </w:rPr>
        <w:t>Principes de la charge judiciaire des juges de paix de la Cour de justice de l’Ontario</w:t>
      </w:r>
      <w:r w:rsidRPr="009C6218">
        <w:rPr>
          <w:lang w:val="fr-CA"/>
        </w:rPr>
        <w:t xml:space="preserve"> » </w:t>
      </w:r>
      <w:r w:rsidR="002C6C32" w:rsidRPr="009C6218">
        <w:rPr>
          <w:lang w:val="fr-CA"/>
        </w:rPr>
        <w:t>(</w:t>
      </w:r>
      <w:r w:rsidRPr="009C6218">
        <w:rPr>
          <w:lang w:val="fr-CA"/>
        </w:rPr>
        <w:t>les « Principes de la charge judiciaire »</w:t>
      </w:r>
      <w:r w:rsidR="002C6C32" w:rsidRPr="009C6218">
        <w:rPr>
          <w:lang w:val="fr-CA"/>
        </w:rPr>
        <w:t>).</w:t>
      </w:r>
      <w:r w:rsidR="008F18B5" w:rsidRPr="009C6218">
        <w:rPr>
          <w:i/>
          <w:lang w:val="fr-CA"/>
        </w:rPr>
        <w:t xml:space="preserve"> </w:t>
      </w:r>
    </w:p>
    <w:p w14:paraId="2F60D256" w14:textId="49FFA393" w:rsidR="008F18B5" w:rsidRPr="009C6218" w:rsidRDefault="00630783" w:rsidP="00422A92">
      <w:pPr>
        <w:numPr>
          <w:ilvl w:val="0"/>
          <w:numId w:val="1"/>
        </w:numPr>
        <w:spacing w:after="200" w:line="276" w:lineRule="auto"/>
        <w:ind w:left="567" w:hanging="567"/>
        <w:rPr>
          <w:rFonts w:eastAsia="Arial" w:cs="Times New Roman"/>
          <w:szCs w:val="22"/>
          <w:lang w:val="fr-CA"/>
        </w:rPr>
      </w:pPr>
      <w:r w:rsidRPr="009C6218">
        <w:rPr>
          <w:lang w:val="fr-CA"/>
        </w:rPr>
        <w:t xml:space="preserve">Les Principes de la charge judiciaire guident la conduite judiciaire au tribunal et hors du tribunal, mais, comme il a été relevé, ils ne constituent pas la seule source de directives concernant la question de la conduite judiciaire. </w:t>
      </w:r>
    </w:p>
    <w:p w14:paraId="4B7376A5" w14:textId="5112F296" w:rsidR="00472D07" w:rsidRPr="009C6218" w:rsidRDefault="00630783" w:rsidP="00472D07">
      <w:pPr>
        <w:numPr>
          <w:ilvl w:val="0"/>
          <w:numId w:val="1"/>
        </w:numPr>
        <w:spacing w:after="200" w:line="276" w:lineRule="auto"/>
        <w:ind w:left="567" w:hanging="567"/>
        <w:rPr>
          <w:rFonts w:eastAsia="Arial" w:cs="Times New Roman"/>
          <w:szCs w:val="22"/>
          <w:lang w:val="fr-CA"/>
        </w:rPr>
      </w:pPr>
      <w:r w:rsidRPr="009C6218">
        <w:rPr>
          <w:lang w:val="fr-CA"/>
        </w:rPr>
        <w:t>Les autres sources ou documents qui complètent les Principes de la charge judiciaire sont notamment les Principes de déontologie judiciaire</w:t>
      </w:r>
      <w:r w:rsidR="00191F58">
        <w:rPr>
          <w:lang w:val="fr-CA"/>
        </w:rPr>
        <w:t xml:space="preserve"> du Conseil canadien de la magistrature</w:t>
      </w:r>
      <w:r w:rsidRPr="009C6218">
        <w:rPr>
          <w:lang w:val="fr-CA"/>
        </w:rPr>
        <w:t>, les commentaires de juristes canadiens et internationaux au sujet de la conduite des officiers de justice et la jurisprudence sur ce sujet.</w:t>
      </w:r>
    </w:p>
    <w:p w14:paraId="624DB1D1" w14:textId="4B8CCC1E" w:rsidR="008F18B5" w:rsidRPr="009C6218" w:rsidRDefault="00630783" w:rsidP="00641151">
      <w:pPr>
        <w:numPr>
          <w:ilvl w:val="0"/>
          <w:numId w:val="1"/>
        </w:numPr>
        <w:spacing w:after="360" w:line="276" w:lineRule="auto"/>
        <w:ind w:left="567" w:hanging="567"/>
        <w:rPr>
          <w:rFonts w:eastAsia="Arial" w:cs="Times New Roman"/>
          <w:szCs w:val="22"/>
          <w:lang w:val="fr-CA"/>
        </w:rPr>
      </w:pPr>
      <w:r w:rsidRPr="009C6218">
        <w:rPr>
          <w:lang w:val="fr-CA"/>
        </w:rPr>
        <w:t>Commençons par les Principes de la charge judiciaire. Une partie du préambule des Principes déclare que :</w:t>
      </w:r>
    </w:p>
    <w:p w14:paraId="40BBA281" w14:textId="63FCD482" w:rsidR="000C6120" w:rsidRPr="009C6218" w:rsidRDefault="00630783" w:rsidP="00472D07">
      <w:pPr>
        <w:pStyle w:val="Quote"/>
        <w:ind w:left="851" w:right="855"/>
        <w:rPr>
          <w:lang w:val="fr-CA"/>
        </w:rPr>
      </w:pPr>
      <w:r w:rsidRPr="00191F58">
        <w:rPr>
          <w:lang w:val="fr-CA"/>
        </w:rPr>
        <w:lastRenderedPageBreak/>
        <w:t xml:space="preserve">Les </w:t>
      </w:r>
      <w:r w:rsidRPr="009C6218">
        <w:rPr>
          <w:u w:val="single"/>
          <w:lang w:val="fr-CA"/>
        </w:rPr>
        <w:t xml:space="preserve">juges de paix </w:t>
      </w:r>
      <w:r w:rsidRPr="00191F58">
        <w:rPr>
          <w:lang w:val="fr-CA"/>
        </w:rPr>
        <w:t>de la Cour de justice de l’Ontario</w:t>
      </w:r>
      <w:r w:rsidRPr="009C6218">
        <w:rPr>
          <w:u w:val="single"/>
          <w:lang w:val="fr-CA"/>
        </w:rPr>
        <w:t xml:space="preserve"> reconnaissent qu’il leur incombe d’adopter, de maintenir et d’encourager une conduite et un professionnalisme irréprochables </w:t>
      </w:r>
      <w:r w:rsidRPr="00191F58">
        <w:rPr>
          <w:u w:val="single"/>
          <w:lang w:val="fr-CA"/>
        </w:rPr>
        <w:t>de manière à préserver l’indépendance et l’intégrité de leur charge judiciaire</w:t>
      </w:r>
      <w:r w:rsidRPr="009C6218">
        <w:rPr>
          <w:lang w:val="fr-CA"/>
        </w:rPr>
        <w:t xml:space="preserve"> ainsi que la confiance accordée par la société aux hommes et aux femmes qui ont accepté les responsabilités liées à la charge judiciaire</w:t>
      </w:r>
      <w:r w:rsidR="000C6120" w:rsidRPr="009C6218">
        <w:rPr>
          <w:lang w:val="fr-CA"/>
        </w:rPr>
        <w:t xml:space="preserve">. </w:t>
      </w:r>
    </w:p>
    <w:p w14:paraId="79560674" w14:textId="2E204F42" w:rsidR="000C6120" w:rsidRPr="009C6218" w:rsidRDefault="00630783" w:rsidP="00472D07">
      <w:pPr>
        <w:pStyle w:val="Quote"/>
        <w:ind w:left="851" w:right="855"/>
        <w:rPr>
          <w:lang w:val="fr-CA"/>
        </w:rPr>
      </w:pPr>
      <w:r w:rsidRPr="009C6218">
        <w:rPr>
          <w:i w:val="0"/>
          <w:lang w:val="fr-CA"/>
        </w:rPr>
        <w:t xml:space="preserve">Les juges de paix de la Cour de justice de l’Ontario établissent </w:t>
      </w:r>
      <w:r w:rsidRPr="009C6218">
        <w:rPr>
          <w:i w:val="0"/>
          <w:u w:val="single"/>
          <w:lang w:val="fr-CA"/>
        </w:rPr>
        <w:t>les principes suivants</w:t>
      </w:r>
      <w:r w:rsidRPr="009C6218">
        <w:rPr>
          <w:i w:val="0"/>
          <w:lang w:val="fr-CA"/>
        </w:rPr>
        <w:t xml:space="preserve"> ainsi que des </w:t>
      </w:r>
      <w:r w:rsidRPr="009C6218">
        <w:rPr>
          <w:i w:val="0"/>
          <w:u w:val="single"/>
          <w:lang w:val="fr-CA"/>
        </w:rPr>
        <w:t>critères d’excellence et d’intégrité que doivent respecter les juges. Ces principes ne sont pas exhaustifs</w:t>
      </w:r>
      <w:r w:rsidRPr="009C6218">
        <w:rPr>
          <w:i w:val="0"/>
          <w:lang w:val="fr-CA"/>
        </w:rPr>
        <w:t xml:space="preserve">. Ils ont été établis à titre indicatif et ne se rapportent directement à aucun processus disciplinaire particulier. </w:t>
      </w:r>
      <w:r w:rsidRPr="009C6218">
        <w:rPr>
          <w:i w:val="0"/>
          <w:u w:val="single"/>
          <w:lang w:val="fr-CA"/>
        </w:rPr>
        <w:t>Destinés à aider les juges de paix à faire face aux dilemmes éthiques et professionnels, ils peuvent en outre aider le public à comprendre les attentes raisonnables qu’il peut avoir à l’égard des juges de paix dans l’exercice des fonctions judiciaires et dans leur vie personnelle</w:t>
      </w:r>
      <w:r w:rsidRPr="009C6218">
        <w:rPr>
          <w:lang w:val="fr-CA"/>
        </w:rPr>
        <w:t xml:space="preserve"> </w:t>
      </w:r>
      <w:r w:rsidR="000C6120" w:rsidRPr="009C6218">
        <w:rPr>
          <w:i w:val="0"/>
          <w:lang w:val="fr-CA"/>
        </w:rPr>
        <w:t>(</w:t>
      </w:r>
      <w:r w:rsidR="00C675D5" w:rsidRPr="009C6218">
        <w:rPr>
          <w:i w:val="0"/>
          <w:lang w:val="fr-CA"/>
        </w:rPr>
        <w:t>mise en valeur ajoutée</w:t>
      </w:r>
      <w:r w:rsidR="000C6120" w:rsidRPr="009C6218">
        <w:rPr>
          <w:i w:val="0"/>
          <w:lang w:val="fr-CA"/>
        </w:rPr>
        <w:t>)</w:t>
      </w:r>
      <w:r w:rsidR="003C66B5" w:rsidRPr="009C6218">
        <w:rPr>
          <w:i w:val="0"/>
          <w:lang w:val="fr-CA"/>
        </w:rPr>
        <w:t>.</w:t>
      </w:r>
    </w:p>
    <w:p w14:paraId="68722223" w14:textId="77777777" w:rsidR="00086150" w:rsidRPr="009C6218" w:rsidRDefault="00086150" w:rsidP="00086150">
      <w:pPr>
        <w:ind w:left="567"/>
        <w:rPr>
          <w:rFonts w:eastAsia="Arial" w:cs="Times New Roman"/>
          <w:szCs w:val="22"/>
          <w:lang w:val="fr-CA"/>
        </w:rPr>
      </w:pPr>
    </w:p>
    <w:p w14:paraId="691C4884" w14:textId="4F0322E4" w:rsidR="008F18B5" w:rsidRPr="009C6218" w:rsidRDefault="00C675D5" w:rsidP="00D45DBE">
      <w:pPr>
        <w:numPr>
          <w:ilvl w:val="0"/>
          <w:numId w:val="1"/>
        </w:numPr>
        <w:ind w:left="567" w:hanging="567"/>
        <w:rPr>
          <w:rFonts w:eastAsia="Arial" w:cs="Times New Roman"/>
          <w:szCs w:val="22"/>
          <w:lang w:val="fr-CA"/>
        </w:rPr>
      </w:pPr>
      <w:r w:rsidRPr="009C6218">
        <w:rPr>
          <w:lang w:val="fr-CA"/>
        </w:rPr>
        <w:t>Le paragraphe</w:t>
      </w:r>
      <w:r w:rsidR="008F18B5" w:rsidRPr="009C6218">
        <w:rPr>
          <w:lang w:val="fr-CA"/>
        </w:rPr>
        <w:t xml:space="preserve"> 1.1 </w:t>
      </w:r>
      <w:r w:rsidRPr="009C6218">
        <w:rPr>
          <w:lang w:val="fr-CA"/>
        </w:rPr>
        <w:t>stipule que « Les juges de paix doivent être impartiaux et objectifs dans l’exercice de leurs fonctions judiciaires »</w:t>
      </w:r>
      <w:r w:rsidR="008F18B5" w:rsidRPr="009C6218">
        <w:rPr>
          <w:lang w:val="fr-CA"/>
        </w:rPr>
        <w:t xml:space="preserve">. </w:t>
      </w:r>
      <w:r w:rsidRPr="009C6218">
        <w:rPr>
          <w:lang w:val="fr-CA"/>
        </w:rPr>
        <w:t>Les commentaires expliquent que « </w:t>
      </w:r>
      <w:r w:rsidRPr="009C6218">
        <w:rPr>
          <w:u w:val="single"/>
          <w:lang w:val="fr-CA"/>
        </w:rPr>
        <w:t xml:space="preserve">Les juges de paix devraient conserver leur objectivité ou ne pas manifester, par leurs paroles ou leur conduite, du favoritisme, un parti pris ou un préjugé envers quelque partie ou intérêt que ce </w:t>
      </w:r>
      <w:proofErr w:type="spellStart"/>
      <w:r w:rsidRPr="009C6218">
        <w:rPr>
          <w:u w:val="single"/>
          <w:lang w:val="fr-CA"/>
        </w:rPr>
        <w:t>soi</w:t>
      </w:r>
      <w:proofErr w:type="spellEnd"/>
      <w:r w:rsidRPr="009C6218">
        <w:rPr>
          <w:u w:val="single"/>
          <w:lang w:val="fr-CA"/>
        </w:rPr>
        <w:t> »</w:t>
      </w:r>
      <w:r w:rsidR="008F18B5" w:rsidRPr="009C6218">
        <w:rPr>
          <w:lang w:val="fr-CA"/>
        </w:rPr>
        <w:t xml:space="preserve"> (</w:t>
      </w:r>
      <w:r w:rsidRPr="009C6218">
        <w:rPr>
          <w:lang w:val="fr-CA"/>
        </w:rPr>
        <w:t>mise en valeur ajoutée</w:t>
      </w:r>
      <w:r w:rsidR="008F18B5" w:rsidRPr="009C6218">
        <w:rPr>
          <w:lang w:val="fr-CA"/>
        </w:rPr>
        <w:t>)</w:t>
      </w:r>
      <w:r w:rsidR="003C66B5" w:rsidRPr="009C6218">
        <w:rPr>
          <w:lang w:val="fr-CA"/>
        </w:rPr>
        <w:t>.</w:t>
      </w:r>
    </w:p>
    <w:p w14:paraId="48D2376E" w14:textId="77777777" w:rsidR="00086150" w:rsidRPr="009C6218" w:rsidRDefault="00086150" w:rsidP="00D45DBE">
      <w:pPr>
        <w:spacing w:after="200" w:line="276" w:lineRule="auto"/>
        <w:ind w:left="567" w:hanging="567"/>
        <w:rPr>
          <w:rFonts w:eastAsia="Arial" w:cs="Times New Roman"/>
          <w:szCs w:val="22"/>
          <w:lang w:val="fr-CA"/>
        </w:rPr>
      </w:pPr>
    </w:p>
    <w:p w14:paraId="6F3C976C" w14:textId="2EAC6F82" w:rsidR="008F18B5" w:rsidRPr="009C6218" w:rsidRDefault="00D45DBE" w:rsidP="00D45DBE">
      <w:pPr>
        <w:numPr>
          <w:ilvl w:val="0"/>
          <w:numId w:val="1"/>
        </w:numPr>
        <w:spacing w:after="200" w:line="276" w:lineRule="auto"/>
        <w:ind w:left="567" w:hanging="567"/>
        <w:rPr>
          <w:rFonts w:eastAsia="Arial" w:cs="Times New Roman"/>
          <w:szCs w:val="22"/>
          <w:lang w:val="fr-CA"/>
        </w:rPr>
      </w:pPr>
      <w:r w:rsidRPr="009C6218">
        <w:rPr>
          <w:lang w:val="fr-CA"/>
        </w:rPr>
        <w:t>L’article 3 des Principes de la charge judiciaire est intitulé « </w:t>
      </w:r>
      <w:r w:rsidRPr="009C6218">
        <w:rPr>
          <w:i/>
          <w:lang w:val="fr-CA"/>
        </w:rPr>
        <w:t>Les juges de paix dans la collectivité ».</w:t>
      </w:r>
      <w:r w:rsidR="008F18B5" w:rsidRPr="009C6218">
        <w:rPr>
          <w:lang w:val="fr-CA"/>
        </w:rPr>
        <w:t xml:space="preserve"> </w:t>
      </w:r>
      <w:r w:rsidRPr="009C6218">
        <w:rPr>
          <w:lang w:val="fr-CA"/>
        </w:rPr>
        <w:t xml:space="preserve">Il précise au paragraphe </w:t>
      </w:r>
      <w:r w:rsidR="008F18B5" w:rsidRPr="009C6218">
        <w:rPr>
          <w:lang w:val="fr-CA"/>
        </w:rPr>
        <w:t xml:space="preserve">3.1 </w:t>
      </w:r>
      <w:r w:rsidRPr="009C6218">
        <w:rPr>
          <w:lang w:val="fr-CA"/>
        </w:rPr>
        <w:t>que « Les juges de paix doivent adopter une conduite qui inspire la confiance du public »</w:t>
      </w:r>
      <w:r w:rsidR="008F18B5" w:rsidRPr="009C6218">
        <w:rPr>
          <w:lang w:val="fr-CA"/>
        </w:rPr>
        <w:t>.</w:t>
      </w:r>
    </w:p>
    <w:p w14:paraId="13F74516" w14:textId="77777777" w:rsidR="00BB319B" w:rsidRPr="009C6218" w:rsidRDefault="00BB319B">
      <w:pPr>
        <w:rPr>
          <w:b/>
          <w:lang w:val="fr-CA"/>
        </w:rPr>
      </w:pPr>
      <w:r w:rsidRPr="009C6218">
        <w:rPr>
          <w:lang w:val="fr-CA"/>
        </w:rPr>
        <w:br w:type="page"/>
      </w:r>
    </w:p>
    <w:p w14:paraId="6498EA04" w14:textId="0474EAE7" w:rsidR="00472D07" w:rsidRPr="009C6218" w:rsidRDefault="001E29AF" w:rsidP="009C5A81">
      <w:pPr>
        <w:pStyle w:val="Heading2"/>
        <w:spacing w:before="0" w:after="360"/>
        <w:rPr>
          <w:lang w:val="fr-CA"/>
        </w:rPr>
      </w:pPr>
      <w:bookmarkStart w:id="22" w:name="_Toc42946534"/>
      <w:r w:rsidRPr="009C6218">
        <w:rPr>
          <w:lang w:val="fr-CA"/>
        </w:rPr>
        <w:lastRenderedPageBreak/>
        <w:t>Principes de déontologie judiciaire</w:t>
      </w:r>
      <w:bookmarkEnd w:id="22"/>
      <w:r w:rsidRPr="009C6218">
        <w:rPr>
          <w:lang w:val="fr-CA"/>
        </w:rPr>
        <w:t xml:space="preserve"> </w:t>
      </w:r>
    </w:p>
    <w:p w14:paraId="33B0868F" w14:textId="2D4BB48B" w:rsidR="008F18B5" w:rsidRPr="009C6218" w:rsidRDefault="001E29AF" w:rsidP="009C5A81">
      <w:pPr>
        <w:numPr>
          <w:ilvl w:val="0"/>
          <w:numId w:val="1"/>
        </w:numPr>
        <w:spacing w:after="360" w:line="276" w:lineRule="auto"/>
        <w:ind w:left="567" w:hanging="567"/>
        <w:rPr>
          <w:rFonts w:eastAsia="Arial" w:cs="Times New Roman"/>
          <w:szCs w:val="22"/>
          <w:lang w:val="fr-CA"/>
        </w:rPr>
      </w:pPr>
      <w:r w:rsidRPr="009C6218">
        <w:rPr>
          <w:lang w:val="fr-CA"/>
        </w:rPr>
        <w:t xml:space="preserve">Outre les Principes de la charge judiciaire mentionnés ci-dessus, les </w:t>
      </w:r>
      <w:r w:rsidRPr="009C6218">
        <w:rPr>
          <w:i/>
          <w:lang w:val="fr-CA"/>
        </w:rPr>
        <w:t>Principes de déontologie judiciaire</w:t>
      </w:r>
      <w:r w:rsidRPr="009C6218">
        <w:rPr>
          <w:lang w:val="fr-CA"/>
        </w:rPr>
        <w:t xml:space="preserve"> du Conseil canadien de la magistrature guident les juristes dans la conduite qu’ils doivent adopter au tribunal et dans la société</w:t>
      </w:r>
      <w:r w:rsidR="008F18B5" w:rsidRPr="009C6218">
        <w:rPr>
          <w:lang w:val="fr-CA"/>
        </w:rPr>
        <w:t>.</w:t>
      </w:r>
    </w:p>
    <w:p w14:paraId="6CBBBE17" w14:textId="13860557" w:rsidR="008F18B5" w:rsidRPr="009C6218" w:rsidRDefault="001E29AF" w:rsidP="003C66B5">
      <w:pPr>
        <w:numPr>
          <w:ilvl w:val="0"/>
          <w:numId w:val="1"/>
        </w:numPr>
        <w:spacing w:after="200" w:line="276" w:lineRule="auto"/>
        <w:ind w:left="567" w:hanging="567"/>
        <w:rPr>
          <w:rFonts w:eastAsia="Arial" w:cs="Times New Roman"/>
          <w:szCs w:val="22"/>
          <w:lang w:val="fr-CA"/>
        </w:rPr>
      </w:pPr>
      <w:r w:rsidRPr="009C6218">
        <w:rPr>
          <w:lang w:val="fr-CA"/>
        </w:rPr>
        <w:t xml:space="preserve">Le paragraphe </w:t>
      </w:r>
      <w:r w:rsidR="008F18B5" w:rsidRPr="009C6218">
        <w:rPr>
          <w:lang w:val="fr-CA"/>
        </w:rPr>
        <w:t xml:space="preserve">2.4 </w:t>
      </w:r>
      <w:r w:rsidRPr="009C6218">
        <w:rPr>
          <w:lang w:val="fr-CA"/>
        </w:rPr>
        <w:t>déclare : « </w:t>
      </w:r>
      <w:r w:rsidRPr="009C6218">
        <w:rPr>
          <w:u w:val="single"/>
          <w:lang w:val="fr-CA"/>
        </w:rPr>
        <w:t xml:space="preserve">Les juges démontrent qu’ils observent des normes élevées de conduite judiciaire </w:t>
      </w:r>
      <w:r w:rsidRPr="009C6218">
        <w:rPr>
          <w:lang w:val="fr-CA"/>
        </w:rPr>
        <w:t>et ils favorisent l’application de telles normes, afin de renforcer la confiance du public, laquelle est la pierre angulaire de l’indépendance des juges</w:t>
      </w:r>
      <w:r w:rsidR="008F18B5" w:rsidRPr="009C6218">
        <w:rPr>
          <w:lang w:val="fr-CA"/>
        </w:rPr>
        <w:t>.</w:t>
      </w:r>
      <w:r w:rsidRPr="009C6218">
        <w:rPr>
          <w:lang w:val="fr-CA"/>
        </w:rPr>
        <w:t> »</w:t>
      </w:r>
      <w:r w:rsidR="008F18B5" w:rsidRPr="009C6218">
        <w:rPr>
          <w:lang w:val="fr-CA"/>
        </w:rPr>
        <w:t xml:space="preserve"> (</w:t>
      </w:r>
      <w:r w:rsidRPr="009C6218">
        <w:rPr>
          <w:lang w:val="fr-CA"/>
        </w:rPr>
        <w:t>mise en valeur ajoutée</w:t>
      </w:r>
      <w:r w:rsidR="008F18B5" w:rsidRPr="009C6218">
        <w:rPr>
          <w:lang w:val="fr-CA"/>
        </w:rPr>
        <w:t xml:space="preserve">) </w:t>
      </w:r>
      <w:r w:rsidRPr="00191F58">
        <w:rPr>
          <w:u w:val="single"/>
          <w:lang w:val="fr-CA"/>
        </w:rPr>
        <w:t xml:space="preserve">Bien que les commentaires encouragent les juges à défendre fermement leur propre indépendance, ils </w:t>
      </w:r>
      <w:r w:rsidR="003C66B5" w:rsidRPr="00191F58">
        <w:rPr>
          <w:u w:val="single"/>
          <w:lang w:val="fr-CA"/>
        </w:rPr>
        <w:t xml:space="preserve">les avertissent que « la forme et la nature de cette défense nécessitent une étude </w:t>
      </w:r>
      <w:r w:rsidR="003C66B5" w:rsidRPr="00191F58">
        <w:rPr>
          <w:b/>
          <w:u w:val="single"/>
          <w:lang w:val="fr-CA"/>
        </w:rPr>
        <w:t>minutieuse</w:t>
      </w:r>
      <w:r w:rsidR="003C66B5" w:rsidRPr="00191F58">
        <w:rPr>
          <w:u w:val="single"/>
          <w:lang w:val="fr-CA"/>
        </w:rPr>
        <w:t> »</w:t>
      </w:r>
      <w:r w:rsidR="003C66B5" w:rsidRPr="009C6218">
        <w:rPr>
          <w:lang w:val="fr-CA"/>
        </w:rPr>
        <w:t xml:space="preserve"> </w:t>
      </w:r>
      <w:r w:rsidR="0048007E" w:rsidRPr="009C6218">
        <w:rPr>
          <w:lang w:val="fr-CA"/>
        </w:rPr>
        <w:t>(</w:t>
      </w:r>
      <w:r w:rsidR="003C66B5" w:rsidRPr="009C6218">
        <w:rPr>
          <w:lang w:val="fr-CA"/>
        </w:rPr>
        <w:t>mise en valeur ajoutée</w:t>
      </w:r>
      <w:r w:rsidR="0048007E" w:rsidRPr="009C6218">
        <w:rPr>
          <w:lang w:val="fr-CA"/>
        </w:rPr>
        <w:t>)</w:t>
      </w:r>
      <w:r w:rsidR="003C66B5" w:rsidRPr="009C6218">
        <w:rPr>
          <w:lang w:val="fr-CA"/>
        </w:rPr>
        <w:t>.</w:t>
      </w:r>
    </w:p>
    <w:p w14:paraId="1C6CB68B" w14:textId="758D7E9F" w:rsidR="008F18B5" w:rsidRPr="009C6218" w:rsidRDefault="00CD3DD5" w:rsidP="00CD3DD5">
      <w:pPr>
        <w:numPr>
          <w:ilvl w:val="0"/>
          <w:numId w:val="1"/>
        </w:numPr>
        <w:spacing w:after="200" w:line="276" w:lineRule="auto"/>
        <w:ind w:left="567" w:hanging="567"/>
        <w:rPr>
          <w:rFonts w:eastAsia="Arial" w:cs="Times New Roman"/>
          <w:szCs w:val="22"/>
          <w:lang w:val="fr-CA"/>
        </w:rPr>
      </w:pPr>
      <w:r w:rsidRPr="009C6218">
        <w:rPr>
          <w:lang w:val="fr-CA"/>
        </w:rPr>
        <w:t xml:space="preserve">Le paragraphe </w:t>
      </w:r>
      <w:r w:rsidR="008F18B5" w:rsidRPr="009C6218">
        <w:rPr>
          <w:lang w:val="fr-CA"/>
        </w:rPr>
        <w:t xml:space="preserve">3.1 </w:t>
      </w:r>
      <w:r w:rsidR="00191F58">
        <w:rPr>
          <w:lang w:val="fr-CA"/>
        </w:rPr>
        <w:t>parle du</w:t>
      </w:r>
      <w:r w:rsidRPr="009C6218">
        <w:rPr>
          <w:lang w:val="fr-CA"/>
        </w:rPr>
        <w:t xml:space="preserve"> principe de l’intégrité. « Les juges déploient tous les efforts possibles pour que leur conduite soit sans reproche aux yeux d’une personne raisonnable, impartiale et bien informée. »</w:t>
      </w:r>
      <w:r w:rsidR="008F18B5" w:rsidRPr="009C6218">
        <w:rPr>
          <w:lang w:val="fr-CA"/>
        </w:rPr>
        <w:t xml:space="preserve"> </w:t>
      </w:r>
      <w:r w:rsidRPr="009C6218">
        <w:rPr>
          <w:lang w:val="fr-CA"/>
        </w:rPr>
        <w:t>Les commentaires élaborent ce principe en déclarant que « De nombreux facteurs peuvent ébranler la confiance et le respect du public à l’égard de la magistrature, notamment : des critiques injustifiées ou malavisées; de simples malentendus sur le rôle de la magistrature »</w:t>
      </w:r>
      <w:r w:rsidR="008F18B5" w:rsidRPr="009C6218">
        <w:rPr>
          <w:lang w:val="fr-CA"/>
        </w:rPr>
        <w:t>.</w:t>
      </w:r>
    </w:p>
    <w:p w14:paraId="515EEDE2" w14:textId="22E78921" w:rsidR="008F18B5" w:rsidRPr="009C6218" w:rsidRDefault="00144624" w:rsidP="00144624">
      <w:pPr>
        <w:numPr>
          <w:ilvl w:val="0"/>
          <w:numId w:val="1"/>
        </w:numPr>
        <w:spacing w:after="200" w:line="276" w:lineRule="auto"/>
        <w:ind w:left="567" w:hanging="567"/>
        <w:rPr>
          <w:rFonts w:eastAsia="Arial" w:cs="Times New Roman"/>
          <w:szCs w:val="22"/>
          <w:lang w:val="fr-CA"/>
        </w:rPr>
      </w:pPr>
      <w:r w:rsidRPr="009C6218">
        <w:rPr>
          <w:lang w:val="fr-CA"/>
        </w:rPr>
        <w:t xml:space="preserve">Le paragraphe </w:t>
      </w:r>
      <w:r w:rsidR="008F18B5" w:rsidRPr="009C6218">
        <w:rPr>
          <w:lang w:val="fr-CA"/>
        </w:rPr>
        <w:t xml:space="preserve">6.A. 1 </w:t>
      </w:r>
      <w:r w:rsidRPr="009C6218">
        <w:rPr>
          <w:lang w:val="fr-CA"/>
        </w:rPr>
        <w:t>aborde la question de l’impartialité en ces termes : « </w:t>
      </w:r>
      <w:r w:rsidRPr="009C6218">
        <w:rPr>
          <w:u w:val="single"/>
          <w:lang w:val="fr-CA"/>
        </w:rPr>
        <w:t>Les juges voient à ce que leur conduite</w:t>
      </w:r>
      <w:r w:rsidRPr="009C6218">
        <w:rPr>
          <w:lang w:val="fr-CA"/>
        </w:rPr>
        <w:t xml:space="preserve">, tant dans l’enceinte du tribunal qu’à l’extérieur de celle-ci, entretienne et </w:t>
      </w:r>
      <w:r w:rsidRPr="009C6218">
        <w:rPr>
          <w:u w:val="single"/>
          <w:lang w:val="fr-CA"/>
        </w:rPr>
        <w:t>accroisse la confiance en leur impartialité et en celle de la magistrature en général</w:t>
      </w:r>
      <w:r w:rsidRPr="009C6218">
        <w:rPr>
          <w:lang w:val="fr-CA"/>
        </w:rPr>
        <w:t>. »</w:t>
      </w:r>
      <w:r w:rsidR="0048007E" w:rsidRPr="009C6218">
        <w:rPr>
          <w:lang w:val="fr-CA"/>
        </w:rPr>
        <w:t xml:space="preserve"> (</w:t>
      </w:r>
      <w:r w:rsidRPr="009C6218">
        <w:rPr>
          <w:lang w:val="fr-CA"/>
        </w:rPr>
        <w:t>mise en valeur ajoutée</w:t>
      </w:r>
      <w:r w:rsidR="0048007E" w:rsidRPr="009C6218">
        <w:rPr>
          <w:lang w:val="fr-CA"/>
        </w:rPr>
        <w:t>)</w:t>
      </w:r>
    </w:p>
    <w:p w14:paraId="41D8D2E4" w14:textId="6B4BD3FA" w:rsidR="008F18B5" w:rsidRPr="009C6218" w:rsidRDefault="00144624" w:rsidP="00422A92">
      <w:pPr>
        <w:numPr>
          <w:ilvl w:val="0"/>
          <w:numId w:val="1"/>
        </w:numPr>
        <w:spacing w:after="200" w:line="276" w:lineRule="auto"/>
        <w:ind w:left="567" w:hanging="567"/>
        <w:rPr>
          <w:rFonts w:eastAsia="Arial" w:cs="Times New Roman"/>
          <w:szCs w:val="22"/>
          <w:lang w:val="fr-CA"/>
        </w:rPr>
      </w:pPr>
      <w:r w:rsidRPr="009C6218">
        <w:rPr>
          <w:lang w:val="fr-CA"/>
        </w:rPr>
        <w:t xml:space="preserve">Les commentaires afférents au paragraphe </w:t>
      </w:r>
      <w:r w:rsidR="008F18B5" w:rsidRPr="009C6218">
        <w:rPr>
          <w:lang w:val="fr-CA"/>
        </w:rPr>
        <w:t xml:space="preserve">6.B.1 </w:t>
      </w:r>
      <w:r w:rsidRPr="009C6218">
        <w:rPr>
          <w:lang w:val="fr-CA"/>
        </w:rPr>
        <w:t xml:space="preserve">qui traite de l’impartialité précisent </w:t>
      </w:r>
      <w:r w:rsidR="008F18B5" w:rsidRPr="009C6218">
        <w:rPr>
          <w:lang w:val="fr-CA"/>
        </w:rPr>
        <w:t>:</w:t>
      </w:r>
    </w:p>
    <w:p w14:paraId="6EF53A5F" w14:textId="1787A1CA" w:rsidR="000C6120" w:rsidRPr="009C6218" w:rsidRDefault="00144624" w:rsidP="00144624">
      <w:pPr>
        <w:pStyle w:val="ListParagraph"/>
        <w:ind w:left="851" w:right="855"/>
        <w:rPr>
          <w:lang w:val="fr-CA"/>
        </w:rPr>
      </w:pPr>
      <w:r w:rsidRPr="009C6218">
        <w:rPr>
          <w:lang w:val="fr-CA"/>
        </w:rPr>
        <w:t>« </w:t>
      </w:r>
      <w:r w:rsidRPr="00191F58">
        <w:rPr>
          <w:u w:val="single"/>
          <w:lang w:val="fr-CA"/>
        </w:rPr>
        <w:t>Il convient d’éviter tout acte qui pourrait, aux yeux d’une personne raisonnable, impartiale et bien informée, qui aurait étudié la question, donner lieu à une suspicion raisonnée de partialité</w:t>
      </w:r>
      <w:r w:rsidRPr="009C6218">
        <w:rPr>
          <w:lang w:val="fr-CA"/>
        </w:rPr>
        <w:t>. Lorsqu’une telle impression est donnée, ses effets néfastes ne se limitent pas aux parties au litige; cette perception sape la confiance du public en la magistrature en général. »</w:t>
      </w:r>
      <w:r w:rsidR="000C6120" w:rsidRPr="009C6218">
        <w:rPr>
          <w:lang w:val="fr-CA"/>
        </w:rPr>
        <w:t xml:space="preserve"> (</w:t>
      </w:r>
      <w:proofErr w:type="gramStart"/>
      <w:r w:rsidRPr="009C6218">
        <w:rPr>
          <w:lang w:val="fr-CA"/>
        </w:rPr>
        <w:t>mise</w:t>
      </w:r>
      <w:proofErr w:type="gramEnd"/>
      <w:r w:rsidRPr="009C6218">
        <w:rPr>
          <w:lang w:val="fr-CA"/>
        </w:rPr>
        <w:t xml:space="preserve"> en valeur ajoutée</w:t>
      </w:r>
      <w:r w:rsidR="000C6120" w:rsidRPr="009C6218">
        <w:rPr>
          <w:lang w:val="fr-CA"/>
        </w:rPr>
        <w:t>)</w:t>
      </w:r>
    </w:p>
    <w:p w14:paraId="0178F5F5" w14:textId="77777777" w:rsidR="00F62737" w:rsidRPr="009C6218" w:rsidRDefault="00F62737" w:rsidP="000C6120">
      <w:pPr>
        <w:pStyle w:val="ListParagraph"/>
        <w:ind w:left="360" w:right="1418"/>
        <w:rPr>
          <w:lang w:val="fr-CA"/>
        </w:rPr>
      </w:pPr>
    </w:p>
    <w:p w14:paraId="5B08BD94" w14:textId="7A68414A" w:rsidR="008F18B5" w:rsidRPr="009C6218" w:rsidRDefault="00EC2B7D" w:rsidP="00422A92">
      <w:pPr>
        <w:numPr>
          <w:ilvl w:val="0"/>
          <w:numId w:val="1"/>
        </w:numPr>
        <w:spacing w:after="200" w:line="276" w:lineRule="auto"/>
        <w:ind w:left="567" w:hanging="567"/>
        <w:rPr>
          <w:rFonts w:eastAsia="Arial" w:cs="Times New Roman"/>
          <w:szCs w:val="22"/>
          <w:lang w:val="fr-CA"/>
        </w:rPr>
      </w:pPr>
      <w:r w:rsidRPr="009C6218">
        <w:rPr>
          <w:lang w:val="fr-CA"/>
        </w:rPr>
        <w:t xml:space="preserve">Dans l’affaire </w:t>
      </w:r>
      <w:proofErr w:type="spellStart"/>
      <w:r w:rsidR="008F18B5" w:rsidRPr="009C6218">
        <w:rPr>
          <w:i/>
          <w:lang w:val="fr-CA"/>
        </w:rPr>
        <w:t>Ruffo</w:t>
      </w:r>
      <w:proofErr w:type="spellEnd"/>
      <w:r w:rsidR="006E190B" w:rsidRPr="009C6218">
        <w:rPr>
          <w:i/>
          <w:lang w:val="fr-CA"/>
        </w:rPr>
        <w:t xml:space="preserve"> </w:t>
      </w:r>
      <w:r w:rsidR="00853FD0" w:rsidRPr="009C6218">
        <w:rPr>
          <w:i/>
          <w:lang w:val="fr-CA"/>
        </w:rPr>
        <w:t>(2005)</w:t>
      </w:r>
      <w:r w:rsidRPr="009C6218">
        <w:rPr>
          <w:i/>
          <w:lang w:val="fr-CA"/>
        </w:rPr>
        <w:t xml:space="preserve">, </w:t>
      </w:r>
      <w:r w:rsidRPr="009C6218">
        <w:rPr>
          <w:lang w:val="fr-CA"/>
        </w:rPr>
        <w:t>la Cour d’appel du Québec a analysé l</w:t>
      </w:r>
      <w:r w:rsidR="000E4FFC" w:rsidRPr="009C6218">
        <w:rPr>
          <w:lang w:val="fr-CA"/>
        </w:rPr>
        <w:t>a différence</w:t>
      </w:r>
      <w:r w:rsidRPr="009C6218">
        <w:rPr>
          <w:lang w:val="fr-CA"/>
        </w:rPr>
        <w:t xml:space="preserve"> entre les codes de déontologie judiciaire et les obligations déontologiques des juges</w:t>
      </w:r>
      <w:r w:rsidR="000E4FFC" w:rsidRPr="009C6218">
        <w:rPr>
          <w:lang w:val="fr-CA"/>
        </w:rPr>
        <w:t xml:space="preserve"> </w:t>
      </w:r>
      <w:r w:rsidR="008F18B5" w:rsidRPr="009C6218">
        <w:rPr>
          <w:lang w:val="fr-CA"/>
        </w:rPr>
        <w:t>:</w:t>
      </w:r>
    </w:p>
    <w:p w14:paraId="1CBE0A46" w14:textId="16E16C33" w:rsidR="00D752EA" w:rsidRPr="009C6218" w:rsidRDefault="006E190B" w:rsidP="000E4FFC">
      <w:pPr>
        <w:pStyle w:val="Quote"/>
        <w:ind w:left="851" w:right="855"/>
        <w:rPr>
          <w:lang w:val="fr-CA"/>
        </w:rPr>
      </w:pPr>
      <w:r w:rsidRPr="009C6218">
        <w:rPr>
          <w:lang w:val="fr-CA"/>
        </w:rPr>
        <w:t xml:space="preserve">… </w:t>
      </w:r>
      <w:r w:rsidR="000E4FFC" w:rsidRPr="009C6218">
        <w:rPr>
          <w:lang w:val="fr-CA"/>
        </w:rPr>
        <w:t xml:space="preserve">les </w:t>
      </w:r>
      <w:r w:rsidR="000E4FFC" w:rsidRPr="009C6218">
        <w:rPr>
          <w:u w:val="single"/>
          <w:lang w:val="fr-CA"/>
        </w:rPr>
        <w:t>obligations déontologiques des membres de la magistrature</w:t>
      </w:r>
      <w:r w:rsidR="000E4FFC" w:rsidRPr="009C6218">
        <w:rPr>
          <w:lang w:val="fr-CA"/>
        </w:rPr>
        <w:t xml:space="preserve"> ne dépendent pas de l'encadrement formel du Code de déontologie. Elles constituent, en réalité, une </w:t>
      </w:r>
      <w:r w:rsidR="000E4FFC" w:rsidRPr="009C6218">
        <w:rPr>
          <w:u w:val="single"/>
          <w:lang w:val="fr-CA"/>
        </w:rPr>
        <w:t>exigence de la fonction judiciaire</w:t>
      </w:r>
      <w:r w:rsidR="000E4FFC" w:rsidRPr="009C6218">
        <w:rPr>
          <w:lang w:val="fr-CA"/>
        </w:rPr>
        <w:t xml:space="preserve">, et résultent tant de l'engagement pris par le juge lors de la prestation de son serment </w:t>
      </w:r>
      <w:r w:rsidR="000E4FFC" w:rsidRPr="009C6218">
        <w:rPr>
          <w:lang w:val="fr-CA"/>
        </w:rPr>
        <w:lastRenderedPageBreak/>
        <w:t xml:space="preserve">d'exercer les devoirs de sa charge que de l'existence </w:t>
      </w:r>
      <w:r w:rsidR="000E4FFC" w:rsidRPr="009C6218">
        <w:rPr>
          <w:u w:val="single"/>
          <w:lang w:val="fr-CA"/>
        </w:rPr>
        <w:t>d'obligations inhérentes à la fonction judiciaire</w:t>
      </w:r>
      <w:r w:rsidR="00D752EA" w:rsidRPr="009C6218">
        <w:rPr>
          <w:rStyle w:val="FootnoteReference"/>
          <w:lang w:val="fr-CA"/>
        </w:rPr>
        <w:footnoteReference w:id="20"/>
      </w:r>
      <w:r w:rsidRPr="009C6218">
        <w:rPr>
          <w:lang w:val="fr-CA"/>
        </w:rPr>
        <w:t xml:space="preserve"> </w:t>
      </w:r>
      <w:r w:rsidRPr="009C6218">
        <w:rPr>
          <w:i w:val="0"/>
          <w:lang w:val="fr-CA"/>
        </w:rPr>
        <w:t>(</w:t>
      </w:r>
      <w:r w:rsidR="000E4FFC" w:rsidRPr="009C6218">
        <w:rPr>
          <w:i w:val="0"/>
          <w:lang w:val="fr-CA"/>
        </w:rPr>
        <w:t>mise en valeur ajoutée</w:t>
      </w:r>
      <w:r w:rsidRPr="009C6218">
        <w:rPr>
          <w:i w:val="0"/>
          <w:lang w:val="fr-CA"/>
        </w:rPr>
        <w:t>)</w:t>
      </w:r>
      <w:r w:rsidR="000E4FFC" w:rsidRPr="009C6218">
        <w:rPr>
          <w:i w:val="0"/>
          <w:lang w:val="fr-CA"/>
        </w:rPr>
        <w:t>.</w:t>
      </w:r>
    </w:p>
    <w:p w14:paraId="1C60EF01" w14:textId="77777777" w:rsidR="00096E83" w:rsidRPr="009C6218" w:rsidRDefault="00096E83" w:rsidP="00096E83">
      <w:pPr>
        <w:spacing w:after="200" w:line="276" w:lineRule="auto"/>
        <w:ind w:left="567"/>
        <w:rPr>
          <w:rFonts w:eastAsia="Arial" w:cs="Times New Roman"/>
          <w:szCs w:val="22"/>
          <w:lang w:val="fr-CA"/>
        </w:rPr>
      </w:pPr>
    </w:p>
    <w:p w14:paraId="7D98DCDB" w14:textId="6E91148B" w:rsidR="000D0EBA" w:rsidRPr="009C6218" w:rsidRDefault="000E4FFC" w:rsidP="00422A92">
      <w:pPr>
        <w:numPr>
          <w:ilvl w:val="0"/>
          <w:numId w:val="1"/>
        </w:numPr>
        <w:spacing w:after="200" w:line="276" w:lineRule="auto"/>
        <w:ind w:left="567" w:hanging="567"/>
        <w:rPr>
          <w:rFonts w:eastAsia="Arial" w:cs="Times New Roman"/>
          <w:szCs w:val="22"/>
          <w:lang w:val="fr-CA"/>
        </w:rPr>
      </w:pPr>
      <w:r w:rsidRPr="009C6218">
        <w:rPr>
          <w:lang w:val="fr-CA"/>
        </w:rPr>
        <w:t xml:space="preserve">Dans son ouvrage </w:t>
      </w:r>
      <w:r w:rsidR="000D0EBA" w:rsidRPr="009C6218">
        <w:rPr>
          <w:i/>
          <w:lang w:val="fr-CA"/>
        </w:rPr>
        <w:t xml:space="preserve">Judicial </w:t>
      </w:r>
      <w:proofErr w:type="spellStart"/>
      <w:r w:rsidR="000D0EBA" w:rsidRPr="009C6218">
        <w:rPr>
          <w:i/>
          <w:lang w:val="fr-CA"/>
        </w:rPr>
        <w:t>Conduct</w:t>
      </w:r>
      <w:proofErr w:type="spellEnd"/>
      <w:r w:rsidR="000D0EBA" w:rsidRPr="009C6218">
        <w:rPr>
          <w:i/>
          <w:lang w:val="fr-CA"/>
        </w:rPr>
        <w:t xml:space="preserve"> and </w:t>
      </w:r>
      <w:proofErr w:type="spellStart"/>
      <w:r w:rsidR="000D0EBA" w:rsidRPr="009C6218">
        <w:rPr>
          <w:i/>
          <w:lang w:val="fr-CA"/>
        </w:rPr>
        <w:t>Accountability</w:t>
      </w:r>
      <w:proofErr w:type="spellEnd"/>
      <w:r w:rsidR="000D0EBA" w:rsidRPr="009C6218">
        <w:rPr>
          <w:lang w:val="fr-CA"/>
        </w:rPr>
        <w:t xml:space="preserve">, </w:t>
      </w:r>
      <w:r w:rsidRPr="009C6218">
        <w:rPr>
          <w:lang w:val="fr-CA"/>
        </w:rPr>
        <w:t xml:space="preserve">le juge </w:t>
      </w:r>
      <w:r w:rsidR="000D0EBA" w:rsidRPr="009C6218">
        <w:rPr>
          <w:lang w:val="fr-CA"/>
        </w:rPr>
        <w:t xml:space="preserve">David Marshall </w:t>
      </w:r>
      <w:r w:rsidRPr="009C6218">
        <w:rPr>
          <w:lang w:val="fr-CA"/>
        </w:rPr>
        <w:t xml:space="preserve">a relevé qu’il </w:t>
      </w:r>
      <w:r w:rsidR="00191F58">
        <w:rPr>
          <w:lang w:val="fr-CA"/>
        </w:rPr>
        <w:t xml:space="preserve">y a plusieurs façons d’analyser la question </w:t>
      </w:r>
      <w:r w:rsidRPr="009C6218">
        <w:rPr>
          <w:lang w:val="fr-CA"/>
        </w:rPr>
        <w:t xml:space="preserve">de la conduite judiciaire. </w:t>
      </w:r>
      <w:r w:rsidR="00261B70" w:rsidRPr="009C6218">
        <w:rPr>
          <w:lang w:val="fr-CA"/>
        </w:rPr>
        <w:t>On peut parler de conduite judiciaire officielle et de conduite judiciaire non officielle, ou plus simplement, de conduite au tribunal et hors du tribunal</w:t>
      </w:r>
      <w:r w:rsidR="000D0EBA" w:rsidRPr="009C6218">
        <w:rPr>
          <w:lang w:val="fr-CA"/>
        </w:rPr>
        <w:t>.</w:t>
      </w:r>
    </w:p>
    <w:p w14:paraId="6C5DB391" w14:textId="6FAFD6E6" w:rsidR="000D0EBA" w:rsidRPr="009C6218" w:rsidRDefault="00261B70" w:rsidP="00472D07">
      <w:pPr>
        <w:ind w:left="851" w:right="855"/>
        <w:rPr>
          <w:lang w:val="fr-CA"/>
        </w:rPr>
      </w:pPr>
      <w:r w:rsidRPr="009C6218">
        <w:rPr>
          <w:lang w:val="fr-CA"/>
        </w:rPr>
        <w:t>Il y a une autre façon d’</w:t>
      </w:r>
      <w:r w:rsidR="00191F58">
        <w:rPr>
          <w:lang w:val="fr-CA"/>
        </w:rPr>
        <w:t>analyser</w:t>
      </w:r>
      <w:r w:rsidRPr="009C6218">
        <w:rPr>
          <w:lang w:val="fr-CA"/>
        </w:rPr>
        <w:t xml:space="preserve"> la conduite judiciaire : examiner les </w:t>
      </w:r>
      <w:r w:rsidRPr="009C6218">
        <w:rPr>
          <w:u w:val="single"/>
          <w:lang w:val="fr-CA"/>
        </w:rPr>
        <w:t>valeurs fondamentales que la conduite judiciaire doit respecter</w:t>
      </w:r>
      <w:r w:rsidR="000D0EBA" w:rsidRPr="009C6218">
        <w:rPr>
          <w:u w:val="single"/>
          <w:lang w:val="fr-CA"/>
        </w:rPr>
        <w:t>.</w:t>
      </w:r>
      <w:r w:rsidR="000D0EBA" w:rsidRPr="009C6218">
        <w:rPr>
          <w:lang w:val="fr-CA"/>
        </w:rPr>
        <w:t xml:space="preserve"> </w:t>
      </w:r>
      <w:r w:rsidRPr="009C6218">
        <w:rPr>
          <w:lang w:val="fr-CA"/>
        </w:rPr>
        <w:t xml:space="preserve">On peut les résumer brièvement et de façon concise à essentiellement trois </w:t>
      </w:r>
      <w:r w:rsidR="007B10DF" w:rsidRPr="009C6218">
        <w:rPr>
          <w:lang w:val="fr-CA"/>
        </w:rPr>
        <w:t>obligations</w:t>
      </w:r>
      <w:r w:rsidRPr="009C6218">
        <w:rPr>
          <w:lang w:val="fr-CA"/>
        </w:rPr>
        <w:t xml:space="preserve"> </w:t>
      </w:r>
      <w:r w:rsidR="000D0EBA" w:rsidRPr="009C6218">
        <w:rPr>
          <w:u w:val="single"/>
          <w:lang w:val="fr-CA"/>
        </w:rPr>
        <w:t xml:space="preserve">: </w:t>
      </w:r>
      <w:r w:rsidRPr="009C6218">
        <w:rPr>
          <w:u w:val="single"/>
          <w:lang w:val="fr-CA"/>
        </w:rPr>
        <w:t>premièrement, éviter tout</w:t>
      </w:r>
      <w:r w:rsidR="007B10DF" w:rsidRPr="009C6218">
        <w:rPr>
          <w:u w:val="single"/>
          <w:lang w:val="fr-CA"/>
        </w:rPr>
        <w:t xml:space="preserve"> acte ou toute activité qui risque de compromettre l’indépendan</w:t>
      </w:r>
      <w:r w:rsidR="00191F58">
        <w:rPr>
          <w:u w:val="single"/>
          <w:lang w:val="fr-CA"/>
        </w:rPr>
        <w:t>c</w:t>
      </w:r>
      <w:r w:rsidR="007B10DF" w:rsidRPr="009C6218">
        <w:rPr>
          <w:u w:val="single"/>
          <w:lang w:val="fr-CA"/>
        </w:rPr>
        <w:t>e ou l’impartialité d’un juge; deuxièmement, toujours se comporter avec civilité, et troisièmement, faire preuve de diligence dans l’exécution de ses obligations</w:t>
      </w:r>
      <w:r w:rsidR="000D0EBA" w:rsidRPr="009C6218">
        <w:rPr>
          <w:rStyle w:val="FootnoteReference"/>
          <w:lang w:val="fr-CA"/>
        </w:rPr>
        <w:footnoteReference w:id="21"/>
      </w:r>
      <w:r w:rsidR="000D0EBA" w:rsidRPr="009C6218">
        <w:rPr>
          <w:lang w:val="fr-CA"/>
        </w:rPr>
        <w:t xml:space="preserve"> (</w:t>
      </w:r>
      <w:r w:rsidR="007B10DF" w:rsidRPr="009C6218">
        <w:rPr>
          <w:lang w:val="fr-CA"/>
        </w:rPr>
        <w:t>mise en valeur ajoutée</w:t>
      </w:r>
      <w:r w:rsidR="000D0EBA" w:rsidRPr="009C6218">
        <w:rPr>
          <w:lang w:val="fr-CA"/>
        </w:rPr>
        <w:t>)</w:t>
      </w:r>
      <w:r w:rsidR="007B10DF" w:rsidRPr="009C6218">
        <w:rPr>
          <w:lang w:val="fr-CA"/>
        </w:rPr>
        <w:t>. [TRADUCTION]</w:t>
      </w:r>
    </w:p>
    <w:p w14:paraId="61BEC52C" w14:textId="77777777" w:rsidR="000D0EBA" w:rsidRPr="009C6218" w:rsidRDefault="000D0EBA" w:rsidP="000D0EBA">
      <w:pPr>
        <w:ind w:left="851" w:right="1418"/>
        <w:rPr>
          <w:lang w:val="fr-CA"/>
        </w:rPr>
      </w:pPr>
    </w:p>
    <w:p w14:paraId="6E9F20CB" w14:textId="3EF52E37" w:rsidR="000D0EBA" w:rsidRPr="009C6218" w:rsidRDefault="007B10DF" w:rsidP="00422A92">
      <w:pPr>
        <w:numPr>
          <w:ilvl w:val="0"/>
          <w:numId w:val="1"/>
        </w:numPr>
        <w:spacing w:after="200" w:line="276" w:lineRule="auto"/>
        <w:ind w:left="567" w:hanging="567"/>
        <w:rPr>
          <w:rFonts w:eastAsia="Arial" w:cs="Times New Roman"/>
          <w:szCs w:val="22"/>
          <w:lang w:val="fr-CA"/>
        </w:rPr>
      </w:pPr>
      <w:r w:rsidRPr="009C6218">
        <w:rPr>
          <w:lang w:val="fr-CA"/>
        </w:rPr>
        <w:t>Le juge</w:t>
      </w:r>
      <w:r w:rsidR="000D0EBA" w:rsidRPr="009C6218">
        <w:rPr>
          <w:lang w:val="fr-CA"/>
        </w:rPr>
        <w:t xml:space="preserve"> Marshall </w:t>
      </w:r>
      <w:r w:rsidRPr="009C6218">
        <w:rPr>
          <w:lang w:val="fr-CA"/>
        </w:rPr>
        <w:t xml:space="preserve">a fait observer qu’une valeur a une importance supérieure. </w:t>
      </w:r>
      <w:r w:rsidRPr="009C6218">
        <w:rPr>
          <w:u w:val="single"/>
          <w:lang w:val="fr-CA"/>
        </w:rPr>
        <w:t>La valeur prédominante parmi les rè</w:t>
      </w:r>
      <w:r w:rsidR="00191F58">
        <w:rPr>
          <w:u w:val="single"/>
          <w:lang w:val="fr-CA"/>
        </w:rPr>
        <w:t>g</w:t>
      </w:r>
      <w:r w:rsidRPr="009C6218">
        <w:rPr>
          <w:u w:val="single"/>
          <w:lang w:val="fr-CA"/>
        </w:rPr>
        <w:t>les de conduite judiciaire est de maintenir une apparence d’impartialité totale</w:t>
      </w:r>
      <w:r w:rsidR="000D0EBA" w:rsidRPr="009C6218">
        <w:rPr>
          <w:lang w:val="fr-CA"/>
        </w:rPr>
        <w:t xml:space="preserve">. </w:t>
      </w:r>
      <w:r w:rsidRPr="009C6218">
        <w:rPr>
          <w:lang w:val="fr-CA"/>
        </w:rPr>
        <w:t xml:space="preserve">« En d’autres termes, </w:t>
      </w:r>
      <w:r w:rsidRPr="009C6218">
        <w:rPr>
          <w:u w:val="single"/>
          <w:lang w:val="fr-CA"/>
        </w:rPr>
        <w:t>la plupart de</w:t>
      </w:r>
      <w:r w:rsidR="00191F58">
        <w:rPr>
          <w:u w:val="single"/>
          <w:lang w:val="fr-CA"/>
        </w:rPr>
        <w:t>s</w:t>
      </w:r>
      <w:r w:rsidRPr="009C6218">
        <w:rPr>
          <w:u w:val="single"/>
          <w:lang w:val="fr-CA"/>
        </w:rPr>
        <w:t xml:space="preserve"> règles de conduite judiciaire se rapportent à la confiance du public envers l’intégrité du processus judiciaire. »</w:t>
      </w:r>
      <w:r w:rsidR="000D0EBA" w:rsidRPr="009C6218">
        <w:rPr>
          <w:lang w:val="fr-CA"/>
        </w:rPr>
        <w:t xml:space="preserve"> (</w:t>
      </w:r>
      <w:r w:rsidRPr="009C6218">
        <w:rPr>
          <w:lang w:val="fr-CA"/>
        </w:rPr>
        <w:t>mise en valeur ajoutée</w:t>
      </w:r>
      <w:r w:rsidR="000D0EBA" w:rsidRPr="009C6218">
        <w:rPr>
          <w:lang w:val="fr-CA"/>
        </w:rPr>
        <w:t>)</w:t>
      </w:r>
      <w:r w:rsidRPr="009C6218">
        <w:rPr>
          <w:lang w:val="fr-CA"/>
        </w:rPr>
        <w:t xml:space="preserve"> [TRADUCTION]</w:t>
      </w:r>
    </w:p>
    <w:p w14:paraId="195FE9AD" w14:textId="5B053709" w:rsidR="00D752EA" w:rsidRPr="009C6218" w:rsidRDefault="0024136F" w:rsidP="00422A92">
      <w:pPr>
        <w:numPr>
          <w:ilvl w:val="0"/>
          <w:numId w:val="1"/>
        </w:numPr>
        <w:spacing w:after="200" w:line="276" w:lineRule="auto"/>
        <w:ind w:left="567" w:hanging="567"/>
        <w:rPr>
          <w:rFonts w:eastAsia="Arial" w:cs="Times New Roman"/>
          <w:szCs w:val="22"/>
          <w:lang w:val="fr-CA"/>
        </w:rPr>
      </w:pPr>
      <w:r w:rsidRPr="009C6218">
        <w:rPr>
          <w:lang w:val="fr-CA"/>
        </w:rPr>
        <w:t xml:space="preserve">L’examen des commentaires et de la jurisprudence pertinente révèle deux thèmes constants. Premièrement, la confiance du public envers l’administration de la justice est un facteur crucial dans l’évaluation de toute allégation d’inconduite judiciaire. Deuxièmement, la nécessité de faire preuve de </w:t>
      </w:r>
      <w:r w:rsidR="00A359B1">
        <w:rPr>
          <w:lang w:val="fr-CA"/>
        </w:rPr>
        <w:t>retenue</w:t>
      </w:r>
      <w:r w:rsidRPr="009C6218">
        <w:rPr>
          <w:lang w:val="fr-CA"/>
        </w:rPr>
        <w:t xml:space="preserve">, surtout </w:t>
      </w:r>
      <w:r w:rsidR="00EA1B91" w:rsidRPr="009C6218">
        <w:rPr>
          <w:lang w:val="fr-CA"/>
        </w:rPr>
        <w:t>en faisant des déclarations publiques</w:t>
      </w:r>
      <w:r w:rsidRPr="009C6218">
        <w:rPr>
          <w:lang w:val="fr-CA"/>
        </w:rPr>
        <w:t>, est un thème récurrent</w:t>
      </w:r>
      <w:r w:rsidR="00D752EA" w:rsidRPr="009C6218">
        <w:rPr>
          <w:lang w:val="fr-CA"/>
        </w:rPr>
        <w:t>.</w:t>
      </w:r>
    </w:p>
    <w:p w14:paraId="01A46E3A" w14:textId="4A48FC20" w:rsidR="00D752EA" w:rsidRPr="009C6218" w:rsidRDefault="0024136F" w:rsidP="00422A92">
      <w:pPr>
        <w:numPr>
          <w:ilvl w:val="0"/>
          <w:numId w:val="1"/>
        </w:numPr>
        <w:spacing w:after="200" w:line="276" w:lineRule="auto"/>
        <w:ind w:left="567" w:hanging="567"/>
        <w:rPr>
          <w:lang w:val="fr-CA"/>
        </w:rPr>
      </w:pPr>
      <w:r w:rsidRPr="009C6218">
        <w:rPr>
          <w:lang w:val="fr-CA"/>
        </w:rPr>
        <w:t>Dans l’affaire</w:t>
      </w:r>
      <w:r w:rsidR="00D752EA" w:rsidRPr="009C6218">
        <w:rPr>
          <w:lang w:val="fr-CA"/>
        </w:rPr>
        <w:t xml:space="preserve"> </w:t>
      </w:r>
      <w:r w:rsidR="00507A45" w:rsidRPr="009C6218">
        <w:rPr>
          <w:i/>
          <w:lang w:val="fr-CA"/>
        </w:rPr>
        <w:t xml:space="preserve">Re </w:t>
      </w:r>
      <w:proofErr w:type="spellStart"/>
      <w:r w:rsidR="00D752EA" w:rsidRPr="009C6218">
        <w:rPr>
          <w:i/>
          <w:lang w:val="fr-CA"/>
        </w:rPr>
        <w:t>Massiah</w:t>
      </w:r>
      <w:proofErr w:type="spellEnd"/>
      <w:r w:rsidR="00D752EA" w:rsidRPr="009C6218">
        <w:rPr>
          <w:i/>
          <w:lang w:val="fr-CA"/>
        </w:rPr>
        <w:t xml:space="preserve"> </w:t>
      </w:r>
      <w:r w:rsidR="00507A45" w:rsidRPr="009C6218">
        <w:rPr>
          <w:lang w:val="fr-CA"/>
        </w:rPr>
        <w:t xml:space="preserve">(JPRC, 2012), </w:t>
      </w:r>
      <w:r w:rsidRPr="009C6218">
        <w:rPr>
          <w:lang w:val="fr-CA"/>
        </w:rPr>
        <w:t>le comité d’audition a décrit la confiance du public dans le système judiciaire comme un « principe fondamental » dans le contexte de l’examen d’une inconduite judiciaire</w:t>
      </w:r>
      <w:r w:rsidR="000D0EBA" w:rsidRPr="009C6218">
        <w:rPr>
          <w:lang w:val="fr-CA"/>
        </w:rPr>
        <w:t xml:space="preserve">. </w:t>
      </w:r>
      <w:r w:rsidRPr="009C6218">
        <w:rPr>
          <w:lang w:val="fr-CA"/>
        </w:rPr>
        <w:t xml:space="preserve">Le comité d’audition a souligné que la Cour suprême du Canada avait relevé le rôle important de la confiance du public dans l’arrêt </w:t>
      </w:r>
      <w:proofErr w:type="spellStart"/>
      <w:r w:rsidRPr="009C6218">
        <w:rPr>
          <w:i/>
          <w:lang w:val="fr-CA"/>
        </w:rPr>
        <w:t>Therien</w:t>
      </w:r>
      <w:proofErr w:type="spellEnd"/>
      <w:r w:rsidRPr="009C6218">
        <w:rPr>
          <w:i/>
          <w:lang w:val="fr-CA"/>
        </w:rPr>
        <w:t xml:space="preserve"> c</w:t>
      </w:r>
      <w:r w:rsidR="00D752EA" w:rsidRPr="009C6218">
        <w:rPr>
          <w:i/>
          <w:lang w:val="fr-CA"/>
        </w:rPr>
        <w:t>. Minist</w:t>
      </w:r>
      <w:r w:rsidRPr="009C6218">
        <w:rPr>
          <w:i/>
          <w:lang w:val="fr-CA"/>
        </w:rPr>
        <w:t xml:space="preserve">re de la </w:t>
      </w:r>
      <w:r w:rsidR="00D752EA" w:rsidRPr="009C6218">
        <w:rPr>
          <w:i/>
          <w:lang w:val="fr-CA"/>
        </w:rPr>
        <w:t>Justice</w:t>
      </w:r>
      <w:r w:rsidR="00D752EA" w:rsidRPr="009C6218">
        <w:rPr>
          <w:lang w:val="fr-CA"/>
        </w:rPr>
        <w:t xml:space="preserve">, </w:t>
      </w:r>
      <w:r w:rsidRPr="009C6218">
        <w:rPr>
          <w:lang w:val="fr-CA"/>
        </w:rPr>
        <w:t xml:space="preserve">comme l’a fait la Cour d’appel du Québec dans l’affaire </w:t>
      </w:r>
      <w:proofErr w:type="spellStart"/>
      <w:r w:rsidR="00D752EA" w:rsidRPr="009C6218">
        <w:rPr>
          <w:i/>
          <w:lang w:val="fr-CA"/>
        </w:rPr>
        <w:t>Ruffo</w:t>
      </w:r>
      <w:proofErr w:type="spellEnd"/>
      <w:r w:rsidR="000100C0" w:rsidRPr="009C6218">
        <w:rPr>
          <w:i/>
          <w:lang w:val="fr-CA"/>
        </w:rPr>
        <w:t xml:space="preserve"> (Re)</w:t>
      </w:r>
      <w:r w:rsidR="00D752EA" w:rsidRPr="009C6218">
        <w:rPr>
          <w:rStyle w:val="FootnoteReference"/>
          <w:i/>
          <w:lang w:val="fr-CA"/>
        </w:rPr>
        <w:footnoteReference w:id="22"/>
      </w:r>
      <w:r w:rsidRPr="009C6218">
        <w:rPr>
          <w:i/>
          <w:lang w:val="fr-CA"/>
        </w:rPr>
        <w:t>.</w:t>
      </w:r>
    </w:p>
    <w:p w14:paraId="1C254C76" w14:textId="587E5F55" w:rsidR="00D752EA" w:rsidRPr="009C6218" w:rsidRDefault="00A359B1" w:rsidP="00B600E2">
      <w:pPr>
        <w:numPr>
          <w:ilvl w:val="0"/>
          <w:numId w:val="1"/>
        </w:numPr>
        <w:spacing w:after="200" w:line="276" w:lineRule="auto"/>
        <w:ind w:left="567" w:hanging="567"/>
        <w:rPr>
          <w:lang w:val="fr-CA"/>
        </w:rPr>
      </w:pPr>
      <w:r>
        <w:rPr>
          <w:lang w:val="fr-CA"/>
        </w:rPr>
        <w:t>D</w:t>
      </w:r>
      <w:r w:rsidRPr="009C6218">
        <w:rPr>
          <w:lang w:val="fr-CA"/>
        </w:rPr>
        <w:t xml:space="preserve">ans l’affaire </w:t>
      </w:r>
      <w:proofErr w:type="spellStart"/>
      <w:r w:rsidRPr="009C6218">
        <w:rPr>
          <w:i/>
          <w:lang w:val="fr-CA"/>
        </w:rPr>
        <w:t>Massiah</w:t>
      </w:r>
      <w:proofErr w:type="spellEnd"/>
      <w:r>
        <w:rPr>
          <w:i/>
          <w:lang w:val="fr-CA"/>
        </w:rPr>
        <w:t>,</w:t>
      </w:r>
      <w:r w:rsidRPr="009C6218">
        <w:rPr>
          <w:i/>
          <w:lang w:val="fr-CA"/>
        </w:rPr>
        <w:t xml:space="preserve"> </w:t>
      </w:r>
      <w:r>
        <w:rPr>
          <w:lang w:val="fr-CA"/>
        </w:rPr>
        <w:t>l</w:t>
      </w:r>
      <w:r w:rsidR="00A50BDD" w:rsidRPr="009C6218">
        <w:rPr>
          <w:lang w:val="fr-CA"/>
        </w:rPr>
        <w:t xml:space="preserve">e comité d’audition a renvoyé au passage suivant de l’arrêt </w:t>
      </w:r>
      <w:r w:rsidR="00D752EA" w:rsidRPr="009C6218">
        <w:rPr>
          <w:i/>
          <w:lang w:val="fr-CA"/>
        </w:rPr>
        <w:t>Therrien, infra</w:t>
      </w:r>
      <w:r w:rsidR="00A50BDD" w:rsidRPr="009C6218">
        <w:rPr>
          <w:lang w:val="fr-CA"/>
        </w:rPr>
        <w:t xml:space="preserve">, en ce qui concerne le sujet de la confiance du public et de la </w:t>
      </w:r>
      <w:r w:rsidR="00A50BDD" w:rsidRPr="009C6218">
        <w:rPr>
          <w:lang w:val="fr-CA"/>
        </w:rPr>
        <w:lastRenderedPageBreak/>
        <w:t xml:space="preserve">corrélation directe entre la conduite d’un juge et ses répercussions sur le système judiciaire dans son ensemble, au paragraphe </w:t>
      </w:r>
      <w:r w:rsidR="00507A45" w:rsidRPr="009C6218">
        <w:rPr>
          <w:lang w:val="fr-CA"/>
        </w:rPr>
        <w:t>184</w:t>
      </w:r>
      <w:r w:rsidR="00A50BDD" w:rsidRPr="009C6218">
        <w:rPr>
          <w:lang w:val="fr-CA"/>
        </w:rPr>
        <w:t> </w:t>
      </w:r>
      <w:r w:rsidR="00D752EA" w:rsidRPr="009C6218">
        <w:rPr>
          <w:lang w:val="fr-CA"/>
        </w:rPr>
        <w:t>:</w:t>
      </w:r>
    </w:p>
    <w:p w14:paraId="5DF316D8" w14:textId="5E482B9D" w:rsidR="00D752EA" w:rsidRPr="009C6218" w:rsidRDefault="00A50BDD" w:rsidP="00472D07">
      <w:pPr>
        <w:pStyle w:val="Quote"/>
        <w:ind w:left="851" w:right="855"/>
        <w:rPr>
          <w:i w:val="0"/>
          <w:lang w:val="fr-CA"/>
        </w:rPr>
      </w:pPr>
      <w:r w:rsidRPr="009C6218">
        <w:rPr>
          <w:i w:val="0"/>
          <w:lang w:val="fr-CA"/>
        </w:rPr>
        <w:t>…les qualités personnelles, la conduite et l'image que le juge projette sont tributaires de celles de l'ensemble du système judiciaire et, par le fait même, de la confiance que le public place en celui-ci</w:t>
      </w:r>
      <w:r w:rsidR="00D752EA" w:rsidRPr="009C6218">
        <w:rPr>
          <w:i w:val="0"/>
          <w:lang w:val="fr-CA"/>
        </w:rPr>
        <w:t xml:space="preserve">.  </w:t>
      </w:r>
    </w:p>
    <w:p w14:paraId="13C88390" w14:textId="77777777" w:rsidR="002A244B" w:rsidRPr="009C6218" w:rsidRDefault="002A244B" w:rsidP="002A244B">
      <w:pPr>
        <w:spacing w:line="276" w:lineRule="auto"/>
        <w:ind w:left="567"/>
        <w:rPr>
          <w:lang w:val="fr-CA"/>
        </w:rPr>
      </w:pPr>
    </w:p>
    <w:p w14:paraId="58B7B666" w14:textId="5E65C422" w:rsidR="00D752EA" w:rsidRPr="009C6218" w:rsidRDefault="00A50BDD" w:rsidP="002A244B">
      <w:pPr>
        <w:numPr>
          <w:ilvl w:val="0"/>
          <w:numId w:val="1"/>
        </w:numPr>
        <w:spacing w:line="276" w:lineRule="auto"/>
        <w:ind w:left="567" w:hanging="567"/>
        <w:rPr>
          <w:lang w:val="fr-CA"/>
        </w:rPr>
      </w:pPr>
      <w:r w:rsidRPr="009C6218">
        <w:rPr>
          <w:lang w:val="fr-CA"/>
        </w:rPr>
        <w:t>Dans l’arrêt</w:t>
      </w:r>
      <w:r w:rsidR="00D752EA" w:rsidRPr="009C6218">
        <w:rPr>
          <w:lang w:val="fr-CA"/>
        </w:rPr>
        <w:t xml:space="preserve"> </w:t>
      </w:r>
      <w:r w:rsidR="00D752EA" w:rsidRPr="009C6218">
        <w:rPr>
          <w:i/>
          <w:lang w:val="fr-CA"/>
        </w:rPr>
        <w:t>Therrien</w:t>
      </w:r>
      <w:r w:rsidR="00D752EA" w:rsidRPr="009C6218">
        <w:rPr>
          <w:lang w:val="fr-CA"/>
        </w:rPr>
        <w:t xml:space="preserve">, </w:t>
      </w:r>
      <w:r w:rsidRPr="009C6218">
        <w:rPr>
          <w:lang w:val="fr-CA"/>
        </w:rPr>
        <w:t xml:space="preserve">le juge </w:t>
      </w:r>
      <w:r w:rsidR="00D752EA" w:rsidRPr="009C6218">
        <w:rPr>
          <w:lang w:val="fr-CA"/>
        </w:rPr>
        <w:t xml:space="preserve">Gonthier </w:t>
      </w:r>
      <w:r w:rsidRPr="009C6218">
        <w:rPr>
          <w:lang w:val="fr-CA"/>
        </w:rPr>
        <w:t xml:space="preserve">a cité un article du Conseil canadien de la magistrature expliquant l’importance de la confiance et du respect du public à l’égard de la magistrature </w:t>
      </w:r>
      <w:r w:rsidR="00D752EA" w:rsidRPr="009C6218">
        <w:rPr>
          <w:lang w:val="fr-CA"/>
        </w:rPr>
        <w:t>:</w:t>
      </w:r>
    </w:p>
    <w:p w14:paraId="1ADD53C7" w14:textId="7C7601E2" w:rsidR="00D752EA" w:rsidRPr="009C6218" w:rsidRDefault="00A50BDD" w:rsidP="00A22010">
      <w:pPr>
        <w:pStyle w:val="Quote"/>
        <w:ind w:left="851" w:right="855"/>
        <w:rPr>
          <w:i w:val="0"/>
          <w:lang w:val="fr-CA"/>
        </w:rPr>
      </w:pPr>
      <w:r w:rsidRPr="009C6218">
        <w:rPr>
          <w:i w:val="0"/>
          <w:u w:val="single"/>
          <w:lang w:val="fr-CA"/>
        </w:rPr>
        <w:t>La confiance et le respect que le public porte à la magistrature sont essentiels à l'efficacité de notre système de justice et, ultimement, à l'existence d'une démocratie fondée sur la primauté du droit</w:t>
      </w:r>
      <w:r w:rsidR="00D752EA" w:rsidRPr="009C6218">
        <w:rPr>
          <w:i w:val="0"/>
          <w:u w:val="single"/>
          <w:lang w:val="fr-CA"/>
        </w:rPr>
        <w:t>.</w:t>
      </w:r>
      <w:r w:rsidR="00D752EA" w:rsidRPr="009C6218">
        <w:rPr>
          <w:i w:val="0"/>
          <w:lang w:val="fr-CA"/>
        </w:rPr>
        <w:t xml:space="preserve"> </w:t>
      </w:r>
      <w:r w:rsidRPr="009C6218">
        <w:rPr>
          <w:i w:val="0"/>
          <w:lang w:val="fr-CA"/>
        </w:rPr>
        <w:t>De nombreux facteurs peuvent ébranler la confiance et le respect du public à l'égard de la magistrature, notamment : des critiques injustifiées ou malavisées; de simples malentendus sur le rôle de la magistrature; ou encore toute conduite de juges, en cour ou hors cour, démontrant un manque d'intégrité.</w:t>
      </w:r>
      <w:r w:rsidR="00D752EA" w:rsidRPr="009C6218">
        <w:rPr>
          <w:i w:val="0"/>
          <w:lang w:val="fr-CA"/>
        </w:rPr>
        <w:t xml:space="preserve"> </w:t>
      </w:r>
      <w:r w:rsidRPr="009C6218">
        <w:rPr>
          <w:i w:val="0"/>
          <w:u w:val="single"/>
          <w:lang w:val="fr-CA"/>
        </w:rPr>
        <w:t>Par conséquent, les juges doivent s'efforcer d'avoir une conduite qui leur mérite le respect du public et ils doivent cultiver une image d'intégrité, d'impartialité et de bon jugement</w:t>
      </w:r>
      <w:r w:rsidR="00D752EA" w:rsidRPr="009C6218">
        <w:rPr>
          <w:rStyle w:val="FootnoteReference"/>
          <w:i w:val="0"/>
          <w:lang w:val="fr-CA"/>
        </w:rPr>
        <w:footnoteReference w:id="23"/>
      </w:r>
      <w:r w:rsidR="00D752EA" w:rsidRPr="009C6218">
        <w:rPr>
          <w:i w:val="0"/>
          <w:lang w:val="fr-CA"/>
        </w:rPr>
        <w:t xml:space="preserve"> </w:t>
      </w:r>
      <w:r w:rsidR="006E190B" w:rsidRPr="009C6218">
        <w:rPr>
          <w:i w:val="0"/>
          <w:lang w:val="fr-CA"/>
        </w:rPr>
        <w:t>(</w:t>
      </w:r>
      <w:r w:rsidRPr="009C6218">
        <w:rPr>
          <w:i w:val="0"/>
          <w:lang w:val="fr-CA"/>
        </w:rPr>
        <w:t>mise en valeur ajoutée</w:t>
      </w:r>
      <w:r w:rsidR="006E190B" w:rsidRPr="009C6218">
        <w:rPr>
          <w:i w:val="0"/>
          <w:lang w:val="fr-CA"/>
        </w:rPr>
        <w:t>)</w:t>
      </w:r>
      <w:r w:rsidRPr="009C6218">
        <w:rPr>
          <w:i w:val="0"/>
          <w:lang w:val="fr-CA"/>
        </w:rPr>
        <w:t>.</w:t>
      </w:r>
      <w:r w:rsidR="006E190B" w:rsidRPr="009C6218">
        <w:rPr>
          <w:i w:val="0"/>
          <w:lang w:val="fr-CA"/>
        </w:rPr>
        <w:t xml:space="preserve"> </w:t>
      </w:r>
    </w:p>
    <w:p w14:paraId="3D29116F" w14:textId="77777777" w:rsidR="00D752EA" w:rsidRPr="009C6218" w:rsidRDefault="00D752EA" w:rsidP="00D752EA">
      <w:pPr>
        <w:rPr>
          <w:lang w:val="fr-CA"/>
        </w:rPr>
      </w:pPr>
    </w:p>
    <w:p w14:paraId="6B8E9588" w14:textId="720D6314" w:rsidR="00D752EA" w:rsidRPr="009C6218" w:rsidRDefault="00FD2C50" w:rsidP="00B600E2">
      <w:pPr>
        <w:numPr>
          <w:ilvl w:val="0"/>
          <w:numId w:val="1"/>
        </w:numPr>
        <w:spacing w:after="200" w:line="276" w:lineRule="auto"/>
        <w:ind w:left="567" w:hanging="567"/>
        <w:rPr>
          <w:lang w:val="fr-CA"/>
        </w:rPr>
      </w:pPr>
      <w:r w:rsidRPr="009C6218">
        <w:rPr>
          <w:lang w:val="fr-CA"/>
        </w:rPr>
        <w:t xml:space="preserve">Dans une affaire précédente concernant la juge </w:t>
      </w:r>
      <w:proofErr w:type="spellStart"/>
      <w:r w:rsidRPr="009C6218">
        <w:rPr>
          <w:lang w:val="fr-CA"/>
        </w:rPr>
        <w:t>Ruffo</w:t>
      </w:r>
      <w:proofErr w:type="spellEnd"/>
      <w:r w:rsidRPr="009C6218">
        <w:rPr>
          <w:lang w:val="fr-CA"/>
        </w:rPr>
        <w:t xml:space="preserve">, la Cour suprême a aussi mis l’accent sur l’importance de s’imposer des limites. Le juge </w:t>
      </w:r>
      <w:r w:rsidR="00D752EA" w:rsidRPr="009C6218">
        <w:rPr>
          <w:lang w:val="fr-CA"/>
        </w:rPr>
        <w:t xml:space="preserve">Gonthier </w:t>
      </w:r>
      <w:r w:rsidRPr="009C6218">
        <w:rPr>
          <w:lang w:val="fr-CA"/>
        </w:rPr>
        <w:t>a déclaré </w:t>
      </w:r>
      <w:r w:rsidR="00D752EA" w:rsidRPr="009C6218">
        <w:rPr>
          <w:lang w:val="fr-CA"/>
        </w:rPr>
        <w:t>:</w:t>
      </w:r>
    </w:p>
    <w:p w14:paraId="580B63D0" w14:textId="3FFD1C04" w:rsidR="00D752EA" w:rsidRPr="009C6218" w:rsidRDefault="00FD2C50" w:rsidP="00A22010">
      <w:pPr>
        <w:pStyle w:val="ListParagraph"/>
        <w:ind w:left="851" w:right="855"/>
        <w:rPr>
          <w:lang w:val="fr-CA"/>
        </w:rPr>
      </w:pPr>
      <w:r w:rsidRPr="009C6218">
        <w:rPr>
          <w:u w:val="single"/>
          <w:lang w:val="fr-CA"/>
        </w:rPr>
        <w:t>Le devoir de réserve lié à la charge de magistrat est un principe fondamental.</w:t>
      </w:r>
      <w:r w:rsidR="00D752EA" w:rsidRPr="009C6218">
        <w:rPr>
          <w:u w:val="single"/>
          <w:lang w:val="fr-CA"/>
        </w:rPr>
        <w:t xml:space="preserve"> </w:t>
      </w:r>
      <w:r w:rsidRPr="009C6218">
        <w:rPr>
          <w:u w:val="single"/>
          <w:lang w:val="fr-CA"/>
        </w:rPr>
        <w:t>En soi, il est une garantie supplémentaire de l'indépendance et de l'impartialité judiciaires et vise à assurer que la perception du justiciable ne soit pas affectée sous ce rapport.</w:t>
      </w:r>
      <w:r w:rsidR="00D752EA" w:rsidRPr="009C6218">
        <w:rPr>
          <w:u w:val="single"/>
          <w:lang w:val="fr-CA"/>
        </w:rPr>
        <w:t xml:space="preserve"> </w:t>
      </w:r>
      <w:r w:rsidRPr="009C6218">
        <w:rPr>
          <w:lang w:val="fr-CA"/>
        </w:rPr>
        <w:t>La valeur d'un tel objectif s'apprécie pleinement, d'ailleurs, lorsqu'il est rappelé que les juges demeurent les seuls arbitres impartiaux à qui l'on peut recourir dans les cas où les autres modes de résolution de conflits s'avèrent infructueux.</w:t>
      </w:r>
      <w:r w:rsidR="00D752EA" w:rsidRPr="009C6218">
        <w:rPr>
          <w:lang w:val="fr-CA"/>
        </w:rPr>
        <w:t xml:space="preserve"> </w:t>
      </w:r>
      <w:r w:rsidRPr="009C6218">
        <w:rPr>
          <w:u w:val="single"/>
          <w:lang w:val="fr-CA"/>
        </w:rPr>
        <w:t>Le respect et la confiance qui s'attachent à cette impartialité commandent donc tout naturellement que le juge soit à l'abri de remous et de controverses susceptibles d'entacher la perception d'impartialité que doit dégager son comportement</w:t>
      </w:r>
      <w:r w:rsidR="00D752EA" w:rsidRPr="009C6218">
        <w:rPr>
          <w:rStyle w:val="FootnoteReference"/>
          <w:lang w:val="fr-CA"/>
        </w:rPr>
        <w:footnoteReference w:id="24"/>
      </w:r>
      <w:r w:rsidR="00D752EA" w:rsidRPr="009C6218">
        <w:rPr>
          <w:lang w:val="fr-CA"/>
        </w:rPr>
        <w:t xml:space="preserve"> </w:t>
      </w:r>
      <w:r w:rsidRPr="009C6218">
        <w:rPr>
          <w:lang w:val="fr-CA"/>
        </w:rPr>
        <w:t>(mise en valeur ajoutée)</w:t>
      </w:r>
      <w:r w:rsidRPr="009C6218">
        <w:rPr>
          <w:i/>
          <w:lang w:val="fr-CA"/>
        </w:rPr>
        <w:t>.</w:t>
      </w:r>
    </w:p>
    <w:p w14:paraId="4801017F" w14:textId="77777777" w:rsidR="00D752EA" w:rsidRPr="009C6218" w:rsidRDefault="00D752EA" w:rsidP="00D752EA">
      <w:pPr>
        <w:pStyle w:val="ListParagraph"/>
        <w:ind w:left="851" w:right="1418"/>
        <w:rPr>
          <w:lang w:val="fr-CA"/>
        </w:rPr>
      </w:pPr>
    </w:p>
    <w:p w14:paraId="69A3444B" w14:textId="716D29D5" w:rsidR="00D752EA" w:rsidRPr="009C6218" w:rsidRDefault="00FD2C50" w:rsidP="00B600E2">
      <w:pPr>
        <w:numPr>
          <w:ilvl w:val="0"/>
          <w:numId w:val="1"/>
        </w:numPr>
        <w:spacing w:after="200" w:line="276" w:lineRule="auto"/>
        <w:ind w:left="567" w:hanging="567"/>
        <w:rPr>
          <w:lang w:val="fr-CA"/>
        </w:rPr>
      </w:pPr>
      <w:r w:rsidRPr="009C6218">
        <w:rPr>
          <w:lang w:val="fr-CA"/>
        </w:rPr>
        <w:t>Le juge</w:t>
      </w:r>
      <w:r w:rsidR="00D752EA" w:rsidRPr="009C6218">
        <w:rPr>
          <w:lang w:val="fr-CA"/>
        </w:rPr>
        <w:t xml:space="preserve"> David Marshall </w:t>
      </w:r>
      <w:r w:rsidRPr="009C6218">
        <w:rPr>
          <w:lang w:val="fr-CA"/>
        </w:rPr>
        <w:t xml:space="preserve">précise </w:t>
      </w:r>
      <w:r w:rsidR="00D752EA" w:rsidRPr="009C6218">
        <w:rPr>
          <w:lang w:val="fr-CA"/>
        </w:rPr>
        <w:t>:</w:t>
      </w:r>
    </w:p>
    <w:p w14:paraId="377FE550" w14:textId="686E7073" w:rsidR="00D752EA" w:rsidRPr="009C6218" w:rsidRDefault="000F6801" w:rsidP="00A22010">
      <w:pPr>
        <w:pStyle w:val="ListParagraph"/>
        <w:ind w:left="851" w:right="855"/>
        <w:rPr>
          <w:lang w:val="fr-CA"/>
        </w:rPr>
      </w:pPr>
      <w:r w:rsidRPr="009C6218">
        <w:rPr>
          <w:lang w:val="fr-CA"/>
        </w:rPr>
        <w:t>Il est évident que la conduite d’un juge hors de la salle d’audience est toute aussi importante pour la magistrature dans son ensemble que sa conduite au tribunal. La confiance des justiciables envers les juges sera affectée par une inconduite d</w:t>
      </w:r>
      <w:r w:rsidR="00A359B1">
        <w:rPr>
          <w:lang w:val="fr-CA"/>
        </w:rPr>
        <w:t>’un</w:t>
      </w:r>
      <w:r w:rsidRPr="009C6218">
        <w:rPr>
          <w:lang w:val="fr-CA"/>
        </w:rPr>
        <w:t xml:space="preserve"> juge, qu’elle ait lieu au tribunal ou dans </w:t>
      </w:r>
      <w:r w:rsidRPr="009C6218">
        <w:rPr>
          <w:lang w:val="fr-CA"/>
        </w:rPr>
        <w:lastRenderedPageBreak/>
        <w:t xml:space="preserve">la société. </w:t>
      </w:r>
      <w:r w:rsidRPr="009C6218">
        <w:rPr>
          <w:u w:val="single"/>
          <w:lang w:val="fr-CA"/>
        </w:rPr>
        <w:t>Une conduite dans sa vie privée qui dénote de l’impartialité ou l’incapacité de demeurer impartial sera préjudiciable pour le juge et la magistrature dans son ensemble</w:t>
      </w:r>
      <w:r w:rsidRPr="009C6218">
        <w:rPr>
          <w:lang w:val="fr-CA"/>
        </w:rPr>
        <w:t>.</w:t>
      </w:r>
    </w:p>
    <w:p w14:paraId="26D968B0" w14:textId="77777777" w:rsidR="00507A45" w:rsidRPr="009C6218" w:rsidRDefault="00507A45" w:rsidP="00A22010">
      <w:pPr>
        <w:pStyle w:val="ListParagraph"/>
        <w:ind w:left="851" w:right="855"/>
        <w:rPr>
          <w:lang w:val="fr-CA"/>
        </w:rPr>
      </w:pPr>
    </w:p>
    <w:p w14:paraId="408CEF66" w14:textId="453706DF" w:rsidR="00D752EA" w:rsidRPr="009C6218" w:rsidRDefault="00D752EA" w:rsidP="00507A45">
      <w:pPr>
        <w:pStyle w:val="ListParagraph"/>
        <w:ind w:left="851" w:right="855"/>
        <w:jc w:val="center"/>
        <w:rPr>
          <w:lang w:val="fr-CA"/>
        </w:rPr>
      </w:pPr>
      <w:r w:rsidRPr="009C6218">
        <w:rPr>
          <w:lang w:val="fr-CA"/>
        </w:rPr>
        <w:t>//… //</w:t>
      </w:r>
    </w:p>
    <w:p w14:paraId="6B0F7133" w14:textId="77777777" w:rsidR="00A22010" w:rsidRPr="009C6218" w:rsidRDefault="00A22010" w:rsidP="00A22010">
      <w:pPr>
        <w:pStyle w:val="ListParagraph"/>
        <w:ind w:left="851" w:right="855"/>
        <w:rPr>
          <w:lang w:val="fr-CA"/>
        </w:rPr>
      </w:pPr>
    </w:p>
    <w:p w14:paraId="79C904E0" w14:textId="27A7AD57" w:rsidR="00D752EA" w:rsidRPr="009C6218" w:rsidRDefault="00D752EA" w:rsidP="00A22010">
      <w:pPr>
        <w:pStyle w:val="ListParagraph"/>
        <w:ind w:left="851" w:right="855"/>
        <w:rPr>
          <w:lang w:val="fr-CA"/>
        </w:rPr>
      </w:pPr>
      <w:r w:rsidRPr="009C6218">
        <w:rPr>
          <w:lang w:val="fr-CA"/>
        </w:rPr>
        <w:t>…</w:t>
      </w:r>
      <w:r w:rsidR="000F6801" w:rsidRPr="00A359B1">
        <w:rPr>
          <w:u w:val="single"/>
          <w:lang w:val="fr-CA"/>
        </w:rPr>
        <w:t>pour inspirer un respect sans tâche, les juges doivent faire preuve de réserve lorsqu’ils s’expriment sur n’importe quel sujet</w:t>
      </w:r>
      <w:r w:rsidRPr="009C6218">
        <w:rPr>
          <w:rStyle w:val="FootnoteReference"/>
          <w:lang w:val="fr-CA"/>
        </w:rPr>
        <w:footnoteReference w:id="25"/>
      </w:r>
      <w:r w:rsidRPr="009C6218">
        <w:rPr>
          <w:lang w:val="fr-CA"/>
        </w:rPr>
        <w:t xml:space="preserve"> (</w:t>
      </w:r>
      <w:r w:rsidR="000F6801" w:rsidRPr="009C6218">
        <w:rPr>
          <w:lang w:val="fr-CA"/>
        </w:rPr>
        <w:t>mise en valeur ajoutée</w:t>
      </w:r>
      <w:r w:rsidRPr="009C6218">
        <w:rPr>
          <w:lang w:val="fr-CA"/>
        </w:rPr>
        <w:t>)</w:t>
      </w:r>
      <w:r w:rsidR="000F6801" w:rsidRPr="009C6218">
        <w:rPr>
          <w:lang w:val="fr-CA"/>
        </w:rPr>
        <w:t>. [TRADUCTION]</w:t>
      </w:r>
    </w:p>
    <w:p w14:paraId="2FCD0A00" w14:textId="0C7C59FE" w:rsidR="00D752EA" w:rsidRPr="009C6218" w:rsidRDefault="00D752EA" w:rsidP="00D752EA">
      <w:pPr>
        <w:spacing w:after="200" w:line="276" w:lineRule="auto"/>
        <w:ind w:left="360"/>
        <w:rPr>
          <w:lang w:val="fr-CA"/>
        </w:rPr>
      </w:pPr>
    </w:p>
    <w:p w14:paraId="424D52AD" w14:textId="13739EF9" w:rsidR="00D752EA" w:rsidRPr="009C6218" w:rsidRDefault="00135904" w:rsidP="00D752EA">
      <w:pPr>
        <w:widowControl w:val="0"/>
        <w:numPr>
          <w:ilvl w:val="0"/>
          <w:numId w:val="1"/>
        </w:numPr>
        <w:spacing w:after="200" w:line="276" w:lineRule="auto"/>
        <w:ind w:left="567" w:hanging="567"/>
        <w:rPr>
          <w:lang w:val="fr-CA"/>
        </w:rPr>
      </w:pPr>
      <w:r w:rsidRPr="009C6218">
        <w:rPr>
          <w:lang w:val="fr-CA"/>
        </w:rPr>
        <w:t xml:space="preserve">Plus récemment, l’ancienne juge en chef </w:t>
      </w:r>
      <w:r w:rsidR="00D752EA" w:rsidRPr="009C6218">
        <w:rPr>
          <w:lang w:val="fr-CA"/>
        </w:rPr>
        <w:t xml:space="preserve">Beverly </w:t>
      </w:r>
      <w:proofErr w:type="spellStart"/>
      <w:r w:rsidR="00D752EA" w:rsidRPr="009C6218">
        <w:rPr>
          <w:lang w:val="fr-CA"/>
        </w:rPr>
        <w:t>McLachlin</w:t>
      </w:r>
      <w:proofErr w:type="spellEnd"/>
      <w:r w:rsidR="00D752EA" w:rsidRPr="009C6218">
        <w:rPr>
          <w:lang w:val="fr-CA"/>
        </w:rPr>
        <w:t xml:space="preserve"> </w:t>
      </w:r>
      <w:r w:rsidRPr="009C6218">
        <w:rPr>
          <w:lang w:val="fr-CA"/>
        </w:rPr>
        <w:t xml:space="preserve">a formulé la même mise en garde dans une entrevue accordée à </w:t>
      </w:r>
      <w:r w:rsidR="00D752EA" w:rsidRPr="009C6218">
        <w:rPr>
          <w:lang w:val="fr-CA"/>
        </w:rPr>
        <w:t>CBC News</w:t>
      </w:r>
      <w:r w:rsidRPr="009C6218">
        <w:rPr>
          <w:lang w:val="fr-CA"/>
        </w:rPr>
        <w:t>, en</w:t>
      </w:r>
      <w:r w:rsidR="00D752EA" w:rsidRPr="009C6218">
        <w:rPr>
          <w:lang w:val="fr-CA"/>
        </w:rPr>
        <w:t xml:space="preserve"> 2017. </w:t>
      </w:r>
      <w:r w:rsidRPr="009C6218">
        <w:rPr>
          <w:lang w:val="fr-CA"/>
        </w:rPr>
        <w:t>Elle a fait remarquer que les juges font partie du système de justice et que même s’il était important qu’ils expriment leur opinion sur des problèmes qu’ils relèvent dans le système, ils « </w:t>
      </w:r>
      <w:r w:rsidRPr="009C6218">
        <w:rPr>
          <w:u w:val="single"/>
          <w:lang w:val="fr-CA"/>
        </w:rPr>
        <w:t>doivent faire très attention à ce qu’ils disent et comment ils le disent </w:t>
      </w:r>
      <w:r w:rsidRPr="009C6218">
        <w:rPr>
          <w:lang w:val="fr-CA"/>
        </w:rPr>
        <w:t xml:space="preserve">». En particulier, </w:t>
      </w:r>
      <w:r w:rsidRPr="00A359B1">
        <w:rPr>
          <w:u w:val="single"/>
          <w:lang w:val="fr-CA"/>
        </w:rPr>
        <w:t>les juges doivent veiller à ne pas entrer dans l’arène politique ou à ne pas donner une apparence d’impartialité</w:t>
      </w:r>
      <w:r w:rsidR="00D752EA" w:rsidRPr="009C6218">
        <w:rPr>
          <w:rStyle w:val="FootnoteReference"/>
          <w:lang w:val="fr-CA"/>
        </w:rPr>
        <w:footnoteReference w:id="26"/>
      </w:r>
      <w:r w:rsidR="006E190B" w:rsidRPr="009C6218">
        <w:rPr>
          <w:lang w:val="fr-CA"/>
        </w:rPr>
        <w:t xml:space="preserve"> </w:t>
      </w:r>
      <w:r w:rsidR="00D752EA" w:rsidRPr="009C6218">
        <w:rPr>
          <w:lang w:val="fr-CA"/>
        </w:rPr>
        <w:t>(</w:t>
      </w:r>
      <w:r w:rsidR="0041373C" w:rsidRPr="009C6218">
        <w:rPr>
          <w:lang w:val="fr-CA"/>
        </w:rPr>
        <w:t>mise en valeur ajoutée</w:t>
      </w:r>
      <w:r w:rsidR="00D752EA" w:rsidRPr="009C6218">
        <w:rPr>
          <w:lang w:val="fr-CA"/>
        </w:rPr>
        <w:t>)</w:t>
      </w:r>
      <w:r w:rsidR="00A359B1">
        <w:rPr>
          <w:lang w:val="fr-CA"/>
        </w:rPr>
        <w:t>.</w:t>
      </w:r>
    </w:p>
    <w:p w14:paraId="77879290" w14:textId="4AA82C34" w:rsidR="000C6120" w:rsidRPr="009C6218" w:rsidRDefault="00D8043B" w:rsidP="00444076">
      <w:pPr>
        <w:pStyle w:val="Heading2"/>
        <w:spacing w:after="360"/>
        <w:rPr>
          <w:lang w:val="fr-CA"/>
        </w:rPr>
      </w:pPr>
      <w:bookmarkStart w:id="23" w:name="_Toc42946535"/>
      <w:r w:rsidRPr="009C6218">
        <w:rPr>
          <w:lang w:val="fr-CA"/>
        </w:rPr>
        <w:t>Le critère applicable pour déterminer l’inconduite judiciaire</w:t>
      </w:r>
      <w:bookmarkEnd w:id="23"/>
      <w:r w:rsidRPr="009C6218">
        <w:rPr>
          <w:lang w:val="fr-CA"/>
        </w:rPr>
        <w:t xml:space="preserve"> </w:t>
      </w:r>
    </w:p>
    <w:p w14:paraId="27AB790F" w14:textId="384899BE" w:rsidR="00201158" w:rsidRPr="009C6218" w:rsidRDefault="00D8043B" w:rsidP="00CE1D47">
      <w:pPr>
        <w:numPr>
          <w:ilvl w:val="0"/>
          <w:numId w:val="1"/>
        </w:numPr>
        <w:spacing w:after="360" w:line="276" w:lineRule="auto"/>
        <w:ind w:left="567" w:hanging="567"/>
        <w:rPr>
          <w:rFonts w:eastAsia="Arial" w:cs="Times New Roman"/>
          <w:szCs w:val="22"/>
          <w:lang w:val="fr-CA"/>
        </w:rPr>
      </w:pPr>
      <w:r w:rsidRPr="009C6218">
        <w:rPr>
          <w:lang w:val="fr-CA"/>
        </w:rPr>
        <w:t xml:space="preserve">L’inconduite judiciaire n’est pas définie dans la </w:t>
      </w:r>
      <w:r w:rsidRPr="009C6218">
        <w:rPr>
          <w:i/>
          <w:lang w:val="fr-CA"/>
        </w:rPr>
        <w:t>Loi sur les juges de paix</w:t>
      </w:r>
      <w:r w:rsidR="00787A75" w:rsidRPr="009C6218">
        <w:rPr>
          <w:rFonts w:eastAsia="Arial" w:cs="Times New Roman"/>
          <w:szCs w:val="22"/>
          <w:lang w:val="fr-CA"/>
        </w:rPr>
        <w:t>.</w:t>
      </w:r>
    </w:p>
    <w:p w14:paraId="5D9FBE61" w14:textId="59B1B2A1" w:rsidR="005E0F3F" w:rsidRPr="009C6218" w:rsidRDefault="00576C07" w:rsidP="00B600E2">
      <w:pPr>
        <w:numPr>
          <w:ilvl w:val="0"/>
          <w:numId w:val="1"/>
        </w:numPr>
        <w:spacing w:after="200" w:line="276" w:lineRule="auto"/>
        <w:ind w:left="567" w:hanging="567"/>
        <w:rPr>
          <w:rFonts w:eastAsia="Arial" w:cs="Times New Roman"/>
          <w:szCs w:val="22"/>
          <w:lang w:val="fr-CA"/>
        </w:rPr>
      </w:pPr>
      <w:r w:rsidRPr="009C6218">
        <w:rPr>
          <w:lang w:val="fr-CA"/>
        </w:rPr>
        <w:t>Outre les principes généraux décrits ci-dessus qui guident la conduite judiciaire, la jurisprudence est utile pour déterminer ce qui constitue une inconduite</w:t>
      </w:r>
      <w:r w:rsidR="005E0F3F" w:rsidRPr="009C6218">
        <w:rPr>
          <w:lang w:val="fr-CA"/>
        </w:rPr>
        <w:t>.</w:t>
      </w:r>
    </w:p>
    <w:p w14:paraId="5EB4F98F" w14:textId="689E9BC4" w:rsidR="00726ADD" w:rsidRPr="009C6218" w:rsidRDefault="00576C07" w:rsidP="00B600E2">
      <w:pPr>
        <w:numPr>
          <w:ilvl w:val="0"/>
          <w:numId w:val="1"/>
        </w:numPr>
        <w:spacing w:after="200" w:line="276" w:lineRule="auto"/>
        <w:ind w:left="567" w:hanging="567"/>
        <w:rPr>
          <w:rFonts w:eastAsia="Arial" w:cs="Times New Roman"/>
          <w:szCs w:val="22"/>
          <w:lang w:val="fr-CA"/>
        </w:rPr>
      </w:pPr>
      <w:r w:rsidRPr="009C6218">
        <w:rPr>
          <w:lang w:val="fr-CA"/>
        </w:rPr>
        <w:t>Dans la décision rendue dans l’affaire</w:t>
      </w:r>
      <w:r w:rsidR="00726ADD" w:rsidRPr="009C6218">
        <w:rPr>
          <w:i/>
          <w:lang w:val="fr-CA"/>
        </w:rPr>
        <w:t xml:space="preserve"> </w:t>
      </w:r>
      <w:r w:rsidR="00507A45" w:rsidRPr="009C6218">
        <w:rPr>
          <w:i/>
          <w:lang w:val="fr-CA"/>
        </w:rPr>
        <w:t>Re</w:t>
      </w:r>
      <w:r w:rsidR="00507A45" w:rsidRPr="009C6218">
        <w:rPr>
          <w:lang w:val="fr-CA"/>
        </w:rPr>
        <w:t xml:space="preserve"> </w:t>
      </w:r>
      <w:proofErr w:type="spellStart"/>
      <w:r w:rsidR="00726ADD" w:rsidRPr="009C6218">
        <w:rPr>
          <w:i/>
          <w:lang w:val="fr-CA"/>
        </w:rPr>
        <w:t>Barroilhet</w:t>
      </w:r>
      <w:proofErr w:type="spellEnd"/>
      <w:r w:rsidR="00726ADD" w:rsidRPr="009C6218">
        <w:rPr>
          <w:lang w:val="fr-CA"/>
        </w:rPr>
        <w:t xml:space="preserve"> </w:t>
      </w:r>
      <w:r w:rsidR="00507A45" w:rsidRPr="009C6218">
        <w:rPr>
          <w:lang w:val="fr-CA"/>
        </w:rPr>
        <w:t>(JPRC, 2009),</w:t>
      </w:r>
      <w:r w:rsidR="00726ADD" w:rsidRPr="009C6218">
        <w:rPr>
          <w:lang w:val="fr-CA"/>
        </w:rPr>
        <w:t xml:space="preserve"> </w:t>
      </w:r>
      <w:r w:rsidRPr="009C6218">
        <w:rPr>
          <w:lang w:val="fr-CA"/>
        </w:rPr>
        <w:t xml:space="preserve">le comité d’audition a énoncé la question à se poser pour déterminer si une conduite constitue une inconduite judiciaire </w:t>
      </w:r>
      <w:r w:rsidR="00726ADD" w:rsidRPr="009C6218">
        <w:rPr>
          <w:lang w:val="fr-CA"/>
        </w:rPr>
        <w:t>:</w:t>
      </w:r>
    </w:p>
    <w:p w14:paraId="5FD6D54A" w14:textId="7042B911" w:rsidR="00726ADD" w:rsidRPr="009C6218" w:rsidRDefault="007C6D07" w:rsidP="00A22010">
      <w:pPr>
        <w:pStyle w:val="Quote"/>
        <w:ind w:left="851" w:right="855"/>
        <w:rPr>
          <w:i w:val="0"/>
          <w:lang w:val="fr-CA"/>
        </w:rPr>
      </w:pPr>
      <w:r w:rsidRPr="009C6218">
        <w:rPr>
          <w:u w:val="single"/>
          <w:lang w:val="fr-CA"/>
        </w:rPr>
        <w:t xml:space="preserve">si la conduite reprochée </w:t>
      </w:r>
      <w:r w:rsidR="00726ADD" w:rsidRPr="009C6218">
        <w:rPr>
          <w:lang w:val="fr-CA"/>
        </w:rPr>
        <w:t xml:space="preserve">//…// </w:t>
      </w:r>
      <w:r w:rsidRPr="009C6218">
        <w:rPr>
          <w:lang w:val="fr-CA"/>
        </w:rPr>
        <w:t xml:space="preserve">est si gravement contraire aux principes d'impartialité, d'intégrité et d'indépendance judiciaires qu'elle a </w:t>
      </w:r>
      <w:r w:rsidRPr="009C6218">
        <w:rPr>
          <w:u w:val="single"/>
          <w:lang w:val="fr-CA"/>
        </w:rPr>
        <w:t>miné la confiance du public à l'égard de l'aptitude du juge à exécuter les fonctions de sa charge ou à l'égard de l'administration de la justice en général</w:t>
      </w:r>
      <w:r w:rsidR="00726ADD" w:rsidRPr="009C6218">
        <w:rPr>
          <w:rStyle w:val="FootnoteReference"/>
          <w:lang w:val="fr-CA"/>
        </w:rPr>
        <w:t xml:space="preserve"> </w:t>
      </w:r>
      <w:r w:rsidR="00726ADD" w:rsidRPr="009C6218">
        <w:rPr>
          <w:rStyle w:val="FootnoteReference"/>
          <w:lang w:val="fr-CA"/>
        </w:rPr>
        <w:footnoteReference w:id="27"/>
      </w:r>
      <w:r w:rsidR="00507A45" w:rsidRPr="009C6218">
        <w:rPr>
          <w:lang w:val="fr-CA"/>
        </w:rPr>
        <w:t xml:space="preserve"> </w:t>
      </w:r>
      <w:r w:rsidR="00507A45" w:rsidRPr="009C6218">
        <w:rPr>
          <w:i w:val="0"/>
          <w:lang w:val="fr-CA"/>
        </w:rPr>
        <w:t>(</w:t>
      </w:r>
      <w:r w:rsidR="0041373C" w:rsidRPr="009C6218">
        <w:rPr>
          <w:lang w:val="fr-CA"/>
        </w:rPr>
        <w:t>mise en valeur ajoutée</w:t>
      </w:r>
      <w:r w:rsidR="00507A45" w:rsidRPr="009C6218">
        <w:rPr>
          <w:i w:val="0"/>
          <w:lang w:val="fr-CA"/>
        </w:rPr>
        <w:t>)</w:t>
      </w:r>
      <w:r w:rsidR="00A359B1">
        <w:rPr>
          <w:i w:val="0"/>
          <w:lang w:val="fr-CA"/>
        </w:rPr>
        <w:t>.</w:t>
      </w:r>
    </w:p>
    <w:p w14:paraId="78DB614E" w14:textId="77777777" w:rsidR="006E190B" w:rsidRPr="009C6218" w:rsidRDefault="006E190B" w:rsidP="006E190B">
      <w:pPr>
        <w:rPr>
          <w:lang w:val="fr-CA"/>
        </w:rPr>
      </w:pPr>
    </w:p>
    <w:p w14:paraId="212B3263" w14:textId="62CADF0D" w:rsidR="00F74761" w:rsidRPr="009C6218" w:rsidRDefault="00576C07" w:rsidP="00576C07">
      <w:pPr>
        <w:numPr>
          <w:ilvl w:val="0"/>
          <w:numId w:val="1"/>
        </w:numPr>
        <w:spacing w:after="200" w:line="276" w:lineRule="auto"/>
        <w:ind w:left="567" w:hanging="567"/>
        <w:rPr>
          <w:lang w:val="fr-CA"/>
        </w:rPr>
      </w:pPr>
      <w:r w:rsidRPr="009C6218">
        <w:rPr>
          <w:lang w:val="fr-CA"/>
        </w:rPr>
        <w:t>Dans l’affaire</w:t>
      </w:r>
      <w:r w:rsidR="00F74761" w:rsidRPr="009C6218">
        <w:rPr>
          <w:lang w:val="fr-CA"/>
        </w:rPr>
        <w:t xml:space="preserve"> </w:t>
      </w:r>
      <w:r w:rsidR="00B741E8" w:rsidRPr="009C6218">
        <w:rPr>
          <w:i/>
          <w:lang w:val="fr-CA"/>
        </w:rPr>
        <w:t xml:space="preserve">Re </w:t>
      </w:r>
      <w:proofErr w:type="spellStart"/>
      <w:r w:rsidR="00F74761" w:rsidRPr="009C6218">
        <w:rPr>
          <w:i/>
          <w:lang w:val="fr-CA"/>
        </w:rPr>
        <w:t>Massiah</w:t>
      </w:r>
      <w:proofErr w:type="spellEnd"/>
      <w:r w:rsidR="00F74761" w:rsidRPr="009C6218">
        <w:rPr>
          <w:lang w:val="fr-CA"/>
        </w:rPr>
        <w:t xml:space="preserve">, </w:t>
      </w:r>
      <w:r w:rsidRPr="009C6218">
        <w:rPr>
          <w:lang w:val="fr-CA"/>
        </w:rPr>
        <w:t xml:space="preserve">le comité d’audience a appliqué le critère formulé dans l’affaire </w:t>
      </w:r>
      <w:bookmarkStart w:id="24" w:name="_Hlk39314765"/>
      <w:r w:rsidR="00207EEE" w:rsidRPr="009C6218">
        <w:rPr>
          <w:i/>
          <w:lang w:val="fr-CA"/>
        </w:rPr>
        <w:t>Re Douglas</w:t>
      </w:r>
      <w:r w:rsidR="00207EEE" w:rsidRPr="009C6218">
        <w:rPr>
          <w:lang w:val="fr-CA"/>
        </w:rPr>
        <w:t>, (</w:t>
      </w:r>
      <w:r w:rsidR="004C4DBF" w:rsidRPr="009C6218">
        <w:rPr>
          <w:lang w:val="fr-CA"/>
        </w:rPr>
        <w:t xml:space="preserve">OJC, </w:t>
      </w:r>
      <w:r w:rsidR="00207EEE" w:rsidRPr="009C6218">
        <w:rPr>
          <w:lang w:val="fr-CA"/>
        </w:rPr>
        <w:t>2006)</w:t>
      </w:r>
      <w:bookmarkEnd w:id="24"/>
      <w:r w:rsidR="00207EEE" w:rsidRPr="009C6218">
        <w:rPr>
          <w:lang w:val="fr-CA"/>
        </w:rPr>
        <w:t xml:space="preserve"> </w:t>
      </w:r>
      <w:r w:rsidRPr="009C6218">
        <w:rPr>
          <w:lang w:val="fr-CA"/>
        </w:rPr>
        <w:t xml:space="preserve">et dans l’affaire </w:t>
      </w:r>
      <w:r w:rsidR="00207EEE" w:rsidRPr="009C6218">
        <w:rPr>
          <w:i/>
          <w:lang w:val="fr-CA"/>
        </w:rPr>
        <w:t>Re: Baldwin</w:t>
      </w:r>
      <w:r w:rsidR="00207EEE" w:rsidRPr="009C6218">
        <w:rPr>
          <w:lang w:val="fr-CA"/>
        </w:rPr>
        <w:t xml:space="preserve"> (OJC, 2002</w:t>
      </w:r>
      <w:r w:rsidR="00F87544" w:rsidRPr="009C6218">
        <w:rPr>
          <w:lang w:val="fr-CA"/>
        </w:rPr>
        <w:t>)</w:t>
      </w:r>
      <w:r w:rsidRPr="009C6218">
        <w:rPr>
          <w:lang w:val="fr-CA"/>
        </w:rPr>
        <w:t xml:space="preserve">, </w:t>
      </w:r>
      <w:r w:rsidRPr="009C6218">
        <w:rPr>
          <w:lang w:val="fr-CA"/>
        </w:rPr>
        <w:lastRenderedPageBreak/>
        <w:t xml:space="preserve">paraphrasant le critère énoncé dans les arrêts </w:t>
      </w:r>
      <w:r w:rsidRPr="009C6218">
        <w:rPr>
          <w:i/>
          <w:lang w:val="fr-CA"/>
        </w:rPr>
        <w:t>Therrien c</w:t>
      </w:r>
      <w:r w:rsidR="004C4DBF" w:rsidRPr="009C6218">
        <w:rPr>
          <w:i/>
          <w:lang w:val="fr-CA"/>
        </w:rPr>
        <w:t>. Minist</w:t>
      </w:r>
      <w:r w:rsidRPr="009C6218">
        <w:rPr>
          <w:i/>
          <w:lang w:val="fr-CA"/>
        </w:rPr>
        <w:t>re de la J</w:t>
      </w:r>
      <w:r w:rsidR="004C4DBF" w:rsidRPr="009C6218">
        <w:rPr>
          <w:i/>
          <w:lang w:val="fr-CA"/>
        </w:rPr>
        <w:t xml:space="preserve">ustice </w:t>
      </w:r>
      <w:r w:rsidRPr="009C6218">
        <w:rPr>
          <w:lang w:val="fr-CA"/>
        </w:rPr>
        <w:t>et</w:t>
      </w:r>
      <w:r w:rsidR="004C4DBF" w:rsidRPr="009C6218">
        <w:rPr>
          <w:lang w:val="fr-CA"/>
        </w:rPr>
        <w:t xml:space="preserve"> </w:t>
      </w:r>
      <w:r w:rsidR="004C4DBF" w:rsidRPr="009C6218">
        <w:rPr>
          <w:i/>
          <w:lang w:val="fr-CA"/>
        </w:rPr>
        <w:t xml:space="preserve">Moreau-Bérubé </w:t>
      </w:r>
      <w:r w:rsidRPr="009C6218">
        <w:rPr>
          <w:i/>
          <w:lang w:val="fr-CA"/>
        </w:rPr>
        <w:t>c</w:t>
      </w:r>
      <w:r w:rsidR="004C4DBF" w:rsidRPr="009C6218">
        <w:rPr>
          <w:i/>
          <w:lang w:val="fr-CA"/>
        </w:rPr>
        <w:t xml:space="preserve">. </w:t>
      </w:r>
      <w:r w:rsidRPr="009C6218">
        <w:rPr>
          <w:i/>
          <w:lang w:val="fr-CA"/>
        </w:rPr>
        <w:t>Nouveau-Brunswick (Conseil de la magistrature)</w:t>
      </w:r>
      <w:r w:rsidR="004C4DBF" w:rsidRPr="009C6218">
        <w:rPr>
          <w:lang w:val="fr-CA"/>
        </w:rPr>
        <w:t xml:space="preserve">, </w:t>
      </w:r>
      <w:r w:rsidRPr="009C6218">
        <w:rPr>
          <w:lang w:val="fr-CA"/>
        </w:rPr>
        <w:t xml:space="preserve">de la façon suivante </w:t>
      </w:r>
      <w:r w:rsidR="00F74761" w:rsidRPr="009C6218">
        <w:rPr>
          <w:lang w:val="fr-CA"/>
        </w:rPr>
        <w:t xml:space="preserve">: </w:t>
      </w:r>
    </w:p>
    <w:p w14:paraId="30EC37DC" w14:textId="424A1A07" w:rsidR="00F74761" w:rsidRPr="009C6218" w:rsidRDefault="00F540CD" w:rsidP="00F74761">
      <w:pPr>
        <w:spacing w:after="200" w:line="276" w:lineRule="auto"/>
        <w:ind w:left="1418" w:right="851"/>
        <w:rPr>
          <w:lang w:val="fr-CA"/>
        </w:rPr>
      </w:pPr>
      <w:r w:rsidRPr="009C6218">
        <w:rPr>
          <w:lang w:val="fr-CA"/>
        </w:rPr>
        <w:t>« </w:t>
      </w:r>
      <w:r w:rsidRPr="009C6218">
        <w:rPr>
          <w:shd w:val="clear" w:color="auto" w:fill="FFFFFF"/>
          <w:lang w:val="fr-CA"/>
        </w:rPr>
        <w:t xml:space="preserve">Par conséquent, </w:t>
      </w:r>
      <w:r w:rsidRPr="009C6218">
        <w:rPr>
          <w:u w:val="single"/>
          <w:shd w:val="clear" w:color="auto" w:fill="FFFFFF"/>
          <w:lang w:val="fr-CA"/>
        </w:rPr>
        <w:t xml:space="preserve">les juges doivent agir de façon impartiale et indépendante et en présenter l’apparence. Ils doivent être dotés d’intégrité personnelle ou le sembler. Si un juge se conduit d’une manière affichant un manque de l’un ou l’autre de ces </w:t>
      </w:r>
      <w:r w:rsidRPr="009C6218">
        <w:rPr>
          <w:color w:val="000000"/>
          <w:u w:val="single"/>
          <w:shd w:val="clear" w:color="auto" w:fill="FFFFFF"/>
          <w:lang w:val="fr-CA"/>
        </w:rPr>
        <w:t>attributs, il sera susceptible de se faire reprocher une inconduite judiciaire</w:t>
      </w:r>
      <w:r w:rsidR="00F87544" w:rsidRPr="009C6218">
        <w:rPr>
          <w:rStyle w:val="FootnoteReference"/>
          <w:lang w:val="fr-CA"/>
        </w:rPr>
        <w:footnoteReference w:id="28"/>
      </w:r>
      <w:r w:rsidRPr="009C6218">
        <w:rPr>
          <w:color w:val="000000"/>
          <w:u w:val="single"/>
          <w:shd w:val="clear" w:color="auto" w:fill="FFFFFF"/>
          <w:lang w:val="fr-CA"/>
        </w:rPr>
        <w:t>. »</w:t>
      </w:r>
      <w:r w:rsidR="00F74761" w:rsidRPr="009C6218">
        <w:rPr>
          <w:lang w:val="fr-CA"/>
        </w:rPr>
        <w:t xml:space="preserve"> </w:t>
      </w:r>
      <w:r w:rsidR="006E190B" w:rsidRPr="009C6218">
        <w:rPr>
          <w:lang w:val="fr-CA"/>
        </w:rPr>
        <w:t>(</w:t>
      </w:r>
      <w:proofErr w:type="gramStart"/>
      <w:r w:rsidRPr="009C6218">
        <w:rPr>
          <w:lang w:val="fr-CA"/>
        </w:rPr>
        <w:t>mise</w:t>
      </w:r>
      <w:proofErr w:type="gramEnd"/>
      <w:r w:rsidRPr="009C6218">
        <w:rPr>
          <w:lang w:val="fr-CA"/>
        </w:rPr>
        <w:t xml:space="preserve"> en valeur ajoutée</w:t>
      </w:r>
      <w:r w:rsidR="006E190B" w:rsidRPr="009C6218">
        <w:rPr>
          <w:lang w:val="fr-CA"/>
        </w:rPr>
        <w:t>)</w:t>
      </w:r>
    </w:p>
    <w:p w14:paraId="119D947F" w14:textId="49568B4A" w:rsidR="005A7344" w:rsidRPr="009C6218" w:rsidRDefault="00F540CD" w:rsidP="00B600E2">
      <w:pPr>
        <w:numPr>
          <w:ilvl w:val="0"/>
          <w:numId w:val="1"/>
        </w:numPr>
        <w:spacing w:after="200" w:line="276" w:lineRule="auto"/>
        <w:ind w:left="567" w:hanging="567"/>
        <w:rPr>
          <w:lang w:val="fr-CA"/>
        </w:rPr>
      </w:pPr>
      <w:r w:rsidRPr="009C6218">
        <w:rPr>
          <w:lang w:val="fr-CA"/>
        </w:rPr>
        <w:t>Dans l’affaire</w:t>
      </w:r>
      <w:r w:rsidR="00D30BC3" w:rsidRPr="009C6218">
        <w:rPr>
          <w:lang w:val="fr-CA"/>
        </w:rPr>
        <w:t xml:space="preserve"> </w:t>
      </w:r>
      <w:r w:rsidR="00504786" w:rsidRPr="009C6218">
        <w:rPr>
          <w:i/>
          <w:lang w:val="fr-CA"/>
        </w:rPr>
        <w:t xml:space="preserve">Re </w:t>
      </w:r>
      <w:proofErr w:type="spellStart"/>
      <w:r w:rsidR="00D30BC3" w:rsidRPr="009C6218">
        <w:rPr>
          <w:i/>
          <w:lang w:val="fr-CA"/>
        </w:rPr>
        <w:t>McLeod</w:t>
      </w:r>
      <w:proofErr w:type="spellEnd"/>
      <w:r w:rsidR="00D30BC3" w:rsidRPr="009C6218">
        <w:rPr>
          <w:lang w:val="fr-CA"/>
        </w:rPr>
        <w:t xml:space="preserve">, </w:t>
      </w:r>
      <w:r w:rsidRPr="009C6218">
        <w:rPr>
          <w:lang w:val="fr-CA"/>
        </w:rPr>
        <w:t>le comité d’audi</w:t>
      </w:r>
      <w:r w:rsidR="00A359B1">
        <w:rPr>
          <w:lang w:val="fr-CA"/>
        </w:rPr>
        <w:t>ence</w:t>
      </w:r>
      <w:r w:rsidRPr="009C6218">
        <w:rPr>
          <w:lang w:val="fr-CA"/>
        </w:rPr>
        <w:t xml:space="preserve"> a appliqué un critère réduit pour trancher la question de l’inconduite judiciaire</w:t>
      </w:r>
      <w:r w:rsidR="00D30BC3" w:rsidRPr="009C6218">
        <w:rPr>
          <w:rStyle w:val="FootnoteReference"/>
          <w:lang w:val="fr-CA"/>
        </w:rPr>
        <w:footnoteReference w:id="29"/>
      </w:r>
      <w:r w:rsidRPr="009C6218">
        <w:rPr>
          <w:lang w:val="fr-CA"/>
        </w:rPr>
        <w:t>. Le comité d’audi</w:t>
      </w:r>
      <w:r w:rsidR="00A359B1">
        <w:rPr>
          <w:lang w:val="fr-CA"/>
        </w:rPr>
        <w:t>tion</w:t>
      </w:r>
      <w:r w:rsidRPr="009C6218">
        <w:rPr>
          <w:lang w:val="fr-CA"/>
        </w:rPr>
        <w:t xml:space="preserve"> a choisi de se poser deux questions : premièrement, si la conduite de la juge était incompatible avec la charge judiciaire. Pour répondre à cette question, il faut nécessairement ex</w:t>
      </w:r>
      <w:r w:rsidR="00776713">
        <w:rPr>
          <w:lang w:val="fr-CA"/>
        </w:rPr>
        <w:t>a</w:t>
      </w:r>
      <w:r w:rsidRPr="009C6218">
        <w:rPr>
          <w:lang w:val="fr-CA"/>
        </w:rPr>
        <w:t xml:space="preserve">miner le contexte de la conduite et se demander si la conduite a compromis l’impartialité, l’intégrité ou l’indépendance de la juriste. Si la réponse à cette question est affirmative, il faut se poser la deuxième question, à savoir si la conduite était si gravement contraire à l’impartialité, l’intégrité et l’indépendance du magistrat qu’elle a miné la confiance du public dans sa capacité d’exécuter les fonctions de sa charge ou dans l’administration de la justice en général au point d’exiger une conclusion d’inconduite. Le degré de </w:t>
      </w:r>
      <w:r w:rsidR="003445D0">
        <w:rPr>
          <w:lang w:val="fr-CA"/>
        </w:rPr>
        <w:t>retenue</w:t>
      </w:r>
      <w:r w:rsidRPr="009C6218">
        <w:rPr>
          <w:lang w:val="fr-CA"/>
        </w:rPr>
        <w:t xml:space="preserve"> sera, à notre avis, un facteur très important à cette deuxième étape de l’analyse</w:t>
      </w:r>
      <w:r w:rsidR="005A7344" w:rsidRPr="009C6218">
        <w:rPr>
          <w:lang w:val="fr-CA"/>
        </w:rPr>
        <w:t xml:space="preserve">. </w:t>
      </w:r>
    </w:p>
    <w:p w14:paraId="32C2B9E4" w14:textId="5E288BF6" w:rsidR="00D30BC3" w:rsidRPr="009C6218" w:rsidRDefault="0055129D" w:rsidP="00B600E2">
      <w:pPr>
        <w:numPr>
          <w:ilvl w:val="0"/>
          <w:numId w:val="1"/>
        </w:numPr>
        <w:spacing w:after="200" w:line="276" w:lineRule="auto"/>
        <w:ind w:left="567" w:hanging="567"/>
        <w:rPr>
          <w:lang w:val="fr-CA"/>
        </w:rPr>
      </w:pPr>
      <w:r w:rsidRPr="009C6218">
        <w:rPr>
          <w:lang w:val="fr-CA"/>
        </w:rPr>
        <w:t xml:space="preserve">Ce n’est que si une conclusion d’inconduite est formulée que le comité d’audition pourra passer à la troisième étape de l’analyse, qui est de décider si la prise d’une mesure se justifie et, dans l’affirmative, quelle serait la </w:t>
      </w:r>
      <w:r w:rsidR="003445D0">
        <w:rPr>
          <w:lang w:val="fr-CA"/>
        </w:rPr>
        <w:t>mesure</w:t>
      </w:r>
      <w:r w:rsidRPr="009C6218">
        <w:rPr>
          <w:lang w:val="fr-CA"/>
        </w:rPr>
        <w:t xml:space="preserve"> appropriée en vertu du paragraphe </w:t>
      </w:r>
      <w:r w:rsidR="00F87544" w:rsidRPr="009C6218">
        <w:rPr>
          <w:lang w:val="fr-CA"/>
        </w:rPr>
        <w:t>11.1</w:t>
      </w:r>
      <w:r w:rsidRPr="009C6218">
        <w:rPr>
          <w:lang w:val="fr-CA"/>
        </w:rPr>
        <w:t> </w:t>
      </w:r>
      <w:r w:rsidR="00F87544" w:rsidRPr="009C6218">
        <w:rPr>
          <w:lang w:val="fr-CA"/>
        </w:rPr>
        <w:t xml:space="preserve">(10) </w:t>
      </w:r>
      <w:r w:rsidRPr="009C6218">
        <w:rPr>
          <w:lang w:val="fr-CA"/>
        </w:rPr>
        <w:t xml:space="preserve">de la </w:t>
      </w:r>
      <w:r w:rsidRPr="009C6218">
        <w:rPr>
          <w:i/>
          <w:lang w:val="fr-CA"/>
        </w:rPr>
        <w:t>Loi</w:t>
      </w:r>
      <w:r w:rsidR="00EA1B91" w:rsidRPr="009C6218">
        <w:rPr>
          <w:i/>
          <w:lang w:val="fr-CA"/>
        </w:rPr>
        <w:t xml:space="preserve"> sur les juges de paix</w:t>
      </w:r>
      <w:r w:rsidR="00F87544" w:rsidRPr="009C6218">
        <w:rPr>
          <w:lang w:val="fr-CA"/>
        </w:rPr>
        <w:t>.</w:t>
      </w:r>
    </w:p>
    <w:p w14:paraId="1B1A4D33" w14:textId="725197ED" w:rsidR="00490A5C" w:rsidRPr="009C6218" w:rsidRDefault="00EA1B91" w:rsidP="00EA1B91">
      <w:pPr>
        <w:numPr>
          <w:ilvl w:val="0"/>
          <w:numId w:val="1"/>
        </w:numPr>
        <w:spacing w:after="200" w:line="276" w:lineRule="auto"/>
        <w:ind w:left="567" w:hanging="567"/>
        <w:rPr>
          <w:lang w:val="fr-CA"/>
        </w:rPr>
      </w:pPr>
      <w:r w:rsidRPr="009C6218">
        <w:rPr>
          <w:lang w:val="fr-CA"/>
        </w:rPr>
        <w:t xml:space="preserve">Enfin, la décision de la Cour d’appel du Québec dans l’affaire </w:t>
      </w:r>
      <w:proofErr w:type="spellStart"/>
      <w:r w:rsidR="00490A5C" w:rsidRPr="009C6218">
        <w:rPr>
          <w:i/>
          <w:lang w:val="fr-CA"/>
        </w:rPr>
        <w:t>Ruffo</w:t>
      </w:r>
      <w:proofErr w:type="spellEnd"/>
      <w:r w:rsidR="00490A5C" w:rsidRPr="009C6218">
        <w:rPr>
          <w:lang w:val="fr-CA"/>
        </w:rPr>
        <w:t xml:space="preserve"> </w:t>
      </w:r>
      <w:r w:rsidR="000100C0" w:rsidRPr="009C6218">
        <w:rPr>
          <w:lang w:val="fr-CA"/>
        </w:rPr>
        <w:t>(</w:t>
      </w:r>
      <w:r w:rsidR="000100C0" w:rsidRPr="009C6218">
        <w:rPr>
          <w:i/>
          <w:lang w:val="fr-CA"/>
        </w:rPr>
        <w:t>Re</w:t>
      </w:r>
      <w:r w:rsidR="000100C0" w:rsidRPr="009C6218">
        <w:rPr>
          <w:lang w:val="fr-CA"/>
        </w:rPr>
        <w:t>)</w:t>
      </w:r>
      <w:r w:rsidRPr="009C6218">
        <w:rPr>
          <w:lang w:val="fr-CA"/>
        </w:rPr>
        <w:t>,</w:t>
      </w:r>
      <w:r w:rsidR="000100C0" w:rsidRPr="009C6218">
        <w:rPr>
          <w:lang w:val="fr-CA"/>
        </w:rPr>
        <w:t xml:space="preserve"> </w:t>
      </w:r>
      <w:r w:rsidRPr="009C6218">
        <w:rPr>
          <w:lang w:val="fr-CA"/>
        </w:rPr>
        <w:t>au</w:t>
      </w:r>
      <w:r w:rsidR="004D0C6F" w:rsidRPr="009C6218">
        <w:rPr>
          <w:lang w:val="fr-CA"/>
        </w:rPr>
        <w:t xml:space="preserve"> paragraph</w:t>
      </w:r>
      <w:r w:rsidRPr="009C6218">
        <w:rPr>
          <w:lang w:val="fr-CA"/>
        </w:rPr>
        <w:t>e</w:t>
      </w:r>
      <w:r w:rsidR="004D0C6F" w:rsidRPr="009C6218">
        <w:rPr>
          <w:lang w:val="fr-CA"/>
        </w:rPr>
        <w:t xml:space="preserve"> </w:t>
      </w:r>
      <w:r w:rsidR="00853FD0" w:rsidRPr="009C6218">
        <w:rPr>
          <w:lang w:val="fr-CA"/>
        </w:rPr>
        <w:t>62</w:t>
      </w:r>
      <w:r w:rsidRPr="009C6218">
        <w:rPr>
          <w:lang w:val="fr-CA"/>
        </w:rPr>
        <w:t>, explique comment examiner l’inconduite présumée dans le contexte d’une déclaration publique d’un officier de justice</w:t>
      </w:r>
      <w:r w:rsidR="00D63E6F" w:rsidRPr="009C6218">
        <w:rPr>
          <w:lang w:val="fr-CA"/>
        </w:rPr>
        <w:t>.</w:t>
      </w:r>
      <w:r w:rsidR="003F6135" w:rsidRPr="009C6218">
        <w:rPr>
          <w:lang w:val="fr-CA"/>
        </w:rPr>
        <w:t xml:space="preserve"> </w:t>
      </w:r>
      <w:r w:rsidRPr="009C6218">
        <w:rPr>
          <w:lang w:val="fr-CA"/>
        </w:rPr>
        <w:t xml:space="preserve">La Cour a déclaré que </w:t>
      </w:r>
      <w:r w:rsidR="003445D0">
        <w:rPr>
          <w:lang w:val="fr-CA"/>
        </w:rPr>
        <w:t>d</w:t>
      </w:r>
      <w:r w:rsidRPr="009C6218">
        <w:rPr>
          <w:lang w:val="fr-CA"/>
        </w:rPr>
        <w:t xml:space="preserve">e façon générale, toute déclaration publique faite hors de l'audience doit être examinée au regard d'un certain nombre de facteurs </w:t>
      </w:r>
      <w:r w:rsidR="003F6135" w:rsidRPr="009C6218">
        <w:rPr>
          <w:lang w:val="fr-CA"/>
        </w:rPr>
        <w:t>:</w:t>
      </w:r>
    </w:p>
    <w:p w14:paraId="5482A412" w14:textId="7636E738" w:rsidR="004D0C6F" w:rsidRPr="009C6218" w:rsidRDefault="00B23F22" w:rsidP="00F834CB">
      <w:pPr>
        <w:pStyle w:val="ListParagraph"/>
        <w:numPr>
          <w:ilvl w:val="0"/>
          <w:numId w:val="15"/>
        </w:numPr>
        <w:spacing w:after="200" w:line="276" w:lineRule="auto"/>
        <w:rPr>
          <w:lang w:val="fr-CA"/>
        </w:rPr>
      </w:pPr>
      <w:r w:rsidRPr="009C6218">
        <w:rPr>
          <w:lang w:val="fr-CA"/>
        </w:rPr>
        <w:t>La manière dans laquelle la déclaration a été faite;</w:t>
      </w:r>
    </w:p>
    <w:p w14:paraId="4AB0F5FC" w14:textId="107623C9" w:rsidR="004D0C6F" w:rsidRPr="009C6218" w:rsidRDefault="00B23F22" w:rsidP="00F834CB">
      <w:pPr>
        <w:pStyle w:val="ListParagraph"/>
        <w:numPr>
          <w:ilvl w:val="0"/>
          <w:numId w:val="15"/>
        </w:numPr>
        <w:spacing w:after="200" w:line="276" w:lineRule="auto"/>
        <w:rPr>
          <w:lang w:val="fr-CA"/>
        </w:rPr>
      </w:pPr>
      <w:r w:rsidRPr="009C6218">
        <w:rPr>
          <w:lang w:val="fr-CA"/>
        </w:rPr>
        <w:t xml:space="preserve">L’intensité de la déclaration; </w:t>
      </w:r>
    </w:p>
    <w:p w14:paraId="2F9C2182" w14:textId="1EB14ED8" w:rsidR="004D0C6F" w:rsidRPr="009C6218" w:rsidRDefault="00B23F22" w:rsidP="00F834CB">
      <w:pPr>
        <w:pStyle w:val="ListParagraph"/>
        <w:numPr>
          <w:ilvl w:val="0"/>
          <w:numId w:val="15"/>
        </w:numPr>
        <w:spacing w:after="200" w:line="276" w:lineRule="auto"/>
        <w:rPr>
          <w:lang w:val="fr-CA"/>
        </w:rPr>
      </w:pPr>
      <w:r w:rsidRPr="009C6218">
        <w:rPr>
          <w:lang w:val="fr-CA"/>
        </w:rPr>
        <w:t>Le forum choisi</w:t>
      </w:r>
      <w:r w:rsidR="004D0C6F" w:rsidRPr="009C6218">
        <w:rPr>
          <w:lang w:val="fr-CA"/>
        </w:rPr>
        <w:t>;</w:t>
      </w:r>
    </w:p>
    <w:p w14:paraId="4A047FC3" w14:textId="758D16E0" w:rsidR="004D0C6F" w:rsidRPr="009C6218" w:rsidRDefault="00B23F22" w:rsidP="00F834CB">
      <w:pPr>
        <w:pStyle w:val="ListParagraph"/>
        <w:numPr>
          <w:ilvl w:val="0"/>
          <w:numId w:val="15"/>
        </w:numPr>
        <w:spacing w:after="200" w:line="276" w:lineRule="auto"/>
        <w:rPr>
          <w:lang w:val="fr-CA"/>
        </w:rPr>
      </w:pPr>
      <w:r w:rsidRPr="009C6218">
        <w:rPr>
          <w:lang w:val="fr-CA"/>
        </w:rPr>
        <w:t>Le degré de visibilité</w:t>
      </w:r>
      <w:r w:rsidR="004D0C6F" w:rsidRPr="009C6218">
        <w:rPr>
          <w:lang w:val="fr-CA"/>
        </w:rPr>
        <w:t xml:space="preserve">; </w:t>
      </w:r>
    </w:p>
    <w:p w14:paraId="4A810FC1" w14:textId="5334C25F" w:rsidR="004D0C6F" w:rsidRPr="009C6218" w:rsidRDefault="00B23F22" w:rsidP="00F834CB">
      <w:pPr>
        <w:pStyle w:val="ListParagraph"/>
        <w:numPr>
          <w:ilvl w:val="0"/>
          <w:numId w:val="15"/>
        </w:numPr>
        <w:spacing w:after="200" w:line="276" w:lineRule="auto"/>
        <w:rPr>
          <w:lang w:val="fr-CA"/>
        </w:rPr>
      </w:pPr>
      <w:r w:rsidRPr="009C6218">
        <w:rPr>
          <w:lang w:val="fr-CA"/>
        </w:rPr>
        <w:lastRenderedPageBreak/>
        <w:t xml:space="preserve">L’opportunité de la déclaration au moment où elle a été faite. </w:t>
      </w:r>
    </w:p>
    <w:p w14:paraId="69CA370B" w14:textId="77777777" w:rsidR="00086150" w:rsidRPr="009C6218" w:rsidRDefault="00086150" w:rsidP="00D74CBA">
      <w:pPr>
        <w:pStyle w:val="Heading2"/>
        <w:rPr>
          <w:lang w:val="fr-CA"/>
        </w:rPr>
      </w:pPr>
    </w:p>
    <w:p w14:paraId="0145A54C" w14:textId="13E857B7" w:rsidR="000E7DCB" w:rsidRPr="009C6218" w:rsidRDefault="000E7DCB" w:rsidP="001819AB">
      <w:pPr>
        <w:pStyle w:val="Heading1"/>
        <w:rPr>
          <w:lang w:val="fr-CA"/>
        </w:rPr>
      </w:pPr>
      <w:bookmarkStart w:id="25" w:name="_Toc42946536"/>
      <w:r w:rsidRPr="009C6218">
        <w:rPr>
          <w:lang w:val="fr-CA"/>
        </w:rPr>
        <w:t>PART</w:t>
      </w:r>
      <w:r w:rsidR="00B23F22" w:rsidRPr="009C6218">
        <w:rPr>
          <w:lang w:val="fr-CA"/>
        </w:rPr>
        <w:t>IE</w:t>
      </w:r>
      <w:r w:rsidRPr="009C6218">
        <w:rPr>
          <w:lang w:val="fr-CA"/>
        </w:rPr>
        <w:t xml:space="preserve"> </w:t>
      </w:r>
      <w:r w:rsidR="00D20511" w:rsidRPr="009C6218">
        <w:rPr>
          <w:lang w:val="fr-CA"/>
        </w:rPr>
        <w:t>V</w:t>
      </w:r>
      <w:r w:rsidR="0061252A" w:rsidRPr="009C6218">
        <w:rPr>
          <w:lang w:val="fr-CA"/>
        </w:rPr>
        <w:t>I</w:t>
      </w:r>
      <w:r w:rsidR="00B23F22" w:rsidRPr="009C6218">
        <w:rPr>
          <w:lang w:val="fr-CA"/>
        </w:rPr>
        <w:t xml:space="preserve"> </w:t>
      </w:r>
      <w:r w:rsidRPr="009C6218">
        <w:rPr>
          <w:lang w:val="fr-CA"/>
        </w:rPr>
        <w:t xml:space="preserve">: </w:t>
      </w:r>
      <w:r w:rsidR="00B23F22" w:rsidRPr="009C6218">
        <w:rPr>
          <w:lang w:val="fr-CA"/>
        </w:rPr>
        <w:t>DÉCISIONS EN MATIÈRE D’ABUS DE PROCÉDURE ET DE QUESTIONS CONSTITUTIONNELLES</w:t>
      </w:r>
      <w:bookmarkEnd w:id="25"/>
      <w:r w:rsidR="00B23F22" w:rsidRPr="009C6218">
        <w:rPr>
          <w:lang w:val="fr-CA"/>
        </w:rPr>
        <w:t xml:space="preserve"> </w:t>
      </w:r>
    </w:p>
    <w:p w14:paraId="5F826D4A" w14:textId="55E44922" w:rsidR="0061252A" w:rsidRPr="009C6218" w:rsidRDefault="000E7DCB" w:rsidP="00444076">
      <w:pPr>
        <w:pStyle w:val="Style1"/>
        <w:spacing w:before="100" w:beforeAutospacing="1" w:after="360"/>
        <w:jc w:val="both"/>
        <w:rPr>
          <w:lang w:val="fr-CA"/>
        </w:rPr>
      </w:pPr>
      <w:bookmarkStart w:id="26" w:name="_Toc42946537"/>
      <w:r w:rsidRPr="009C6218">
        <w:rPr>
          <w:lang w:val="fr-CA"/>
        </w:rPr>
        <w:t>Abus</w:t>
      </w:r>
      <w:r w:rsidR="00B23F22" w:rsidRPr="009C6218">
        <w:rPr>
          <w:lang w:val="fr-CA"/>
        </w:rPr>
        <w:t xml:space="preserve"> de procédure</w:t>
      </w:r>
      <w:bookmarkEnd w:id="26"/>
    </w:p>
    <w:p w14:paraId="0D6C7B85" w14:textId="20D907FE" w:rsidR="00A22010" w:rsidRPr="009C6218" w:rsidRDefault="00B23F22" w:rsidP="00E25A3A">
      <w:pPr>
        <w:pStyle w:val="Heading2"/>
        <w:spacing w:before="160" w:after="360"/>
        <w:rPr>
          <w:lang w:val="fr-CA"/>
        </w:rPr>
      </w:pPr>
      <w:bookmarkStart w:id="27" w:name="_Toc42946538"/>
      <w:r w:rsidRPr="009C6218">
        <w:rPr>
          <w:lang w:val="fr-CA"/>
        </w:rPr>
        <w:t>Généralités</w:t>
      </w:r>
      <w:bookmarkEnd w:id="27"/>
    </w:p>
    <w:p w14:paraId="62D5D61B" w14:textId="6E8892F0" w:rsidR="002C4535" w:rsidRPr="009C6218" w:rsidRDefault="00B23F22" w:rsidP="00BE6325">
      <w:pPr>
        <w:numPr>
          <w:ilvl w:val="0"/>
          <w:numId w:val="1"/>
        </w:numPr>
        <w:spacing w:after="360" w:line="276" w:lineRule="auto"/>
        <w:ind w:left="567" w:hanging="567"/>
        <w:rPr>
          <w:lang w:val="fr-CA"/>
        </w:rPr>
      </w:pPr>
      <w:r w:rsidRPr="009C6218">
        <w:rPr>
          <w:lang w:val="fr-CA"/>
        </w:rPr>
        <w:t>Essentie</w:t>
      </w:r>
      <w:r w:rsidR="00AC7DAD" w:rsidRPr="009C6218">
        <w:rPr>
          <w:lang w:val="fr-CA"/>
        </w:rPr>
        <w:t xml:space="preserve">llement, l’avocat de la juge de paix </w:t>
      </w:r>
      <w:r w:rsidR="006D6561" w:rsidRPr="009C6218">
        <w:rPr>
          <w:lang w:val="fr-CA"/>
        </w:rPr>
        <w:t>Lauzon</w:t>
      </w:r>
      <w:r w:rsidR="002C4535" w:rsidRPr="009C6218">
        <w:rPr>
          <w:lang w:val="fr-CA"/>
        </w:rPr>
        <w:t xml:space="preserve"> </w:t>
      </w:r>
      <w:r w:rsidR="00AC7DAD" w:rsidRPr="009C6218">
        <w:rPr>
          <w:lang w:val="fr-CA"/>
        </w:rPr>
        <w:t xml:space="preserve">fait valoir que </w:t>
      </w:r>
      <w:r w:rsidR="003445D0">
        <w:rPr>
          <w:lang w:val="fr-CA"/>
        </w:rPr>
        <w:t xml:space="preserve">notre </w:t>
      </w:r>
      <w:r w:rsidR="00AC7DAD" w:rsidRPr="009C6218">
        <w:rPr>
          <w:lang w:val="fr-CA"/>
        </w:rPr>
        <w:t>audience est la continuation d’une campagne concertée du Bureau du procureur de la Couronne d’Ottawa visant à destituer la juge de paix et qu’en conséquence, elle constitue un abus de procédure</w:t>
      </w:r>
      <w:r w:rsidR="002C4535" w:rsidRPr="009C6218">
        <w:rPr>
          <w:lang w:val="fr-CA"/>
        </w:rPr>
        <w:t>.</w:t>
      </w:r>
    </w:p>
    <w:p w14:paraId="7E6514D8" w14:textId="5785CF4E" w:rsidR="000E7DCB" w:rsidRPr="009C6218" w:rsidRDefault="00AC7DAD" w:rsidP="00B600E2">
      <w:pPr>
        <w:numPr>
          <w:ilvl w:val="0"/>
          <w:numId w:val="1"/>
        </w:numPr>
        <w:spacing w:after="200" w:line="276" w:lineRule="auto"/>
        <w:ind w:left="567" w:hanging="567"/>
        <w:rPr>
          <w:b/>
          <w:lang w:val="fr-CA"/>
        </w:rPr>
      </w:pPr>
      <w:r w:rsidRPr="009C6218">
        <w:rPr>
          <w:lang w:val="fr-CA"/>
        </w:rPr>
        <w:t>Cet argument est de nature déclaratoire et n’est pas appuyé par les preuves</w:t>
      </w:r>
      <w:r w:rsidR="000E7DCB" w:rsidRPr="009C6218">
        <w:rPr>
          <w:lang w:val="fr-CA"/>
        </w:rPr>
        <w:t>.</w:t>
      </w:r>
    </w:p>
    <w:p w14:paraId="06DD91AB" w14:textId="5B198A9E" w:rsidR="000E7DCB" w:rsidRPr="009C6218" w:rsidRDefault="00AC7DAD" w:rsidP="00B600E2">
      <w:pPr>
        <w:numPr>
          <w:ilvl w:val="0"/>
          <w:numId w:val="1"/>
        </w:numPr>
        <w:spacing w:after="200" w:line="276" w:lineRule="auto"/>
        <w:ind w:left="567" w:hanging="567"/>
        <w:rPr>
          <w:b/>
          <w:lang w:val="fr-CA"/>
        </w:rPr>
      </w:pPr>
      <w:r w:rsidRPr="009C6218">
        <w:rPr>
          <w:lang w:val="fr-CA"/>
        </w:rPr>
        <w:t xml:space="preserve">La juge de paix n’a pas produit des éléments de preuve clairs et convaincants d’une motivation inappropriée ni la preuve que les processus indépendants qui ont suivi les trois plaintes indépendantes étaient </w:t>
      </w:r>
      <w:r w:rsidR="008B33D6" w:rsidRPr="009C6218">
        <w:rPr>
          <w:lang w:val="fr-CA"/>
        </w:rPr>
        <w:t>viciés ou influencés par la motivation présumée inappropriée de l’un des trois plaignants</w:t>
      </w:r>
      <w:r w:rsidR="000E7DCB" w:rsidRPr="009C6218">
        <w:rPr>
          <w:lang w:val="fr-CA"/>
        </w:rPr>
        <w:t>.</w:t>
      </w:r>
    </w:p>
    <w:p w14:paraId="7D29EF83" w14:textId="2C7A64FE" w:rsidR="000E7DCB" w:rsidRPr="009C6218" w:rsidRDefault="008B33D6" w:rsidP="00B600E2">
      <w:pPr>
        <w:numPr>
          <w:ilvl w:val="0"/>
          <w:numId w:val="1"/>
        </w:numPr>
        <w:spacing w:after="200" w:line="276" w:lineRule="auto"/>
        <w:ind w:left="567" w:hanging="567"/>
        <w:rPr>
          <w:lang w:val="fr-CA"/>
        </w:rPr>
      </w:pPr>
      <w:r w:rsidRPr="009C6218">
        <w:rPr>
          <w:lang w:val="fr-CA"/>
        </w:rPr>
        <w:t>Pour ces motifs, notre comité d’audition conclut que l’argument portant que l’introduction des instances et le processus décisionnel subséquent constituent un abus de procédure est entièrement infondé</w:t>
      </w:r>
      <w:r w:rsidR="000E7DCB" w:rsidRPr="009C6218">
        <w:rPr>
          <w:lang w:val="fr-CA"/>
        </w:rPr>
        <w:t>.</w:t>
      </w:r>
    </w:p>
    <w:p w14:paraId="4CD65CBD" w14:textId="27692DA2" w:rsidR="000E7DCB" w:rsidRPr="009C6218" w:rsidRDefault="008B33D6" w:rsidP="00B600E2">
      <w:pPr>
        <w:numPr>
          <w:ilvl w:val="0"/>
          <w:numId w:val="1"/>
        </w:numPr>
        <w:spacing w:after="200" w:line="276" w:lineRule="auto"/>
        <w:ind w:left="567" w:hanging="567"/>
        <w:rPr>
          <w:lang w:val="fr-CA"/>
        </w:rPr>
      </w:pPr>
      <w:r w:rsidRPr="009C6218">
        <w:rPr>
          <w:lang w:val="fr-CA"/>
        </w:rPr>
        <w:t>La demande d’arrêt des procédures est rejetée</w:t>
      </w:r>
      <w:r w:rsidR="000E7DCB" w:rsidRPr="009C6218">
        <w:rPr>
          <w:lang w:val="fr-CA"/>
        </w:rPr>
        <w:t>.</w:t>
      </w:r>
    </w:p>
    <w:p w14:paraId="53985B53" w14:textId="231AA508" w:rsidR="0061252A" w:rsidRPr="009C6218" w:rsidRDefault="0061252A" w:rsidP="00D74CBA">
      <w:pPr>
        <w:pStyle w:val="Heading2"/>
        <w:rPr>
          <w:lang w:val="fr-CA"/>
        </w:rPr>
      </w:pPr>
      <w:bookmarkStart w:id="28" w:name="_Toc42946539"/>
      <w:r w:rsidRPr="009C6218">
        <w:rPr>
          <w:lang w:val="fr-CA"/>
        </w:rPr>
        <w:t>Analys</w:t>
      </w:r>
      <w:r w:rsidR="008B33D6" w:rsidRPr="009C6218">
        <w:rPr>
          <w:lang w:val="fr-CA"/>
        </w:rPr>
        <w:t>e</w:t>
      </w:r>
      <w:bookmarkEnd w:id="28"/>
    </w:p>
    <w:p w14:paraId="6A632365" w14:textId="1FA08E62" w:rsidR="002C4535" w:rsidRPr="009C6218" w:rsidRDefault="002C4535" w:rsidP="00B600E2">
      <w:pPr>
        <w:numPr>
          <w:ilvl w:val="0"/>
          <w:numId w:val="1"/>
        </w:numPr>
        <w:spacing w:after="200" w:line="276" w:lineRule="auto"/>
        <w:ind w:left="567" w:hanging="567"/>
        <w:rPr>
          <w:lang w:val="fr-CA"/>
        </w:rPr>
      </w:pPr>
      <w:r w:rsidRPr="009C6218">
        <w:rPr>
          <w:lang w:val="fr-CA"/>
        </w:rPr>
        <w:t>M</w:t>
      </w:r>
      <w:r w:rsidR="008B33D6" w:rsidRPr="009C6218">
        <w:rPr>
          <w:lang w:val="fr-CA"/>
        </w:rPr>
        <w:t>e</w:t>
      </w:r>
      <w:r w:rsidRPr="009C6218">
        <w:rPr>
          <w:lang w:val="fr-CA"/>
        </w:rPr>
        <w:t xml:space="preserve"> Greenspon</w:t>
      </w:r>
      <w:r w:rsidR="008B33D6" w:rsidRPr="009C6218">
        <w:rPr>
          <w:lang w:val="fr-CA"/>
        </w:rPr>
        <w:t xml:space="preserve"> a soulevé cette question pour la première fois dans ses observations </w:t>
      </w:r>
      <w:r w:rsidR="007E09D3" w:rsidRPr="009C6218">
        <w:rPr>
          <w:lang w:val="fr-CA"/>
        </w:rPr>
        <w:t>finales.</w:t>
      </w:r>
    </w:p>
    <w:p w14:paraId="70DAB96A" w14:textId="0879E96B" w:rsidR="002C4535" w:rsidRPr="009C6218" w:rsidRDefault="007E09D3" w:rsidP="00B600E2">
      <w:pPr>
        <w:numPr>
          <w:ilvl w:val="0"/>
          <w:numId w:val="1"/>
        </w:numPr>
        <w:spacing w:after="200" w:line="276" w:lineRule="auto"/>
        <w:ind w:left="567" w:hanging="567"/>
        <w:rPr>
          <w:lang w:val="fr-CA"/>
        </w:rPr>
      </w:pPr>
      <w:r w:rsidRPr="009C6218">
        <w:rPr>
          <w:lang w:val="fr-CA"/>
        </w:rPr>
        <w:t>À titre d’information, les preuves produites à l’audience démontrent que la relation entre certains membres du Bureau du procureur de la Couronne d’Ottawa</w:t>
      </w:r>
      <w:r w:rsidR="009201AB" w:rsidRPr="009C6218">
        <w:rPr>
          <w:lang w:val="fr-CA"/>
        </w:rPr>
        <w:t>,</w:t>
      </w:r>
      <w:r w:rsidR="002C4535" w:rsidRPr="009C6218">
        <w:rPr>
          <w:lang w:val="fr-CA"/>
        </w:rPr>
        <w:t xml:space="preserve"> </w:t>
      </w:r>
      <w:r w:rsidRPr="009C6218">
        <w:rPr>
          <w:lang w:val="fr-CA"/>
        </w:rPr>
        <w:t>dont Me </w:t>
      </w:r>
      <w:proofErr w:type="spellStart"/>
      <w:r w:rsidR="002C4535" w:rsidRPr="009C6218">
        <w:rPr>
          <w:lang w:val="fr-CA"/>
        </w:rPr>
        <w:t>Bair</w:t>
      </w:r>
      <w:proofErr w:type="spellEnd"/>
      <w:r w:rsidR="009201AB" w:rsidRPr="009C6218">
        <w:rPr>
          <w:lang w:val="fr-CA"/>
        </w:rPr>
        <w:t>,</w:t>
      </w:r>
      <w:r w:rsidR="002C4535" w:rsidRPr="009C6218">
        <w:rPr>
          <w:lang w:val="fr-CA"/>
        </w:rPr>
        <w:t xml:space="preserve"> </w:t>
      </w:r>
      <w:r w:rsidRPr="009C6218">
        <w:rPr>
          <w:lang w:val="fr-CA"/>
        </w:rPr>
        <w:t>et la juge de paix était empreinte de frustration mutuelle et de tension bien avant la publication de l’</w:t>
      </w:r>
      <w:r w:rsidR="009E48E1" w:rsidRPr="009C6218">
        <w:rPr>
          <w:lang w:val="fr-CA"/>
        </w:rPr>
        <w:t>A</w:t>
      </w:r>
      <w:r w:rsidR="002C4535" w:rsidRPr="009C6218">
        <w:rPr>
          <w:lang w:val="fr-CA"/>
        </w:rPr>
        <w:t>rticle</w:t>
      </w:r>
      <w:r w:rsidR="002C4535" w:rsidRPr="009C6218">
        <w:rPr>
          <w:rStyle w:val="FootnoteReference"/>
          <w:lang w:val="fr-CA"/>
        </w:rPr>
        <w:footnoteReference w:id="30"/>
      </w:r>
      <w:r w:rsidRPr="009C6218">
        <w:rPr>
          <w:lang w:val="fr-CA"/>
        </w:rPr>
        <w:t>.</w:t>
      </w:r>
    </w:p>
    <w:p w14:paraId="1207FBD7" w14:textId="78487C7D" w:rsidR="002C4535" w:rsidRPr="009C6218" w:rsidRDefault="007E09D3" w:rsidP="00B600E2">
      <w:pPr>
        <w:numPr>
          <w:ilvl w:val="0"/>
          <w:numId w:val="1"/>
        </w:numPr>
        <w:spacing w:after="200" w:line="276" w:lineRule="auto"/>
        <w:ind w:left="567" w:hanging="567"/>
        <w:rPr>
          <w:lang w:val="fr-CA"/>
        </w:rPr>
      </w:pPr>
      <w:r w:rsidRPr="009C6218">
        <w:rPr>
          <w:lang w:val="fr-CA"/>
        </w:rPr>
        <w:lastRenderedPageBreak/>
        <w:t>Dans son</w:t>
      </w:r>
      <w:r w:rsidR="002C4535" w:rsidRPr="009C6218">
        <w:rPr>
          <w:lang w:val="fr-CA"/>
        </w:rPr>
        <w:t xml:space="preserve"> </w:t>
      </w:r>
      <w:r w:rsidR="001819AB" w:rsidRPr="009C6218">
        <w:rPr>
          <w:lang w:val="fr-CA"/>
        </w:rPr>
        <w:t>A</w:t>
      </w:r>
      <w:r w:rsidR="002C4535" w:rsidRPr="009C6218">
        <w:rPr>
          <w:lang w:val="fr-CA"/>
        </w:rPr>
        <w:t>rticle</w:t>
      </w:r>
      <w:r w:rsidR="001819AB" w:rsidRPr="009C6218">
        <w:rPr>
          <w:lang w:val="fr-CA"/>
        </w:rPr>
        <w:t>,</w:t>
      </w:r>
      <w:r w:rsidR="002C4535" w:rsidRPr="009C6218">
        <w:rPr>
          <w:lang w:val="fr-CA"/>
        </w:rPr>
        <w:t xml:space="preserve"> </w:t>
      </w:r>
      <w:r w:rsidRPr="009C6218">
        <w:rPr>
          <w:lang w:val="fr-CA"/>
        </w:rPr>
        <w:t xml:space="preserve">la juge de paix a décrit un certain nombre de tactiques et comportements présumés inappropriés de la part des procureurs de la Couronne dont elle a été témoin dans sa salle d’audience, qui </w:t>
      </w:r>
      <w:r w:rsidR="003445D0">
        <w:rPr>
          <w:lang w:val="fr-CA"/>
        </w:rPr>
        <w:t xml:space="preserve">faisaient du tribunal </w:t>
      </w:r>
      <w:r w:rsidRPr="009C6218">
        <w:rPr>
          <w:lang w:val="fr-CA"/>
        </w:rPr>
        <w:t>« </w:t>
      </w:r>
      <w:r w:rsidR="00965B66" w:rsidRPr="009C6218">
        <w:rPr>
          <w:lang w:val="fr-CA"/>
        </w:rPr>
        <w:t>une honte</w:t>
      </w:r>
      <w:r w:rsidRPr="009C6218">
        <w:rPr>
          <w:lang w:val="fr-CA"/>
        </w:rPr>
        <w:t> »</w:t>
      </w:r>
      <w:r w:rsidR="003445D0">
        <w:rPr>
          <w:lang w:val="fr-CA"/>
        </w:rPr>
        <w:t>,</w:t>
      </w:r>
      <w:r w:rsidRPr="009C6218">
        <w:rPr>
          <w:lang w:val="fr-CA"/>
        </w:rPr>
        <w:t xml:space="preserve"> « dé</w:t>
      </w:r>
      <w:r w:rsidR="007A5C18" w:rsidRPr="009C6218">
        <w:rPr>
          <w:lang w:val="fr-CA"/>
        </w:rPr>
        <w:t>nués de tout</w:t>
      </w:r>
      <w:r w:rsidR="007A5E7E" w:rsidRPr="009C6218">
        <w:rPr>
          <w:lang w:val="fr-CA"/>
        </w:rPr>
        <w:t>e règle de droit</w:t>
      </w:r>
      <w:r w:rsidR="007A5C18" w:rsidRPr="009C6218">
        <w:rPr>
          <w:lang w:val="fr-CA"/>
        </w:rPr>
        <w:t> »</w:t>
      </w:r>
      <w:r w:rsidR="002C4535" w:rsidRPr="009C6218">
        <w:rPr>
          <w:lang w:val="fr-CA"/>
        </w:rPr>
        <w:t xml:space="preserve">. </w:t>
      </w:r>
      <w:r w:rsidR="007A5C18" w:rsidRPr="009C6218">
        <w:rPr>
          <w:lang w:val="fr-CA"/>
        </w:rPr>
        <w:t xml:space="preserve">Entre autres exemples, elle a cité la tentative des procureurs de la Couronne </w:t>
      </w:r>
      <w:r w:rsidR="007A5E7E" w:rsidRPr="009C6218">
        <w:rPr>
          <w:lang w:val="fr-CA"/>
        </w:rPr>
        <w:t xml:space="preserve">de s’approprier </w:t>
      </w:r>
      <w:r w:rsidR="007A5C18" w:rsidRPr="009C6218">
        <w:rPr>
          <w:lang w:val="fr-CA"/>
        </w:rPr>
        <w:t>la compétence du tribunal</w:t>
      </w:r>
      <w:r w:rsidR="00A67AB5" w:rsidRPr="009C6218">
        <w:rPr>
          <w:lang w:val="fr-CA"/>
        </w:rPr>
        <w:t>.</w:t>
      </w:r>
    </w:p>
    <w:p w14:paraId="575522F9" w14:textId="09536DCA" w:rsidR="002C4535" w:rsidRPr="009C6218" w:rsidRDefault="007A5C18" w:rsidP="00B600E2">
      <w:pPr>
        <w:numPr>
          <w:ilvl w:val="0"/>
          <w:numId w:val="1"/>
        </w:numPr>
        <w:spacing w:after="200" w:line="276" w:lineRule="auto"/>
        <w:ind w:left="567" w:hanging="567"/>
        <w:rPr>
          <w:lang w:val="fr-CA"/>
        </w:rPr>
      </w:pPr>
      <w:r w:rsidRPr="009C6218">
        <w:rPr>
          <w:lang w:val="fr-CA"/>
        </w:rPr>
        <w:t>La juge de paix a expliqué dans son témoignage que ses commentaires à ce sujet se rapportaient en partie aux demandes de récusation déposées par le Bureau du procureur de la Couronne, y compris la procureure de la Couronne elle-même, Me </w:t>
      </w:r>
      <w:proofErr w:type="spellStart"/>
      <w:r w:rsidR="002C4535" w:rsidRPr="009C6218">
        <w:rPr>
          <w:lang w:val="fr-CA"/>
        </w:rPr>
        <w:t>Bair</w:t>
      </w:r>
      <w:proofErr w:type="spellEnd"/>
      <w:r w:rsidR="002C4535" w:rsidRPr="009C6218">
        <w:rPr>
          <w:lang w:val="fr-CA"/>
        </w:rPr>
        <w:t xml:space="preserve">, </w:t>
      </w:r>
      <w:r w:rsidRPr="009C6218">
        <w:rPr>
          <w:lang w:val="fr-CA"/>
        </w:rPr>
        <w:t>au lieu d</w:t>
      </w:r>
      <w:r w:rsidR="003445D0">
        <w:rPr>
          <w:lang w:val="fr-CA"/>
        </w:rPr>
        <w:t>e suivre la voir de l’</w:t>
      </w:r>
      <w:r w:rsidRPr="009C6218">
        <w:rPr>
          <w:lang w:val="fr-CA"/>
        </w:rPr>
        <w:t xml:space="preserve">appel </w:t>
      </w:r>
      <w:r w:rsidR="003445D0">
        <w:rPr>
          <w:lang w:val="fr-CA"/>
        </w:rPr>
        <w:t>le cas échéant</w:t>
      </w:r>
      <w:r w:rsidR="002C4535" w:rsidRPr="009C6218">
        <w:rPr>
          <w:rStyle w:val="FootnoteReference"/>
          <w:lang w:val="fr-CA"/>
        </w:rPr>
        <w:footnoteReference w:id="31"/>
      </w:r>
      <w:r w:rsidRPr="009C6218">
        <w:rPr>
          <w:lang w:val="fr-CA"/>
        </w:rPr>
        <w:t>.</w:t>
      </w:r>
      <w:r w:rsidR="002C4535" w:rsidRPr="009C6218">
        <w:rPr>
          <w:lang w:val="fr-CA"/>
        </w:rPr>
        <w:t xml:space="preserve"> </w:t>
      </w:r>
      <w:r w:rsidRPr="009C6218">
        <w:rPr>
          <w:lang w:val="fr-CA"/>
        </w:rPr>
        <w:t xml:space="preserve">La juge de paix soutient que cette tactique constitue une tentative d’entraver son indépendance judiciaire. </w:t>
      </w:r>
    </w:p>
    <w:p w14:paraId="782B8950" w14:textId="2D88CF57" w:rsidR="002C4535" w:rsidRPr="009C6218" w:rsidRDefault="002C4535" w:rsidP="00564DC4">
      <w:pPr>
        <w:numPr>
          <w:ilvl w:val="0"/>
          <w:numId w:val="1"/>
        </w:numPr>
        <w:spacing w:after="200" w:line="276" w:lineRule="auto"/>
        <w:ind w:left="567" w:hanging="567"/>
        <w:rPr>
          <w:lang w:val="fr-CA"/>
        </w:rPr>
      </w:pPr>
      <w:r w:rsidRPr="009C6218">
        <w:rPr>
          <w:lang w:val="fr-CA"/>
        </w:rPr>
        <w:t>M</w:t>
      </w:r>
      <w:r w:rsidR="006422E6" w:rsidRPr="009C6218">
        <w:rPr>
          <w:lang w:val="fr-CA"/>
        </w:rPr>
        <w:t>e</w:t>
      </w:r>
      <w:r w:rsidRPr="009C6218">
        <w:rPr>
          <w:lang w:val="fr-CA"/>
        </w:rPr>
        <w:t xml:space="preserve"> </w:t>
      </w:r>
      <w:proofErr w:type="spellStart"/>
      <w:r w:rsidRPr="009C6218">
        <w:rPr>
          <w:lang w:val="fr-CA"/>
        </w:rPr>
        <w:t>Bair</w:t>
      </w:r>
      <w:proofErr w:type="spellEnd"/>
      <w:r w:rsidRPr="009C6218">
        <w:rPr>
          <w:lang w:val="fr-CA"/>
        </w:rPr>
        <w:t xml:space="preserve">, </w:t>
      </w:r>
      <w:r w:rsidR="006422E6" w:rsidRPr="009C6218">
        <w:rPr>
          <w:lang w:val="fr-CA"/>
        </w:rPr>
        <w:t>qui a depuis pris sa retraite du Bureau du procureur de la Couronne d’Ottawa, deva</w:t>
      </w:r>
      <w:r w:rsidR="003445D0">
        <w:rPr>
          <w:lang w:val="fr-CA"/>
        </w:rPr>
        <w:t>i</w:t>
      </w:r>
      <w:r w:rsidR="006422E6" w:rsidRPr="009C6218">
        <w:rPr>
          <w:lang w:val="fr-CA"/>
        </w:rPr>
        <w:t>t témoigner à l’instance. En fin de compte, elle n’a pas été appelée à témoigner</w:t>
      </w:r>
      <w:r w:rsidR="00776713">
        <w:rPr>
          <w:lang w:val="fr-CA"/>
        </w:rPr>
        <w:t>,</w:t>
      </w:r>
      <w:r w:rsidR="006422E6" w:rsidRPr="009C6218">
        <w:rPr>
          <w:lang w:val="fr-CA"/>
        </w:rPr>
        <w:t xml:space="preserve"> car elle n’était pas disponible aux dates d’audience prévues. Cependant, elle a accepté une entrevue avec un enquêteur indépendant engagé par le Conseil dans le cadre de son enquête sur les allégations. L’avocat de la juge de paix a produit la transcription de cette entrevue en preuve à l’instance. </w:t>
      </w:r>
    </w:p>
    <w:p w14:paraId="393FC09E" w14:textId="34EB7FBD" w:rsidR="002C4535" w:rsidRPr="009C6218" w:rsidRDefault="00E06877" w:rsidP="003E60B2">
      <w:pPr>
        <w:numPr>
          <w:ilvl w:val="0"/>
          <w:numId w:val="1"/>
        </w:numPr>
        <w:spacing w:after="200" w:line="276" w:lineRule="auto"/>
        <w:ind w:left="567" w:hanging="567"/>
        <w:rPr>
          <w:lang w:val="fr-CA"/>
        </w:rPr>
      </w:pPr>
      <w:r w:rsidRPr="009C6218">
        <w:rPr>
          <w:lang w:val="fr-CA"/>
        </w:rPr>
        <w:t>Le comité d’audition conclut que la demande d</w:t>
      </w:r>
      <w:r w:rsidR="00C910A2" w:rsidRPr="009C6218">
        <w:rPr>
          <w:lang w:val="fr-CA"/>
        </w:rPr>
        <w:t xml:space="preserve">’arrêt des procédures qui se fonde sur un abus de procédure présumé </w:t>
      </w:r>
      <w:r w:rsidR="00013306" w:rsidRPr="009C6218">
        <w:rPr>
          <w:lang w:val="fr-CA"/>
        </w:rPr>
        <w:t xml:space="preserve">ignore le fait que le Bureau du procureur de la Couronne d’Ottawa n’est pas un plaignant dans l’instance en question. Les trois plaignants sont </w:t>
      </w:r>
      <w:r w:rsidR="002C4535" w:rsidRPr="009C6218">
        <w:rPr>
          <w:lang w:val="fr-CA"/>
        </w:rPr>
        <w:t>:</w:t>
      </w:r>
    </w:p>
    <w:p w14:paraId="5DCD3F4B" w14:textId="324DE5E6" w:rsidR="002C4535" w:rsidRPr="009C6218" w:rsidRDefault="002C4535" w:rsidP="00013306">
      <w:pPr>
        <w:pStyle w:val="ListParagraph"/>
        <w:numPr>
          <w:ilvl w:val="0"/>
          <w:numId w:val="5"/>
        </w:numPr>
        <w:spacing w:after="160" w:line="259" w:lineRule="auto"/>
        <w:ind w:left="1134" w:right="855" w:hanging="283"/>
        <w:rPr>
          <w:lang w:val="fr-CA"/>
        </w:rPr>
      </w:pPr>
      <w:r w:rsidRPr="009C6218">
        <w:rPr>
          <w:lang w:val="fr-CA"/>
        </w:rPr>
        <w:t xml:space="preserve">M. James </w:t>
      </w:r>
      <w:proofErr w:type="spellStart"/>
      <w:r w:rsidRPr="009C6218">
        <w:rPr>
          <w:lang w:val="fr-CA"/>
        </w:rPr>
        <w:t>Cornish</w:t>
      </w:r>
      <w:proofErr w:type="spellEnd"/>
      <w:r w:rsidRPr="009C6218">
        <w:rPr>
          <w:lang w:val="fr-CA"/>
        </w:rPr>
        <w:t xml:space="preserve">, </w:t>
      </w:r>
      <w:r w:rsidR="00013306" w:rsidRPr="009C6218">
        <w:rPr>
          <w:lang w:val="fr-CA"/>
        </w:rPr>
        <w:t xml:space="preserve">sous-procureur général adjoint </w:t>
      </w:r>
      <w:r w:rsidR="00D15CAC" w:rsidRPr="009C6218">
        <w:rPr>
          <w:lang w:val="fr-CA"/>
        </w:rPr>
        <w:t>(</w:t>
      </w:r>
      <w:r w:rsidR="00013306" w:rsidRPr="009C6218">
        <w:rPr>
          <w:lang w:val="fr-CA"/>
        </w:rPr>
        <w:t>pour l’</w:t>
      </w:r>
      <w:r w:rsidR="00D15CAC" w:rsidRPr="009C6218">
        <w:rPr>
          <w:lang w:val="fr-CA"/>
        </w:rPr>
        <w:t>Ontario)</w:t>
      </w:r>
      <w:r w:rsidR="00013306" w:rsidRPr="009C6218">
        <w:rPr>
          <w:lang w:val="fr-CA"/>
        </w:rPr>
        <w:t>, Division du droit criminel, ministère du Procureur général</w:t>
      </w:r>
      <w:r w:rsidRPr="009C6218">
        <w:rPr>
          <w:lang w:val="fr-CA"/>
        </w:rPr>
        <w:t>;</w:t>
      </w:r>
    </w:p>
    <w:p w14:paraId="37A29CF9" w14:textId="77777777" w:rsidR="00A22010" w:rsidRPr="009C6218" w:rsidRDefault="00A22010" w:rsidP="00A22010">
      <w:pPr>
        <w:pStyle w:val="ListParagraph"/>
        <w:spacing w:after="160" w:line="259" w:lineRule="auto"/>
        <w:ind w:left="1134" w:right="855"/>
        <w:rPr>
          <w:lang w:val="fr-CA"/>
        </w:rPr>
      </w:pPr>
    </w:p>
    <w:p w14:paraId="26020E8B" w14:textId="58B76A02" w:rsidR="002C4535" w:rsidRPr="009C6218" w:rsidRDefault="00013306" w:rsidP="00F834CB">
      <w:pPr>
        <w:pStyle w:val="ListParagraph"/>
        <w:numPr>
          <w:ilvl w:val="0"/>
          <w:numId w:val="5"/>
        </w:numPr>
        <w:spacing w:after="160" w:line="259" w:lineRule="auto"/>
        <w:ind w:left="1134" w:right="855" w:hanging="283"/>
        <w:rPr>
          <w:lang w:val="fr-CA"/>
        </w:rPr>
      </w:pPr>
      <w:r w:rsidRPr="009C6218">
        <w:rPr>
          <w:lang w:val="fr-CA"/>
        </w:rPr>
        <w:t>M</w:t>
      </w:r>
      <w:r w:rsidR="002C4535" w:rsidRPr="009C6218">
        <w:rPr>
          <w:lang w:val="fr-CA"/>
        </w:rPr>
        <w:t>. Brian Saunders, Direct</w:t>
      </w:r>
      <w:r w:rsidRPr="009C6218">
        <w:rPr>
          <w:lang w:val="fr-CA"/>
        </w:rPr>
        <w:t xml:space="preserve">eur des poursuites publiques, </w:t>
      </w:r>
      <w:r w:rsidR="00C471D3" w:rsidRPr="009C6218">
        <w:rPr>
          <w:lang w:val="fr-CA"/>
        </w:rPr>
        <w:t>au nom du Service des poursuites pénales du Canada</w:t>
      </w:r>
      <w:r w:rsidR="002C4535" w:rsidRPr="009C6218">
        <w:rPr>
          <w:lang w:val="fr-CA"/>
        </w:rPr>
        <w:t xml:space="preserve">; </w:t>
      </w:r>
    </w:p>
    <w:p w14:paraId="2DC291C2" w14:textId="77777777" w:rsidR="00A22010" w:rsidRPr="009C6218" w:rsidRDefault="00A22010" w:rsidP="00A22010">
      <w:pPr>
        <w:pStyle w:val="ListParagraph"/>
        <w:rPr>
          <w:lang w:val="fr-CA"/>
        </w:rPr>
      </w:pPr>
    </w:p>
    <w:p w14:paraId="37F4AC5C" w14:textId="6AF6D16C" w:rsidR="002C4535" w:rsidRPr="009C6218" w:rsidRDefault="002C4535" w:rsidP="00F834CB">
      <w:pPr>
        <w:pStyle w:val="ListParagraph"/>
        <w:numPr>
          <w:ilvl w:val="0"/>
          <w:numId w:val="5"/>
        </w:numPr>
        <w:spacing w:after="160" w:line="259" w:lineRule="auto"/>
        <w:ind w:left="1134" w:right="855" w:hanging="283"/>
        <w:rPr>
          <w:lang w:val="fr-CA"/>
        </w:rPr>
      </w:pPr>
      <w:r w:rsidRPr="009C6218">
        <w:rPr>
          <w:lang w:val="fr-CA"/>
        </w:rPr>
        <w:t>M</w:t>
      </w:r>
      <w:r w:rsidR="00C471D3" w:rsidRPr="009C6218">
        <w:rPr>
          <w:lang w:val="fr-CA"/>
        </w:rPr>
        <w:t>me</w:t>
      </w:r>
      <w:r w:rsidRPr="009C6218">
        <w:rPr>
          <w:lang w:val="fr-CA"/>
        </w:rPr>
        <w:t xml:space="preserve"> Kate Matthews, [</w:t>
      </w:r>
      <w:r w:rsidR="00C471D3" w:rsidRPr="009C6218">
        <w:rPr>
          <w:lang w:val="fr-CA"/>
        </w:rPr>
        <w:t>alors</w:t>
      </w:r>
      <w:r w:rsidRPr="009C6218">
        <w:rPr>
          <w:lang w:val="fr-CA"/>
        </w:rPr>
        <w:t xml:space="preserve">] </w:t>
      </w:r>
      <w:r w:rsidR="00C471D3" w:rsidRPr="009C6218">
        <w:rPr>
          <w:lang w:val="fr-CA"/>
        </w:rPr>
        <w:t>présidente de l’</w:t>
      </w:r>
      <w:r w:rsidRPr="009C6218">
        <w:rPr>
          <w:lang w:val="fr-CA"/>
        </w:rPr>
        <w:t xml:space="preserve">Ontario </w:t>
      </w:r>
      <w:r w:rsidR="0080032A" w:rsidRPr="009C6218">
        <w:rPr>
          <w:lang w:val="fr-CA"/>
        </w:rPr>
        <w:t>Crown</w:t>
      </w:r>
      <w:r w:rsidRPr="009C6218">
        <w:rPr>
          <w:lang w:val="fr-CA"/>
        </w:rPr>
        <w:t xml:space="preserve"> Attorneys’ Association, </w:t>
      </w:r>
      <w:r w:rsidR="00C471D3" w:rsidRPr="009C6218">
        <w:rPr>
          <w:lang w:val="fr-CA"/>
        </w:rPr>
        <w:t>au nom de l’Ont</w:t>
      </w:r>
      <w:r w:rsidRPr="009C6218">
        <w:rPr>
          <w:lang w:val="fr-CA"/>
        </w:rPr>
        <w:t xml:space="preserve">ario </w:t>
      </w:r>
      <w:r w:rsidR="0080032A" w:rsidRPr="009C6218">
        <w:rPr>
          <w:lang w:val="fr-CA"/>
        </w:rPr>
        <w:t>Crown</w:t>
      </w:r>
      <w:r w:rsidRPr="009C6218">
        <w:rPr>
          <w:lang w:val="fr-CA"/>
        </w:rPr>
        <w:t xml:space="preserve"> Attorneys’ Association.</w:t>
      </w:r>
    </w:p>
    <w:p w14:paraId="3B5232B0" w14:textId="0514404C" w:rsidR="002C4535" w:rsidRPr="009C6218" w:rsidRDefault="000D4B04" w:rsidP="00AF0BD2">
      <w:pPr>
        <w:numPr>
          <w:ilvl w:val="0"/>
          <w:numId w:val="1"/>
        </w:numPr>
        <w:spacing w:after="200" w:line="276" w:lineRule="auto"/>
        <w:ind w:left="567" w:hanging="567"/>
        <w:rPr>
          <w:lang w:val="fr-CA"/>
        </w:rPr>
      </w:pPr>
      <w:r w:rsidRPr="009C6218">
        <w:rPr>
          <w:lang w:val="fr-CA"/>
        </w:rPr>
        <w:t xml:space="preserve">Il n’y a aucune preuve que Me </w:t>
      </w:r>
      <w:proofErr w:type="spellStart"/>
      <w:r w:rsidR="002C4535" w:rsidRPr="009C6218">
        <w:rPr>
          <w:lang w:val="fr-CA"/>
        </w:rPr>
        <w:t>Bair</w:t>
      </w:r>
      <w:proofErr w:type="spellEnd"/>
      <w:r w:rsidR="002C4535" w:rsidRPr="009C6218">
        <w:rPr>
          <w:lang w:val="fr-CA"/>
        </w:rPr>
        <w:t xml:space="preserve"> </w:t>
      </w:r>
      <w:r w:rsidRPr="009C6218">
        <w:rPr>
          <w:lang w:val="fr-CA"/>
        </w:rPr>
        <w:t>ou un membre du Bureau du procureur de la Couronne d’Ottawa a influencé le sous-procu</w:t>
      </w:r>
      <w:r w:rsidR="0080032A" w:rsidRPr="009C6218">
        <w:rPr>
          <w:lang w:val="fr-CA"/>
        </w:rPr>
        <w:t>r</w:t>
      </w:r>
      <w:r w:rsidRPr="009C6218">
        <w:rPr>
          <w:lang w:val="fr-CA"/>
        </w:rPr>
        <w:t>eur général adjoint de l’Ontario, M</w:t>
      </w:r>
      <w:r w:rsidR="002C4535" w:rsidRPr="009C6218">
        <w:rPr>
          <w:lang w:val="fr-CA"/>
        </w:rPr>
        <w:t xml:space="preserve">. </w:t>
      </w:r>
      <w:proofErr w:type="spellStart"/>
      <w:r w:rsidR="002C4535" w:rsidRPr="009C6218">
        <w:rPr>
          <w:lang w:val="fr-CA"/>
        </w:rPr>
        <w:t>Cornish</w:t>
      </w:r>
      <w:proofErr w:type="spellEnd"/>
      <w:r w:rsidR="002C4535" w:rsidRPr="009C6218">
        <w:rPr>
          <w:lang w:val="fr-CA"/>
        </w:rPr>
        <w:t xml:space="preserve">, </w:t>
      </w:r>
      <w:r w:rsidRPr="009C6218">
        <w:rPr>
          <w:lang w:val="fr-CA"/>
        </w:rPr>
        <w:t>dans la décision de déposer une plainte au Conseil</w:t>
      </w:r>
      <w:r w:rsidR="002C4535" w:rsidRPr="009C6218">
        <w:rPr>
          <w:lang w:val="fr-CA"/>
        </w:rPr>
        <w:t>.</w:t>
      </w:r>
    </w:p>
    <w:p w14:paraId="4085124C" w14:textId="55D5C5DB" w:rsidR="002C4535" w:rsidRPr="009C6218" w:rsidRDefault="000D4B04" w:rsidP="00AF0BD2">
      <w:pPr>
        <w:numPr>
          <w:ilvl w:val="0"/>
          <w:numId w:val="1"/>
        </w:numPr>
        <w:spacing w:after="200" w:line="276" w:lineRule="auto"/>
        <w:ind w:left="567" w:hanging="567"/>
        <w:rPr>
          <w:lang w:val="fr-CA"/>
        </w:rPr>
      </w:pPr>
      <w:r w:rsidRPr="009C6218">
        <w:rPr>
          <w:lang w:val="fr-CA"/>
        </w:rPr>
        <w:t xml:space="preserve">Il n’y a aucune preuve d’une animosité de la part du sous-procureur général adjoint </w:t>
      </w:r>
      <w:r w:rsidR="002C4535" w:rsidRPr="009C6218">
        <w:rPr>
          <w:lang w:val="fr-CA"/>
        </w:rPr>
        <w:t xml:space="preserve">James </w:t>
      </w:r>
      <w:proofErr w:type="spellStart"/>
      <w:r w:rsidR="002C4535" w:rsidRPr="009C6218">
        <w:rPr>
          <w:lang w:val="fr-CA"/>
        </w:rPr>
        <w:t>Cornish</w:t>
      </w:r>
      <w:proofErr w:type="spellEnd"/>
      <w:r w:rsidR="002C4535" w:rsidRPr="009C6218">
        <w:rPr>
          <w:lang w:val="fr-CA"/>
        </w:rPr>
        <w:t xml:space="preserve"> </w:t>
      </w:r>
      <w:r w:rsidRPr="009C6218">
        <w:rPr>
          <w:lang w:val="fr-CA"/>
        </w:rPr>
        <w:t>à l’égard de la juge de paix. Même si c’était le cas, le ministère du Procureur général n’était qu’un des trois plaignants</w:t>
      </w:r>
      <w:r w:rsidR="002C4535" w:rsidRPr="009C6218">
        <w:rPr>
          <w:lang w:val="fr-CA"/>
        </w:rPr>
        <w:t>.</w:t>
      </w:r>
    </w:p>
    <w:p w14:paraId="4C1BD562" w14:textId="0EEDDA20" w:rsidR="002C4535" w:rsidRPr="009C6218" w:rsidRDefault="000D4B04" w:rsidP="00F13B79">
      <w:pPr>
        <w:numPr>
          <w:ilvl w:val="0"/>
          <w:numId w:val="1"/>
        </w:numPr>
        <w:spacing w:after="200" w:line="276" w:lineRule="auto"/>
        <w:ind w:left="567" w:hanging="567"/>
        <w:rPr>
          <w:lang w:val="fr-CA"/>
        </w:rPr>
      </w:pPr>
      <w:r w:rsidRPr="009C6218">
        <w:rPr>
          <w:lang w:val="fr-CA"/>
        </w:rPr>
        <w:lastRenderedPageBreak/>
        <w:t xml:space="preserve">Il n’y a aucune preuve </w:t>
      </w:r>
      <w:r w:rsidR="00C51D26" w:rsidRPr="009C6218">
        <w:rPr>
          <w:lang w:val="fr-CA"/>
        </w:rPr>
        <w:t xml:space="preserve">d’une animosité de la part du Service des poursuites pénales du Canada </w:t>
      </w:r>
      <w:r w:rsidR="002C4535" w:rsidRPr="009C6218">
        <w:rPr>
          <w:lang w:val="fr-CA"/>
        </w:rPr>
        <w:t>(</w:t>
      </w:r>
      <w:r w:rsidR="00C51D26" w:rsidRPr="009C6218">
        <w:rPr>
          <w:lang w:val="fr-CA"/>
        </w:rPr>
        <w:t>le « SPPC »</w:t>
      </w:r>
      <w:r w:rsidR="002C4535" w:rsidRPr="009C6218">
        <w:rPr>
          <w:lang w:val="fr-CA"/>
        </w:rPr>
        <w:t xml:space="preserve">) </w:t>
      </w:r>
      <w:r w:rsidR="00C51D26" w:rsidRPr="009C6218">
        <w:rPr>
          <w:lang w:val="fr-CA"/>
        </w:rPr>
        <w:t>ou de l’</w:t>
      </w:r>
      <w:r w:rsidR="002C4535" w:rsidRPr="009C6218">
        <w:rPr>
          <w:lang w:val="fr-CA"/>
        </w:rPr>
        <w:t xml:space="preserve">Ontario </w:t>
      </w:r>
      <w:r w:rsidR="0080032A" w:rsidRPr="009C6218">
        <w:rPr>
          <w:lang w:val="fr-CA"/>
        </w:rPr>
        <w:t>Crown</w:t>
      </w:r>
      <w:r w:rsidR="002C4535" w:rsidRPr="009C6218">
        <w:rPr>
          <w:lang w:val="fr-CA"/>
        </w:rPr>
        <w:t xml:space="preserve"> </w:t>
      </w:r>
      <w:proofErr w:type="spellStart"/>
      <w:r w:rsidR="002C4535" w:rsidRPr="009C6218">
        <w:rPr>
          <w:lang w:val="fr-CA"/>
        </w:rPr>
        <w:t>Attorney’s</w:t>
      </w:r>
      <w:proofErr w:type="spellEnd"/>
      <w:r w:rsidR="002C4535" w:rsidRPr="009C6218">
        <w:rPr>
          <w:lang w:val="fr-CA"/>
        </w:rPr>
        <w:t xml:space="preserve"> Association (</w:t>
      </w:r>
      <w:r w:rsidR="00C51D26" w:rsidRPr="009C6218">
        <w:rPr>
          <w:lang w:val="fr-CA"/>
        </w:rPr>
        <w:t>l’« </w:t>
      </w:r>
      <w:r w:rsidR="002C4535" w:rsidRPr="009C6218">
        <w:rPr>
          <w:lang w:val="fr-CA"/>
        </w:rPr>
        <w:t>OCAA</w:t>
      </w:r>
      <w:r w:rsidR="00C51D26" w:rsidRPr="009C6218">
        <w:rPr>
          <w:lang w:val="fr-CA"/>
        </w:rPr>
        <w:t> »</w:t>
      </w:r>
      <w:r w:rsidR="002C4535" w:rsidRPr="009C6218">
        <w:rPr>
          <w:lang w:val="fr-CA"/>
        </w:rPr>
        <w:t xml:space="preserve">) </w:t>
      </w:r>
      <w:r w:rsidR="00C51D26" w:rsidRPr="009C6218">
        <w:rPr>
          <w:lang w:val="fr-CA"/>
        </w:rPr>
        <w:t>à l’égard de la juge de paix</w:t>
      </w:r>
      <w:r w:rsidR="002C4535" w:rsidRPr="009C6218">
        <w:rPr>
          <w:lang w:val="fr-CA"/>
        </w:rPr>
        <w:t>.</w:t>
      </w:r>
    </w:p>
    <w:p w14:paraId="62D60065" w14:textId="57E884F0" w:rsidR="002C4535" w:rsidRPr="009C6218" w:rsidRDefault="002C4535" w:rsidP="00F13B79">
      <w:pPr>
        <w:numPr>
          <w:ilvl w:val="0"/>
          <w:numId w:val="1"/>
        </w:numPr>
        <w:spacing w:after="200" w:line="276" w:lineRule="auto"/>
        <w:ind w:left="567" w:hanging="567"/>
        <w:rPr>
          <w:lang w:val="fr-CA"/>
        </w:rPr>
      </w:pPr>
      <w:r w:rsidRPr="009C6218">
        <w:rPr>
          <w:lang w:val="fr-CA"/>
        </w:rPr>
        <w:t>M</w:t>
      </w:r>
      <w:r w:rsidR="00C51D26" w:rsidRPr="009C6218">
        <w:rPr>
          <w:lang w:val="fr-CA"/>
        </w:rPr>
        <w:t>me</w:t>
      </w:r>
      <w:r w:rsidRPr="009C6218">
        <w:rPr>
          <w:lang w:val="fr-CA"/>
        </w:rPr>
        <w:t xml:space="preserve"> Kate Matthews, </w:t>
      </w:r>
      <w:r w:rsidR="00C51D26" w:rsidRPr="009C6218">
        <w:rPr>
          <w:lang w:val="fr-CA"/>
        </w:rPr>
        <w:t>présidente de l’</w:t>
      </w:r>
      <w:r w:rsidRPr="009C6218">
        <w:rPr>
          <w:lang w:val="fr-CA"/>
        </w:rPr>
        <w:t xml:space="preserve">OCAA </w:t>
      </w:r>
      <w:r w:rsidR="00C51D26" w:rsidRPr="009C6218">
        <w:rPr>
          <w:lang w:val="fr-CA"/>
        </w:rPr>
        <w:t>à l’époque pertinente, a déclaré dans son témoignage que la décision de l’</w:t>
      </w:r>
      <w:r w:rsidRPr="009C6218">
        <w:rPr>
          <w:lang w:val="fr-CA"/>
        </w:rPr>
        <w:t>OCAA</w:t>
      </w:r>
      <w:r w:rsidR="00C51D26" w:rsidRPr="009C6218">
        <w:rPr>
          <w:lang w:val="fr-CA"/>
        </w:rPr>
        <w:t xml:space="preserve"> de déposer plainte a été prise par le conseil d’administration de cette association</w:t>
      </w:r>
      <w:r w:rsidRPr="009C6218">
        <w:rPr>
          <w:lang w:val="fr-CA"/>
        </w:rPr>
        <w:t>.</w:t>
      </w:r>
    </w:p>
    <w:p w14:paraId="46D9FCD4" w14:textId="03D2C877" w:rsidR="002C4535" w:rsidRPr="009C6218" w:rsidRDefault="000D4B04" w:rsidP="00F13B79">
      <w:pPr>
        <w:numPr>
          <w:ilvl w:val="0"/>
          <w:numId w:val="1"/>
        </w:numPr>
        <w:spacing w:after="200" w:line="276" w:lineRule="auto"/>
        <w:ind w:left="567" w:hanging="567"/>
        <w:rPr>
          <w:lang w:val="fr-CA"/>
        </w:rPr>
      </w:pPr>
      <w:r w:rsidRPr="009C6218">
        <w:rPr>
          <w:lang w:val="fr-CA"/>
        </w:rPr>
        <w:t xml:space="preserve">Il n’y a aucune preuve </w:t>
      </w:r>
      <w:r w:rsidR="00C51D26" w:rsidRPr="009C6218">
        <w:rPr>
          <w:lang w:val="fr-CA"/>
        </w:rPr>
        <w:t>que M</w:t>
      </w:r>
      <w:r w:rsidR="003445D0">
        <w:rPr>
          <w:lang w:val="fr-CA"/>
        </w:rPr>
        <w:t>e</w:t>
      </w:r>
      <w:r w:rsidR="002C4535" w:rsidRPr="009C6218">
        <w:rPr>
          <w:lang w:val="fr-CA"/>
        </w:rPr>
        <w:t xml:space="preserve"> </w:t>
      </w:r>
      <w:proofErr w:type="spellStart"/>
      <w:r w:rsidR="002C4535" w:rsidRPr="009C6218">
        <w:rPr>
          <w:lang w:val="fr-CA"/>
        </w:rPr>
        <w:t>Bair</w:t>
      </w:r>
      <w:proofErr w:type="spellEnd"/>
      <w:r w:rsidR="002C4535" w:rsidRPr="009C6218">
        <w:rPr>
          <w:lang w:val="fr-CA"/>
        </w:rPr>
        <w:t xml:space="preserve"> </w:t>
      </w:r>
      <w:r w:rsidR="00C51D26" w:rsidRPr="009C6218">
        <w:rPr>
          <w:lang w:val="fr-CA"/>
        </w:rPr>
        <w:t xml:space="preserve">a joué un rôle dans la décision de déposer plainte au Conseil d’évaluation. Mme </w:t>
      </w:r>
      <w:r w:rsidR="002C4535" w:rsidRPr="009C6218">
        <w:rPr>
          <w:lang w:val="fr-CA"/>
        </w:rPr>
        <w:t xml:space="preserve">Matthews </w:t>
      </w:r>
      <w:r w:rsidR="00C51D26" w:rsidRPr="009C6218">
        <w:rPr>
          <w:lang w:val="fr-CA"/>
        </w:rPr>
        <w:t xml:space="preserve">a déclaré dans son témoignage que Me </w:t>
      </w:r>
      <w:proofErr w:type="spellStart"/>
      <w:r w:rsidR="002C4535" w:rsidRPr="009C6218">
        <w:rPr>
          <w:lang w:val="fr-CA"/>
        </w:rPr>
        <w:t>Bair</w:t>
      </w:r>
      <w:proofErr w:type="spellEnd"/>
      <w:r w:rsidR="002C4535" w:rsidRPr="009C6218">
        <w:rPr>
          <w:lang w:val="fr-CA"/>
        </w:rPr>
        <w:t xml:space="preserve">, </w:t>
      </w:r>
      <w:r w:rsidR="00C51D26" w:rsidRPr="009C6218">
        <w:rPr>
          <w:lang w:val="fr-CA"/>
        </w:rPr>
        <w:t>la procureure de la Couronne d’Ottawa de l’époque, n’était pas membre de l’OCAA</w:t>
      </w:r>
      <w:r w:rsidR="002C4535" w:rsidRPr="009C6218">
        <w:rPr>
          <w:rStyle w:val="FootnoteReference"/>
          <w:lang w:val="fr-CA"/>
        </w:rPr>
        <w:footnoteReference w:id="32"/>
      </w:r>
      <w:r w:rsidR="00C51D26" w:rsidRPr="009C6218">
        <w:rPr>
          <w:lang w:val="fr-CA"/>
        </w:rPr>
        <w:t>.</w:t>
      </w:r>
    </w:p>
    <w:p w14:paraId="33C53E90" w14:textId="4711F6AA" w:rsidR="002C4535" w:rsidRPr="009C6218" w:rsidRDefault="00577D1C" w:rsidP="00F13B79">
      <w:pPr>
        <w:numPr>
          <w:ilvl w:val="0"/>
          <w:numId w:val="1"/>
        </w:numPr>
        <w:spacing w:after="200" w:line="276" w:lineRule="auto"/>
        <w:ind w:left="567" w:hanging="567"/>
        <w:rPr>
          <w:lang w:val="fr-CA"/>
        </w:rPr>
      </w:pPr>
      <w:r w:rsidRPr="009C6218">
        <w:rPr>
          <w:lang w:val="fr-CA"/>
        </w:rPr>
        <w:t xml:space="preserve">Il n’a jamais été porté à l’attention de Mme </w:t>
      </w:r>
      <w:r w:rsidR="002C4535" w:rsidRPr="009C6218">
        <w:rPr>
          <w:lang w:val="fr-CA"/>
        </w:rPr>
        <w:t xml:space="preserve">Matthews </w:t>
      </w:r>
      <w:r w:rsidRPr="009C6218">
        <w:rPr>
          <w:lang w:val="fr-CA"/>
        </w:rPr>
        <w:t>que des membres du Bureau du procureur de la Couronne d’Ottawa avaient influencé le conseil d’</w:t>
      </w:r>
      <w:r w:rsidR="002C4535" w:rsidRPr="009C6218">
        <w:rPr>
          <w:lang w:val="fr-CA"/>
        </w:rPr>
        <w:t xml:space="preserve">OCAA </w:t>
      </w:r>
      <w:r w:rsidRPr="009C6218">
        <w:rPr>
          <w:lang w:val="fr-CA"/>
        </w:rPr>
        <w:t>à déposer plainte contre la juge de paix ou qu’ils aient joué un rôle dans cette décision</w:t>
      </w:r>
      <w:r w:rsidR="002C4535" w:rsidRPr="009C6218">
        <w:rPr>
          <w:lang w:val="fr-CA"/>
        </w:rPr>
        <w:t>.</w:t>
      </w:r>
    </w:p>
    <w:p w14:paraId="30FDE338" w14:textId="1ABB60FF" w:rsidR="002C4535" w:rsidRPr="009C6218" w:rsidRDefault="00577D1C" w:rsidP="00F13B79">
      <w:pPr>
        <w:numPr>
          <w:ilvl w:val="0"/>
          <w:numId w:val="1"/>
        </w:numPr>
        <w:spacing w:after="200" w:line="276" w:lineRule="auto"/>
        <w:ind w:left="567" w:hanging="567"/>
        <w:rPr>
          <w:lang w:val="fr-CA"/>
        </w:rPr>
      </w:pPr>
      <w:r w:rsidRPr="009C6218">
        <w:rPr>
          <w:lang w:val="fr-CA"/>
        </w:rPr>
        <w:t xml:space="preserve">Il n’a jamais même été mentionné à Mme </w:t>
      </w:r>
      <w:r w:rsidR="002C4535" w:rsidRPr="009C6218">
        <w:rPr>
          <w:lang w:val="fr-CA"/>
        </w:rPr>
        <w:t xml:space="preserve">Mathews </w:t>
      </w:r>
      <w:r w:rsidRPr="009C6218">
        <w:rPr>
          <w:lang w:val="fr-CA"/>
        </w:rPr>
        <w:t>qu’elle ou des membres du conseil de l’</w:t>
      </w:r>
      <w:r w:rsidR="002C4535" w:rsidRPr="009C6218">
        <w:rPr>
          <w:lang w:val="fr-CA"/>
        </w:rPr>
        <w:t xml:space="preserve">OCAA </w:t>
      </w:r>
      <w:r w:rsidRPr="009C6218">
        <w:rPr>
          <w:lang w:val="fr-CA"/>
        </w:rPr>
        <w:t>avai</w:t>
      </w:r>
      <w:r w:rsidR="00776713">
        <w:rPr>
          <w:lang w:val="fr-CA"/>
        </w:rPr>
        <w:t>en</w:t>
      </w:r>
      <w:r w:rsidRPr="009C6218">
        <w:rPr>
          <w:lang w:val="fr-CA"/>
        </w:rPr>
        <w:t xml:space="preserve">t de l’animosité contre la juge de paix. </w:t>
      </w:r>
    </w:p>
    <w:p w14:paraId="6DC91E19" w14:textId="7A86A6D6" w:rsidR="006E190B" w:rsidRPr="009C6218" w:rsidRDefault="00577D1C" w:rsidP="00F13B79">
      <w:pPr>
        <w:numPr>
          <w:ilvl w:val="0"/>
          <w:numId w:val="1"/>
        </w:numPr>
        <w:spacing w:after="200" w:line="276" w:lineRule="auto"/>
        <w:ind w:left="567" w:hanging="567"/>
        <w:rPr>
          <w:lang w:val="fr-CA"/>
        </w:rPr>
      </w:pPr>
      <w:r w:rsidRPr="009C6218">
        <w:rPr>
          <w:lang w:val="fr-CA"/>
        </w:rPr>
        <w:t xml:space="preserve">De même, </w:t>
      </w:r>
      <w:r w:rsidR="00776713">
        <w:rPr>
          <w:lang w:val="fr-CA"/>
        </w:rPr>
        <w:t>i</w:t>
      </w:r>
      <w:r w:rsidRPr="009C6218">
        <w:rPr>
          <w:lang w:val="fr-CA"/>
        </w:rPr>
        <w:t>l n’y avait aucune preuve que le SPPC avait de l’animosité envers la juge de paix</w:t>
      </w:r>
      <w:r w:rsidR="006E190B" w:rsidRPr="009C6218">
        <w:rPr>
          <w:lang w:val="fr-CA"/>
        </w:rPr>
        <w:t>.</w:t>
      </w:r>
    </w:p>
    <w:p w14:paraId="5C698F34" w14:textId="2B12F304" w:rsidR="002C4535" w:rsidRPr="009C6218" w:rsidRDefault="00577D1C" w:rsidP="00F13B79">
      <w:pPr>
        <w:numPr>
          <w:ilvl w:val="0"/>
          <w:numId w:val="1"/>
        </w:numPr>
        <w:spacing w:after="200" w:line="276" w:lineRule="auto"/>
        <w:ind w:left="567" w:hanging="567"/>
        <w:rPr>
          <w:lang w:val="fr-CA"/>
        </w:rPr>
      </w:pPr>
      <w:r w:rsidRPr="009C6218">
        <w:rPr>
          <w:lang w:val="fr-CA"/>
        </w:rPr>
        <w:t>Pour les motifs qui précèdent, nous rejetons l’argument selon lequel il y a eu un abus de procédure à une étape quelconque de l’instance en question qui justifierait un arrêt des procédures</w:t>
      </w:r>
      <w:r w:rsidR="002C4535" w:rsidRPr="009C6218">
        <w:rPr>
          <w:lang w:val="fr-CA"/>
        </w:rPr>
        <w:t>.</w:t>
      </w:r>
    </w:p>
    <w:p w14:paraId="0EF0ED26" w14:textId="1298669F" w:rsidR="002C4535" w:rsidRPr="009C6218" w:rsidRDefault="00577D1C" w:rsidP="00F13B79">
      <w:pPr>
        <w:numPr>
          <w:ilvl w:val="0"/>
          <w:numId w:val="1"/>
        </w:numPr>
        <w:spacing w:after="200" w:line="276" w:lineRule="auto"/>
        <w:ind w:left="567" w:hanging="567"/>
        <w:rPr>
          <w:lang w:val="fr-CA"/>
        </w:rPr>
      </w:pPr>
      <w:r w:rsidRPr="009C6218">
        <w:rPr>
          <w:lang w:val="fr-CA"/>
        </w:rPr>
        <w:t xml:space="preserve">Même si on pouvait dire qu’un des trois plaignants ressentait de l’animosité envers la juge de paix, les preuves produites devant le comité d’audition démontrent que les trois plaintes indépendantes ont fait chacune l’objet d’une enquête </w:t>
      </w:r>
      <w:r w:rsidRPr="009C6218">
        <w:rPr>
          <w:i/>
          <w:lang w:val="fr-CA"/>
        </w:rPr>
        <w:t>indépendante</w:t>
      </w:r>
      <w:r w:rsidRPr="009C6218">
        <w:rPr>
          <w:lang w:val="fr-CA"/>
        </w:rPr>
        <w:t xml:space="preserve">, </w:t>
      </w:r>
      <w:r w:rsidRPr="009C6218">
        <w:rPr>
          <w:i/>
          <w:lang w:val="fr-CA"/>
        </w:rPr>
        <w:t xml:space="preserve">indépendamment </w:t>
      </w:r>
      <w:r w:rsidRPr="009C6218">
        <w:rPr>
          <w:lang w:val="fr-CA"/>
        </w:rPr>
        <w:t xml:space="preserve">autorisée et </w:t>
      </w:r>
      <w:r w:rsidRPr="009C6218">
        <w:rPr>
          <w:i/>
          <w:lang w:val="fr-CA"/>
        </w:rPr>
        <w:t xml:space="preserve">indépendamment </w:t>
      </w:r>
      <w:r w:rsidRPr="009C6218">
        <w:rPr>
          <w:lang w:val="fr-CA"/>
        </w:rPr>
        <w:t xml:space="preserve">présentée. </w:t>
      </w:r>
    </w:p>
    <w:p w14:paraId="4BC694FC" w14:textId="0FA7579E" w:rsidR="002C4535" w:rsidRPr="009C6218" w:rsidRDefault="002C4535" w:rsidP="00F13B79">
      <w:pPr>
        <w:numPr>
          <w:ilvl w:val="0"/>
          <w:numId w:val="1"/>
        </w:numPr>
        <w:spacing w:after="200" w:line="276" w:lineRule="auto"/>
        <w:ind w:left="567" w:hanging="567"/>
        <w:rPr>
          <w:lang w:val="fr-CA"/>
        </w:rPr>
      </w:pPr>
      <w:r w:rsidRPr="009C6218">
        <w:rPr>
          <w:lang w:val="fr-CA"/>
        </w:rPr>
        <w:t>A</w:t>
      </w:r>
      <w:r w:rsidR="00577D1C" w:rsidRPr="009C6218">
        <w:rPr>
          <w:lang w:val="fr-CA"/>
        </w:rPr>
        <w:t>près le dépôt des trois plaintes, un avocat indépendant a été mandaté pour épauler le comité des plaintes du Conseil d’évaluation</w:t>
      </w:r>
      <w:r w:rsidR="00394497" w:rsidRPr="009C6218">
        <w:rPr>
          <w:lang w:val="fr-CA"/>
        </w:rPr>
        <w:t xml:space="preserve">, </w:t>
      </w:r>
      <w:r w:rsidR="00577D1C" w:rsidRPr="009C6218">
        <w:rPr>
          <w:lang w:val="fr-CA"/>
        </w:rPr>
        <w:t xml:space="preserve">un organisme indépendant, dans son enquête sur les affaires. Après l’enquête, le comité des plaintes d’un tribunal décisionnel indépendant a pris la décision qu’il y avait lieu de tenir une audience sur les questions qui font l’objet des plaintes. </w:t>
      </w:r>
    </w:p>
    <w:p w14:paraId="1C4E5AA5" w14:textId="081EA6DB" w:rsidR="002C4535" w:rsidRPr="009C6218" w:rsidRDefault="00EF4925" w:rsidP="00F13B79">
      <w:pPr>
        <w:numPr>
          <w:ilvl w:val="0"/>
          <w:numId w:val="1"/>
        </w:numPr>
        <w:spacing w:after="200" w:line="276" w:lineRule="auto"/>
        <w:ind w:left="567" w:hanging="567"/>
        <w:rPr>
          <w:lang w:val="fr-CA"/>
        </w:rPr>
      </w:pPr>
      <w:r w:rsidRPr="009C6218">
        <w:rPr>
          <w:lang w:val="fr-CA"/>
        </w:rPr>
        <w:t xml:space="preserve">Après la décision du comité, un avocat chargé </w:t>
      </w:r>
      <w:r w:rsidR="002C390C" w:rsidRPr="009C6218">
        <w:rPr>
          <w:rFonts w:eastAsia="Arial" w:cs="Times New Roman"/>
          <w:szCs w:val="22"/>
          <w:lang w:val="fr-CA"/>
        </w:rPr>
        <w:t xml:space="preserve">de la présentation </w:t>
      </w:r>
      <w:r w:rsidRPr="009C6218">
        <w:rPr>
          <w:lang w:val="fr-CA"/>
        </w:rPr>
        <w:t>indépendant a été mandaté</w:t>
      </w:r>
      <w:r w:rsidR="00546FDB">
        <w:rPr>
          <w:lang w:val="fr-CA"/>
        </w:rPr>
        <w:t>,</w:t>
      </w:r>
      <w:r w:rsidRPr="009C6218">
        <w:rPr>
          <w:lang w:val="fr-CA"/>
        </w:rPr>
        <w:t xml:space="preserve"> qui n’a aucun lien avec les plaignants</w:t>
      </w:r>
      <w:r w:rsidR="00546FDB">
        <w:rPr>
          <w:lang w:val="fr-CA"/>
        </w:rPr>
        <w:t>,</w:t>
      </w:r>
      <w:r w:rsidRPr="009C6218">
        <w:rPr>
          <w:lang w:val="fr-CA"/>
        </w:rPr>
        <w:t xml:space="preserve"> Me </w:t>
      </w:r>
      <w:proofErr w:type="spellStart"/>
      <w:r w:rsidR="002C4535" w:rsidRPr="009C6218">
        <w:rPr>
          <w:lang w:val="fr-CA"/>
        </w:rPr>
        <w:t>Bair</w:t>
      </w:r>
      <w:proofErr w:type="spellEnd"/>
      <w:r w:rsidR="002C4535" w:rsidRPr="009C6218">
        <w:rPr>
          <w:lang w:val="fr-CA"/>
        </w:rPr>
        <w:t xml:space="preserve"> </w:t>
      </w:r>
      <w:r w:rsidRPr="009C6218">
        <w:rPr>
          <w:lang w:val="fr-CA"/>
        </w:rPr>
        <w:t>ou les membres du Bureau du procureur de la Couronne</w:t>
      </w:r>
      <w:r w:rsidR="002C4535" w:rsidRPr="009C6218">
        <w:rPr>
          <w:lang w:val="fr-CA"/>
        </w:rPr>
        <w:t>.</w:t>
      </w:r>
    </w:p>
    <w:p w14:paraId="04F83048" w14:textId="1A96DB35" w:rsidR="002C4535" w:rsidRPr="009C6218" w:rsidRDefault="002C4535" w:rsidP="00F13B79">
      <w:pPr>
        <w:numPr>
          <w:ilvl w:val="0"/>
          <w:numId w:val="1"/>
        </w:numPr>
        <w:spacing w:after="200" w:line="276" w:lineRule="auto"/>
        <w:ind w:left="567" w:hanging="567"/>
        <w:rPr>
          <w:lang w:val="fr-CA"/>
        </w:rPr>
      </w:pPr>
      <w:r w:rsidRPr="009C6218">
        <w:rPr>
          <w:lang w:val="fr-CA"/>
        </w:rPr>
        <w:lastRenderedPageBreak/>
        <w:t xml:space="preserve"> </w:t>
      </w:r>
      <w:r w:rsidR="00EF4925" w:rsidRPr="009C6218">
        <w:rPr>
          <w:lang w:val="fr-CA"/>
        </w:rPr>
        <w:t xml:space="preserve">Enfin, un comité d’audition indépendant d’un tribunal décisionnel indépendant a été convoqué pour examiner les deux allégations et les éléments de preuve. </w:t>
      </w:r>
    </w:p>
    <w:p w14:paraId="4060E072" w14:textId="504687A1" w:rsidR="002C4535" w:rsidRPr="009C6218" w:rsidRDefault="00EF4925" w:rsidP="00F13B79">
      <w:pPr>
        <w:numPr>
          <w:ilvl w:val="0"/>
          <w:numId w:val="1"/>
        </w:numPr>
        <w:spacing w:after="200" w:line="276" w:lineRule="auto"/>
        <w:ind w:left="567" w:hanging="567"/>
        <w:rPr>
          <w:lang w:val="fr-CA"/>
        </w:rPr>
      </w:pPr>
      <w:r w:rsidRPr="009C6218">
        <w:rPr>
          <w:lang w:val="fr-CA"/>
        </w:rPr>
        <w:t xml:space="preserve">Nous adoptons l’argument présenté par l’avocat chargé </w:t>
      </w:r>
      <w:r w:rsidR="002C390C" w:rsidRPr="009C6218">
        <w:rPr>
          <w:rFonts w:eastAsia="Arial" w:cs="Times New Roman"/>
          <w:szCs w:val="22"/>
          <w:lang w:val="fr-CA"/>
        </w:rPr>
        <w:t xml:space="preserve">de la présentation </w:t>
      </w:r>
      <w:r w:rsidRPr="009C6218">
        <w:rPr>
          <w:lang w:val="fr-CA"/>
        </w:rPr>
        <w:t xml:space="preserve">que même </w:t>
      </w:r>
      <w:r w:rsidRPr="009C6218">
        <w:rPr>
          <w:i/>
          <w:lang w:val="fr-CA"/>
        </w:rPr>
        <w:t>si</w:t>
      </w:r>
      <w:r w:rsidRPr="009C6218">
        <w:rPr>
          <w:lang w:val="fr-CA"/>
        </w:rPr>
        <w:t xml:space="preserve"> on </w:t>
      </w:r>
      <w:r w:rsidRPr="00546FDB">
        <w:rPr>
          <w:i/>
          <w:lang w:val="fr-CA"/>
        </w:rPr>
        <w:t>pouvait</w:t>
      </w:r>
      <w:r w:rsidRPr="009C6218">
        <w:rPr>
          <w:lang w:val="fr-CA"/>
        </w:rPr>
        <w:t xml:space="preserve"> dire que la plainte initiale de l’</w:t>
      </w:r>
      <w:r w:rsidR="002C4535" w:rsidRPr="009C6218">
        <w:rPr>
          <w:lang w:val="fr-CA"/>
        </w:rPr>
        <w:t xml:space="preserve">OCAA </w:t>
      </w:r>
      <w:r w:rsidRPr="009C6218">
        <w:rPr>
          <w:lang w:val="fr-CA"/>
        </w:rPr>
        <w:t xml:space="preserve">ou de n’importe quel plaignant avait une motivation inappropriée, l’enquête indépendante menée sur chacune des trois plaintes et la décision subséquente du comité indépendant du Conseil d’évaluation de tenir une audience devant notre tribunal indépendant </w:t>
      </w:r>
      <w:r w:rsidR="00C23A12" w:rsidRPr="009C6218">
        <w:rPr>
          <w:lang w:val="fr-CA"/>
        </w:rPr>
        <w:t>protège l’instance contre toute attaque fondée sur un argument d’abus de procédure.</w:t>
      </w:r>
      <w:r w:rsidR="002C4535" w:rsidRPr="009C6218">
        <w:rPr>
          <w:lang w:val="fr-CA"/>
        </w:rPr>
        <w:t xml:space="preserve"> </w:t>
      </w:r>
      <w:r w:rsidR="00C23A12" w:rsidRPr="009C6218">
        <w:rPr>
          <w:lang w:val="fr-CA"/>
        </w:rPr>
        <w:t xml:space="preserve">Voir </w:t>
      </w:r>
      <w:r w:rsidR="006E404E" w:rsidRPr="009C6218">
        <w:rPr>
          <w:lang w:val="fr-CA"/>
        </w:rPr>
        <w:t>:</w:t>
      </w:r>
      <w:r w:rsidR="002C4535" w:rsidRPr="009C6218">
        <w:rPr>
          <w:rFonts w:eastAsia="Times New Roman"/>
          <w:bCs/>
          <w:color w:val="373739"/>
          <w:lang w:val="fr-CA" w:eastAsia="en-CA"/>
        </w:rPr>
        <w:t xml:space="preserve"> </w:t>
      </w:r>
      <w:r w:rsidR="002C4535" w:rsidRPr="009C6218">
        <w:rPr>
          <w:rFonts w:eastAsia="Times New Roman"/>
          <w:bCs/>
          <w:i/>
          <w:color w:val="373739"/>
          <w:lang w:val="fr-CA" w:eastAsia="en-CA"/>
        </w:rPr>
        <w:t>R. v. Finn</w:t>
      </w:r>
      <w:r w:rsidR="002C4535" w:rsidRPr="009C6218">
        <w:rPr>
          <w:rFonts w:eastAsia="Times New Roman"/>
          <w:bCs/>
          <w:color w:val="373739"/>
          <w:lang w:val="fr-CA" w:eastAsia="en-CA"/>
        </w:rPr>
        <w:t xml:space="preserve"> </w:t>
      </w:r>
      <w:r w:rsidR="002C4535" w:rsidRPr="009C6218">
        <w:rPr>
          <w:rStyle w:val="ssbf1"/>
          <w:b w:val="0"/>
          <w:lang w:val="fr-CA"/>
        </w:rPr>
        <w:t>[1996] N.J. No. 71, (C.A.) per Marshall, J</w:t>
      </w:r>
      <w:r w:rsidR="002C4535" w:rsidRPr="009C6218">
        <w:rPr>
          <w:rFonts w:eastAsia="Times New Roman"/>
          <w:bCs/>
          <w:color w:val="373739"/>
          <w:lang w:val="fr-CA" w:eastAsia="en-CA"/>
        </w:rPr>
        <w:t xml:space="preserve"> </w:t>
      </w:r>
      <w:r w:rsidR="00C23A12" w:rsidRPr="009C6218">
        <w:rPr>
          <w:rFonts w:eastAsia="Times New Roman"/>
          <w:bCs/>
          <w:color w:val="373739"/>
          <w:lang w:val="fr-CA" w:eastAsia="en-CA"/>
        </w:rPr>
        <w:t>au</w:t>
      </w:r>
      <w:r w:rsidR="002C4535" w:rsidRPr="009C6218">
        <w:rPr>
          <w:rFonts w:eastAsia="Times New Roman"/>
          <w:bCs/>
          <w:color w:val="373739"/>
          <w:lang w:val="fr-CA" w:eastAsia="en-CA"/>
        </w:rPr>
        <w:t xml:space="preserve"> para 37, </w:t>
      </w:r>
      <w:r w:rsidR="00C23A12" w:rsidRPr="009C6218">
        <w:rPr>
          <w:rFonts w:eastAsia="Times New Roman"/>
          <w:bCs/>
          <w:color w:val="373739"/>
          <w:lang w:val="fr-CA" w:eastAsia="en-CA"/>
        </w:rPr>
        <w:t>confirmé [1997] 1 R</w:t>
      </w:r>
      <w:r w:rsidR="002C4535" w:rsidRPr="009C6218">
        <w:rPr>
          <w:rFonts w:eastAsia="Times New Roman"/>
          <w:bCs/>
          <w:color w:val="373739"/>
          <w:lang w:val="fr-CA" w:eastAsia="en-CA"/>
        </w:rPr>
        <w:t>.C.</w:t>
      </w:r>
      <w:r w:rsidR="00C23A12" w:rsidRPr="009C6218">
        <w:rPr>
          <w:rFonts w:eastAsia="Times New Roman"/>
          <w:bCs/>
          <w:color w:val="373739"/>
          <w:lang w:val="fr-CA" w:eastAsia="en-CA"/>
        </w:rPr>
        <w:t>S</w:t>
      </w:r>
      <w:r w:rsidR="002C4535" w:rsidRPr="009C6218">
        <w:rPr>
          <w:rFonts w:eastAsia="Times New Roman"/>
          <w:bCs/>
          <w:color w:val="373739"/>
          <w:lang w:val="fr-CA" w:eastAsia="en-CA"/>
        </w:rPr>
        <w:t>. 10.</w:t>
      </w:r>
    </w:p>
    <w:p w14:paraId="2FD442EF" w14:textId="445A03AE" w:rsidR="008E3E10" w:rsidRPr="009C6218" w:rsidRDefault="00C23A12" w:rsidP="008E3E10">
      <w:pPr>
        <w:pStyle w:val="Style1"/>
        <w:spacing w:after="360"/>
        <w:rPr>
          <w:lang w:val="fr-CA"/>
        </w:rPr>
      </w:pPr>
      <w:bookmarkStart w:id="29" w:name="_Toc42946540"/>
      <w:r w:rsidRPr="009C6218">
        <w:rPr>
          <w:rFonts w:eastAsiaTheme="minorHAnsi"/>
          <w:lang w:val="fr-CA"/>
        </w:rPr>
        <w:t>Questions constitutionnelles</w:t>
      </w:r>
      <w:bookmarkEnd w:id="29"/>
    </w:p>
    <w:p w14:paraId="4FF518EB" w14:textId="17CA0C5F" w:rsidR="008E3E10" w:rsidRPr="009C6218" w:rsidRDefault="003D616F" w:rsidP="00CE2444">
      <w:pPr>
        <w:pStyle w:val="Heading3"/>
        <w:rPr>
          <w:rStyle w:val="Special2Char"/>
          <w:b/>
          <w:lang w:val="fr-CA"/>
        </w:rPr>
      </w:pPr>
      <w:bookmarkStart w:id="30" w:name="_Toc42946541"/>
      <w:r w:rsidRPr="009C6218">
        <w:rPr>
          <w:rStyle w:val="Special2Char"/>
          <w:b/>
          <w:lang w:val="fr-CA"/>
        </w:rPr>
        <w:t xml:space="preserve">Ingérence </w:t>
      </w:r>
      <w:r w:rsidR="00063079" w:rsidRPr="009C6218">
        <w:rPr>
          <w:rStyle w:val="Special2Char"/>
          <w:b/>
          <w:lang w:val="fr-CA"/>
        </w:rPr>
        <w:t>de l’</w:t>
      </w:r>
      <w:r w:rsidRPr="009C6218">
        <w:rPr>
          <w:rStyle w:val="Special2Char"/>
          <w:b/>
          <w:lang w:val="fr-CA"/>
        </w:rPr>
        <w:t>exécutif dans l’indépendance judiciaire</w:t>
      </w:r>
      <w:bookmarkEnd w:id="30"/>
      <w:r w:rsidRPr="009C6218">
        <w:rPr>
          <w:rStyle w:val="Special2Char"/>
          <w:b/>
          <w:lang w:val="fr-CA"/>
        </w:rPr>
        <w:t xml:space="preserve"> </w:t>
      </w:r>
    </w:p>
    <w:p w14:paraId="14803855" w14:textId="7CDD0D0C" w:rsidR="006E404E" w:rsidRPr="009C6218" w:rsidRDefault="00136703" w:rsidP="00F13B79">
      <w:pPr>
        <w:numPr>
          <w:ilvl w:val="0"/>
          <w:numId w:val="1"/>
        </w:numPr>
        <w:spacing w:after="200" w:line="276" w:lineRule="auto"/>
        <w:ind w:left="567" w:hanging="567"/>
        <w:rPr>
          <w:lang w:val="fr-CA"/>
        </w:rPr>
      </w:pPr>
      <w:r w:rsidRPr="009C6218">
        <w:rPr>
          <w:lang w:val="fr-CA"/>
        </w:rPr>
        <w:t xml:space="preserve">L’avocat de la juge de paix </w:t>
      </w:r>
      <w:r w:rsidR="00D15CAC" w:rsidRPr="009C6218">
        <w:rPr>
          <w:lang w:val="fr-CA"/>
        </w:rPr>
        <w:t xml:space="preserve">Lauzon </w:t>
      </w:r>
      <w:r w:rsidRPr="009C6218">
        <w:rPr>
          <w:rFonts w:eastAsia="Calibri"/>
          <w:color w:val="000000"/>
          <w:lang w:val="fr-CA"/>
        </w:rPr>
        <w:t>a déposé un Avis de question constitutionnelle</w:t>
      </w:r>
      <w:r w:rsidRPr="009C6218">
        <w:rPr>
          <w:lang w:val="fr-CA"/>
        </w:rPr>
        <w:t xml:space="preserve"> remettant en question l’applicabilité constitutionnelle des dispositions de la </w:t>
      </w:r>
      <w:r w:rsidRPr="009C6218">
        <w:rPr>
          <w:i/>
          <w:lang w:val="fr-CA"/>
        </w:rPr>
        <w:t>Loi sur les juges de paix</w:t>
      </w:r>
      <w:r w:rsidRPr="009C6218">
        <w:rPr>
          <w:lang w:val="fr-CA"/>
        </w:rPr>
        <w:t xml:space="preserve"> se rapportant à l’audience disciplinaire du Conseil d’évaluation. </w:t>
      </w:r>
      <w:r w:rsidR="003358A1" w:rsidRPr="009C6218">
        <w:rPr>
          <w:lang w:val="fr-CA"/>
        </w:rPr>
        <w:t xml:space="preserve">Le fondement juridique de la question constitutionnelle est l’affirmation de la juge de paix que le dépôt d’une plainte, par les procureures générales, qui a abouti à l’instance disciplinaire du Conseil d’évaluation, entrave fondamentalement son indépendance judiciaire et sa capacité de conduire ses dossiers et de prendre </w:t>
      </w:r>
      <w:r w:rsidR="00546FDB">
        <w:rPr>
          <w:lang w:val="fr-CA"/>
        </w:rPr>
        <w:t>d</w:t>
      </w:r>
      <w:r w:rsidR="003358A1" w:rsidRPr="009C6218">
        <w:rPr>
          <w:lang w:val="fr-CA"/>
        </w:rPr>
        <w:t xml:space="preserve">es décisions </w:t>
      </w:r>
      <w:r w:rsidR="00546FDB">
        <w:rPr>
          <w:lang w:val="fr-CA"/>
        </w:rPr>
        <w:t>comme elle l’estime indiqué</w:t>
      </w:r>
      <w:r w:rsidR="00180A0E" w:rsidRPr="009C6218">
        <w:rPr>
          <w:lang w:val="fr-CA"/>
        </w:rPr>
        <w:t>.</w:t>
      </w:r>
    </w:p>
    <w:p w14:paraId="2F7482CA" w14:textId="78718344" w:rsidR="00180A0E" w:rsidRPr="009C6218" w:rsidRDefault="00E708F0" w:rsidP="00F13B79">
      <w:pPr>
        <w:numPr>
          <w:ilvl w:val="0"/>
          <w:numId w:val="1"/>
        </w:numPr>
        <w:spacing w:after="200" w:line="276" w:lineRule="auto"/>
        <w:ind w:left="567" w:hanging="567"/>
        <w:rPr>
          <w:lang w:val="fr-CA"/>
        </w:rPr>
      </w:pPr>
      <w:r w:rsidRPr="009C6218">
        <w:rPr>
          <w:lang w:val="fr-CA"/>
        </w:rPr>
        <w:t>L’avocat de la juge de paix se demande aussi « </w:t>
      </w:r>
      <w:r w:rsidRPr="009C6218">
        <w:rPr>
          <w:rFonts w:eastAsia="Calibri"/>
          <w:color w:val="000000"/>
          <w:lang w:val="fr-CA"/>
        </w:rPr>
        <w:t>si, et dans quelle mesure, la juge de paix devrait être protégée contre l’influence externe de la procureure générale de l’Ontario et/ou de la procureure générale du Canada, qui pourrait être considérée comme minant sa capacité de rendre des décisions impartiales »</w:t>
      </w:r>
      <w:r w:rsidR="00180A0E" w:rsidRPr="009C6218">
        <w:rPr>
          <w:lang w:val="fr-CA"/>
        </w:rPr>
        <w:t>.</w:t>
      </w:r>
    </w:p>
    <w:p w14:paraId="0E948BFA" w14:textId="69BCB1A2" w:rsidR="00F64865" w:rsidRPr="009C6218" w:rsidRDefault="00596879" w:rsidP="00F13B79">
      <w:pPr>
        <w:numPr>
          <w:ilvl w:val="0"/>
          <w:numId w:val="1"/>
        </w:numPr>
        <w:spacing w:after="200" w:line="276" w:lineRule="auto"/>
        <w:ind w:left="567" w:hanging="567"/>
        <w:rPr>
          <w:lang w:val="fr-CA"/>
        </w:rPr>
      </w:pPr>
      <w:r w:rsidRPr="009C6218">
        <w:rPr>
          <w:lang w:val="fr-CA"/>
        </w:rPr>
        <w:t>L’intervenante, l’</w:t>
      </w:r>
      <w:r w:rsidR="00F64865" w:rsidRPr="009C6218">
        <w:rPr>
          <w:lang w:val="fr-CA"/>
        </w:rPr>
        <w:t xml:space="preserve">AJPO, </w:t>
      </w:r>
      <w:r w:rsidRPr="009C6218">
        <w:rPr>
          <w:lang w:val="fr-CA"/>
        </w:rPr>
        <w:t>a relevé le fait que parmi les trois pouvoirs du gouvernement, le judiciaire est le plus faible et le plus vulnérable aux attaques de l’exécutif</w:t>
      </w:r>
      <w:r w:rsidR="00F64865" w:rsidRPr="009C6218">
        <w:rPr>
          <w:lang w:val="fr-CA"/>
        </w:rPr>
        <w:t xml:space="preserve">, </w:t>
      </w:r>
      <w:r w:rsidRPr="009C6218">
        <w:rPr>
          <w:lang w:val="fr-CA"/>
        </w:rPr>
        <w:t>en particulier</w:t>
      </w:r>
      <w:r w:rsidR="00F64865" w:rsidRPr="009C6218">
        <w:rPr>
          <w:lang w:val="fr-CA"/>
        </w:rPr>
        <w:t xml:space="preserve">. </w:t>
      </w:r>
      <w:r w:rsidRPr="009C6218">
        <w:rPr>
          <w:lang w:val="fr-CA"/>
        </w:rPr>
        <w:t>Pour cette raison, l’</w:t>
      </w:r>
      <w:r w:rsidR="006D2320" w:rsidRPr="009C6218">
        <w:rPr>
          <w:lang w:val="fr-CA"/>
        </w:rPr>
        <w:t>AJPO</w:t>
      </w:r>
      <w:r w:rsidR="00F64865" w:rsidRPr="009C6218">
        <w:rPr>
          <w:lang w:val="fr-CA"/>
        </w:rPr>
        <w:t xml:space="preserve"> </w:t>
      </w:r>
      <w:r w:rsidRPr="009C6218">
        <w:rPr>
          <w:lang w:val="fr-CA"/>
        </w:rPr>
        <w:t>fait valoir que le judiciaire mérite une plus grande protection et que notre comité d’audition devrait en tenir compte dans son examen du bien-fondé des allégations</w:t>
      </w:r>
      <w:r w:rsidR="00F64865" w:rsidRPr="009C6218">
        <w:rPr>
          <w:lang w:val="fr-CA"/>
        </w:rPr>
        <w:t xml:space="preserve">. </w:t>
      </w:r>
    </w:p>
    <w:p w14:paraId="494B6DE2" w14:textId="17BB4E15" w:rsidR="000F2A63" w:rsidRPr="009C6218" w:rsidRDefault="00D34747" w:rsidP="00F13B79">
      <w:pPr>
        <w:numPr>
          <w:ilvl w:val="0"/>
          <w:numId w:val="1"/>
        </w:numPr>
        <w:spacing w:after="200" w:line="276" w:lineRule="auto"/>
        <w:ind w:left="567" w:hanging="567"/>
        <w:rPr>
          <w:lang w:val="fr-CA"/>
        </w:rPr>
      </w:pPr>
      <w:r w:rsidRPr="009C6218">
        <w:rPr>
          <w:lang w:val="fr-CA"/>
        </w:rPr>
        <w:t xml:space="preserve">L’avocat de la juge de paix ne demande plus une déclaration d’invalidité constitutionnelle. </w:t>
      </w:r>
      <w:r w:rsidR="00546FDB">
        <w:rPr>
          <w:lang w:val="fr-CA"/>
        </w:rPr>
        <w:t>Il</w:t>
      </w:r>
      <w:r w:rsidRPr="009C6218">
        <w:rPr>
          <w:lang w:val="fr-CA"/>
        </w:rPr>
        <w:t xml:space="preserve"> demande un arrêt des procédures en vertu du par. </w:t>
      </w:r>
      <w:r w:rsidR="00180A0E" w:rsidRPr="009C6218">
        <w:rPr>
          <w:lang w:val="fr-CA"/>
        </w:rPr>
        <w:t>24</w:t>
      </w:r>
      <w:r w:rsidRPr="009C6218">
        <w:rPr>
          <w:lang w:val="fr-CA"/>
        </w:rPr>
        <w:t> </w:t>
      </w:r>
      <w:r w:rsidR="00180A0E" w:rsidRPr="009C6218">
        <w:rPr>
          <w:lang w:val="fr-CA"/>
        </w:rPr>
        <w:t>(1)</w:t>
      </w:r>
      <w:r w:rsidR="000D6319" w:rsidRPr="009C6218">
        <w:rPr>
          <w:lang w:val="fr-CA"/>
        </w:rPr>
        <w:t xml:space="preserve"> </w:t>
      </w:r>
      <w:r w:rsidRPr="009C6218">
        <w:rPr>
          <w:lang w:val="fr-CA"/>
        </w:rPr>
        <w:t>de la Charte ou, subsidiairement, le rejet des allégations</w:t>
      </w:r>
      <w:r w:rsidR="00180A0E" w:rsidRPr="009C6218">
        <w:rPr>
          <w:lang w:val="fr-CA"/>
        </w:rPr>
        <w:t>.</w:t>
      </w:r>
    </w:p>
    <w:p w14:paraId="50CFE03A" w14:textId="026FBFC6" w:rsidR="00180A0E" w:rsidRPr="009C6218" w:rsidRDefault="00D34747" w:rsidP="00F13B79">
      <w:pPr>
        <w:numPr>
          <w:ilvl w:val="0"/>
          <w:numId w:val="1"/>
        </w:numPr>
        <w:spacing w:after="200" w:line="276" w:lineRule="auto"/>
        <w:ind w:left="567" w:hanging="567"/>
        <w:rPr>
          <w:lang w:val="fr-CA"/>
        </w:rPr>
      </w:pPr>
      <w:r w:rsidRPr="009C6218">
        <w:rPr>
          <w:lang w:val="fr-CA"/>
        </w:rPr>
        <w:lastRenderedPageBreak/>
        <w:t xml:space="preserve">L’avocat chargé </w:t>
      </w:r>
      <w:r w:rsidR="002C390C" w:rsidRPr="009C6218">
        <w:rPr>
          <w:rFonts w:eastAsia="Arial" w:cs="Times New Roman"/>
          <w:szCs w:val="22"/>
          <w:lang w:val="fr-CA"/>
        </w:rPr>
        <w:t xml:space="preserve">de la présentation </w:t>
      </w:r>
      <w:r w:rsidRPr="009C6218">
        <w:rPr>
          <w:lang w:val="fr-CA"/>
        </w:rPr>
        <w:t xml:space="preserve">et l’avocat de la procureure générale de l’Ontario, une intervenante dans l’instance, ont tous deux soutenu dans des observations que la question constitutionnelle n’était pas fondée et que la position de la juge de paix était </w:t>
      </w:r>
      <w:r w:rsidRPr="00546FDB">
        <w:rPr>
          <w:lang w:val="fr-CA"/>
        </w:rPr>
        <w:t xml:space="preserve">contraire à </w:t>
      </w:r>
      <w:r w:rsidR="00546FDB" w:rsidRPr="00546FDB">
        <w:rPr>
          <w:lang w:val="fr-CA"/>
        </w:rPr>
        <w:t>une</w:t>
      </w:r>
      <w:r w:rsidR="008128BB" w:rsidRPr="00546FDB">
        <w:rPr>
          <w:lang w:val="fr-CA"/>
        </w:rPr>
        <w:t xml:space="preserve"> </w:t>
      </w:r>
      <w:r w:rsidR="00546FDB" w:rsidRPr="00546FDB">
        <w:rPr>
          <w:lang w:val="fr-CA"/>
        </w:rPr>
        <w:t xml:space="preserve">valeur contraignante </w:t>
      </w:r>
      <w:r w:rsidR="00546FDB">
        <w:rPr>
          <w:lang w:val="fr-CA"/>
        </w:rPr>
        <w:t>bien établie</w:t>
      </w:r>
      <w:r w:rsidR="008128BB" w:rsidRPr="00546FDB">
        <w:rPr>
          <w:lang w:val="fr-CA"/>
        </w:rPr>
        <w:t>. Elle</w:t>
      </w:r>
      <w:r w:rsidR="008128BB" w:rsidRPr="009C6218">
        <w:rPr>
          <w:lang w:val="fr-CA"/>
        </w:rPr>
        <w:t xml:space="preserve"> ignore en plus la dualité du rôle d’un procureur général : premièrement </w:t>
      </w:r>
      <w:r w:rsidR="00546FDB">
        <w:rPr>
          <w:lang w:val="fr-CA"/>
        </w:rPr>
        <w:t>celui</w:t>
      </w:r>
      <w:r w:rsidR="008128BB" w:rsidRPr="009C6218">
        <w:rPr>
          <w:lang w:val="fr-CA"/>
        </w:rPr>
        <w:t xml:space="preserve"> d’avocat en chef de la province et deuxièmement </w:t>
      </w:r>
      <w:r w:rsidR="00546FDB">
        <w:rPr>
          <w:lang w:val="fr-CA"/>
        </w:rPr>
        <w:t xml:space="preserve">celui </w:t>
      </w:r>
      <w:r w:rsidR="008128BB" w:rsidRPr="009C6218">
        <w:rPr>
          <w:lang w:val="fr-CA"/>
        </w:rPr>
        <w:t xml:space="preserve">de membre de l’exécutif. Nous sommes d’accord avec ces observations. </w:t>
      </w:r>
    </w:p>
    <w:p w14:paraId="30161B58" w14:textId="160F70B6" w:rsidR="00D415A3" w:rsidRPr="009C6218" w:rsidRDefault="008128BB" w:rsidP="00F13B79">
      <w:pPr>
        <w:numPr>
          <w:ilvl w:val="0"/>
          <w:numId w:val="1"/>
        </w:numPr>
        <w:spacing w:after="200" w:line="276" w:lineRule="auto"/>
        <w:ind w:left="567" w:hanging="567"/>
        <w:rPr>
          <w:lang w:val="fr-CA"/>
        </w:rPr>
      </w:pPr>
      <w:r w:rsidRPr="009C6218">
        <w:rPr>
          <w:lang w:val="fr-CA"/>
        </w:rPr>
        <w:t>L’examen de la jurisprudence pertinente confirme que la question est une affaire bien établie en droit</w:t>
      </w:r>
      <w:r w:rsidR="00D415A3" w:rsidRPr="009C6218">
        <w:rPr>
          <w:lang w:val="fr-CA"/>
        </w:rPr>
        <w:t>.</w:t>
      </w:r>
    </w:p>
    <w:p w14:paraId="0672750E" w14:textId="4401A002" w:rsidR="00D415A3" w:rsidRPr="009C6218" w:rsidRDefault="008128BB" w:rsidP="00F13B79">
      <w:pPr>
        <w:numPr>
          <w:ilvl w:val="0"/>
          <w:numId w:val="1"/>
        </w:numPr>
        <w:spacing w:after="200" w:line="276" w:lineRule="auto"/>
        <w:ind w:left="567" w:hanging="567"/>
        <w:rPr>
          <w:lang w:val="fr-CA"/>
        </w:rPr>
      </w:pPr>
      <w:r w:rsidRPr="009C6218">
        <w:rPr>
          <w:lang w:val="fr-CA"/>
        </w:rPr>
        <w:t>Dans l’affaire</w:t>
      </w:r>
      <w:r w:rsidR="00D415A3" w:rsidRPr="009C6218">
        <w:rPr>
          <w:lang w:val="fr-CA"/>
        </w:rPr>
        <w:t xml:space="preserve"> </w:t>
      </w:r>
      <w:proofErr w:type="spellStart"/>
      <w:r w:rsidR="00D415A3" w:rsidRPr="009C6218">
        <w:rPr>
          <w:i/>
          <w:lang w:val="fr-CA"/>
        </w:rPr>
        <w:t>Cosgrove</w:t>
      </w:r>
      <w:proofErr w:type="spellEnd"/>
      <w:r w:rsidR="00D415A3" w:rsidRPr="009C6218">
        <w:rPr>
          <w:lang w:val="fr-CA"/>
        </w:rPr>
        <w:t xml:space="preserve">, </w:t>
      </w:r>
      <w:r w:rsidR="00D415A3" w:rsidRPr="009C6218">
        <w:rPr>
          <w:i/>
          <w:lang w:val="fr-CA"/>
        </w:rPr>
        <w:t>infra</w:t>
      </w:r>
      <w:r w:rsidR="00D415A3" w:rsidRPr="009C6218">
        <w:rPr>
          <w:lang w:val="fr-CA"/>
        </w:rPr>
        <w:t xml:space="preserve">, </w:t>
      </w:r>
      <w:r w:rsidRPr="009C6218">
        <w:rPr>
          <w:lang w:val="fr-CA"/>
        </w:rPr>
        <w:t xml:space="preserve">la Cour d’appel fédérale a tranché cette même question, bien que la disposition législative pertinente fût une disposition de la </w:t>
      </w:r>
      <w:r w:rsidRPr="009C6218">
        <w:rPr>
          <w:i/>
          <w:lang w:val="fr-CA"/>
        </w:rPr>
        <w:t>Loi sur les juges</w:t>
      </w:r>
      <w:r w:rsidRPr="009C6218">
        <w:rPr>
          <w:lang w:val="fr-CA"/>
        </w:rPr>
        <w:t>, qui habilite les procureurs généraux provinciaux à exiger du Conseil canadien de la magistrature qu’ils lancent une enquête sur la conduite d’un juge nommé par le fédéral</w:t>
      </w:r>
      <w:r w:rsidR="00D415A3" w:rsidRPr="009C6218">
        <w:rPr>
          <w:rStyle w:val="FootnoteReference"/>
          <w:lang w:val="fr-CA"/>
        </w:rPr>
        <w:footnoteReference w:id="33"/>
      </w:r>
      <w:r w:rsidRPr="009C6218">
        <w:rPr>
          <w:lang w:val="fr-CA"/>
        </w:rPr>
        <w:t>.</w:t>
      </w:r>
      <w:r w:rsidR="00D415A3" w:rsidRPr="009C6218">
        <w:rPr>
          <w:lang w:val="fr-CA"/>
        </w:rPr>
        <w:t xml:space="preserve"> </w:t>
      </w:r>
      <w:r w:rsidRPr="009C6218">
        <w:rPr>
          <w:lang w:val="fr-CA"/>
        </w:rPr>
        <w:t xml:space="preserve">La Cour a conclu que la disposition applicable était constitutionnelle. </w:t>
      </w:r>
    </w:p>
    <w:p w14:paraId="0B5E4D1E" w14:textId="4BF0F38A" w:rsidR="00D45721" w:rsidRPr="009C6218" w:rsidRDefault="002175CE" w:rsidP="00F13B79">
      <w:pPr>
        <w:numPr>
          <w:ilvl w:val="0"/>
          <w:numId w:val="1"/>
        </w:numPr>
        <w:spacing w:after="200" w:line="276" w:lineRule="auto"/>
        <w:ind w:left="567" w:hanging="567"/>
        <w:rPr>
          <w:lang w:val="fr-CA"/>
        </w:rPr>
      </w:pPr>
      <w:r w:rsidRPr="009C6218">
        <w:rPr>
          <w:lang w:val="fr-CA"/>
        </w:rPr>
        <w:t xml:space="preserve">De même, l’article </w:t>
      </w:r>
      <w:r w:rsidR="00D45721" w:rsidRPr="009C6218">
        <w:rPr>
          <w:lang w:val="fr-CA"/>
        </w:rPr>
        <w:t>10</w:t>
      </w:r>
      <w:r w:rsidR="0008491F" w:rsidRPr="009C6218">
        <w:rPr>
          <w:lang w:val="fr-CA"/>
        </w:rPr>
        <w:t>.2</w:t>
      </w:r>
      <w:r w:rsidR="00D45721" w:rsidRPr="009C6218">
        <w:rPr>
          <w:lang w:val="fr-CA"/>
        </w:rPr>
        <w:t xml:space="preserve"> </w:t>
      </w:r>
      <w:r w:rsidRPr="009C6218">
        <w:rPr>
          <w:lang w:val="fr-CA"/>
        </w:rPr>
        <w:t xml:space="preserve">de la </w:t>
      </w:r>
      <w:r w:rsidRPr="009C6218">
        <w:rPr>
          <w:i/>
          <w:lang w:val="fr-CA"/>
        </w:rPr>
        <w:t>Loi sur les juges de paix</w:t>
      </w:r>
      <w:r w:rsidRPr="009C6218">
        <w:rPr>
          <w:lang w:val="fr-CA"/>
        </w:rPr>
        <w:t xml:space="preserve"> autorise « toute personne », ce qui inclut un procureur général, à déposer une plainte exigeant que le Conseil d’évaluation lance une enquête sur la conduite d’un juge de paix. </w:t>
      </w:r>
    </w:p>
    <w:p w14:paraId="60D0F818" w14:textId="0753A929" w:rsidR="00D45721" w:rsidRPr="009C6218" w:rsidRDefault="00E95C8E" w:rsidP="00A01EE4">
      <w:pPr>
        <w:numPr>
          <w:ilvl w:val="0"/>
          <w:numId w:val="1"/>
        </w:numPr>
        <w:spacing w:after="200" w:line="276" w:lineRule="auto"/>
        <w:ind w:left="567" w:hanging="567"/>
        <w:rPr>
          <w:lang w:val="fr-CA"/>
        </w:rPr>
      </w:pPr>
      <w:r w:rsidRPr="009C6218">
        <w:rPr>
          <w:lang w:val="fr-CA"/>
        </w:rPr>
        <w:t xml:space="preserve">Dans l’affaire </w:t>
      </w:r>
      <w:proofErr w:type="spellStart"/>
      <w:r w:rsidRPr="009C6218">
        <w:rPr>
          <w:i/>
          <w:lang w:val="fr-CA"/>
        </w:rPr>
        <w:t>Cosgrove</w:t>
      </w:r>
      <w:proofErr w:type="spellEnd"/>
      <w:r w:rsidRPr="009C6218">
        <w:rPr>
          <w:lang w:val="fr-CA"/>
        </w:rPr>
        <w:t>, la Cour a reconnu que l'indépendance judiciaire est essentielle pour garantir la primauté du droi</w:t>
      </w:r>
      <w:r w:rsidR="00757EFE" w:rsidRPr="009C6218">
        <w:rPr>
          <w:lang w:val="fr-CA"/>
        </w:rPr>
        <w:t xml:space="preserve">t dans une société démocratique, tout en relevant que l'indépendance judiciaire est un droit fondamental des justiciables, et non des juges, qui leur garantit que les juges </w:t>
      </w:r>
      <w:r w:rsidR="00546FDB">
        <w:rPr>
          <w:lang w:val="fr-CA"/>
        </w:rPr>
        <w:t xml:space="preserve">se </w:t>
      </w:r>
      <w:r w:rsidR="00757EFE" w:rsidRPr="009C6218">
        <w:rPr>
          <w:lang w:val="fr-CA"/>
        </w:rPr>
        <w:t>prononceront sur les causes dont ils sont saisis à l'abri de toute ingérence, réelle ou apparente, notamment de l'ingérence de quiconque représent</w:t>
      </w:r>
      <w:r w:rsidR="00546FDB">
        <w:rPr>
          <w:lang w:val="fr-CA"/>
        </w:rPr>
        <w:t>e</w:t>
      </w:r>
      <w:r w:rsidR="00757EFE" w:rsidRPr="009C6218">
        <w:rPr>
          <w:lang w:val="fr-CA"/>
        </w:rPr>
        <w:t xml:space="preserve"> le pouvoir exécutif ou le pouvoir législatif</w:t>
      </w:r>
      <w:r w:rsidR="00934436" w:rsidRPr="009C6218">
        <w:rPr>
          <w:lang w:val="fr-CA"/>
        </w:rPr>
        <w:t xml:space="preserve">. </w:t>
      </w:r>
      <w:r w:rsidR="00A01EE4" w:rsidRPr="009C6218">
        <w:rPr>
          <w:lang w:val="fr-CA"/>
        </w:rPr>
        <w:t>La Cour a aussi fait observer que l’indépendance judiciaire n’est pas absolue et que « l'indépendance judiciaire ne veut pas dire que la conduite des juges est à l'abri du droit de regard du pouvoir législatif ou du pouvoir exécutif »</w:t>
      </w:r>
      <w:r w:rsidR="00D45721" w:rsidRPr="009C6218">
        <w:rPr>
          <w:lang w:val="fr-CA"/>
        </w:rPr>
        <w:t xml:space="preserve">. </w:t>
      </w:r>
      <w:r w:rsidR="00A01EE4" w:rsidRPr="009C6218">
        <w:rPr>
          <w:lang w:val="fr-CA"/>
        </w:rPr>
        <w:t>Au contraire, ce droit de regard est « conforme aux principes constitutionnels canadiens que les procureurs généraux des provinces prennent part à l'examen de la conduite des juges »</w:t>
      </w:r>
      <w:r w:rsidR="00D45721" w:rsidRPr="009C6218">
        <w:rPr>
          <w:lang w:val="fr-CA"/>
        </w:rPr>
        <w:t>.</w:t>
      </w:r>
    </w:p>
    <w:p w14:paraId="53773FC2" w14:textId="44E13AF0" w:rsidR="000F2A63" w:rsidRPr="009C6218" w:rsidRDefault="00FD240F" w:rsidP="0033394C">
      <w:pPr>
        <w:numPr>
          <w:ilvl w:val="0"/>
          <w:numId w:val="1"/>
        </w:numPr>
        <w:spacing w:after="200" w:line="276" w:lineRule="auto"/>
        <w:ind w:left="567" w:hanging="567"/>
        <w:rPr>
          <w:lang w:val="fr-CA"/>
        </w:rPr>
      </w:pPr>
      <w:r w:rsidRPr="009C6218">
        <w:rPr>
          <w:lang w:val="fr-CA"/>
        </w:rPr>
        <w:t xml:space="preserve">Dans l’arrêt </w:t>
      </w:r>
      <w:r w:rsidRPr="009C6218">
        <w:rPr>
          <w:i/>
          <w:lang w:val="fr-CA"/>
        </w:rPr>
        <w:t xml:space="preserve">Moreau-Bérubé </w:t>
      </w:r>
      <w:r w:rsidR="0033394C" w:rsidRPr="009C6218">
        <w:rPr>
          <w:i/>
          <w:lang w:val="fr-CA"/>
        </w:rPr>
        <w:t>c</w:t>
      </w:r>
      <w:r w:rsidRPr="009C6218">
        <w:rPr>
          <w:i/>
          <w:lang w:val="fr-CA"/>
        </w:rPr>
        <w:t xml:space="preserve">. </w:t>
      </w:r>
      <w:r w:rsidR="0033394C" w:rsidRPr="009C6218">
        <w:rPr>
          <w:i/>
          <w:lang w:val="fr-CA"/>
        </w:rPr>
        <w:t>Nouveau-Brunswick (Conseil de la magistrature)</w:t>
      </w:r>
      <w:r w:rsidRPr="009C6218">
        <w:rPr>
          <w:i/>
          <w:lang w:val="fr-CA"/>
        </w:rPr>
        <w:t>,</w:t>
      </w:r>
      <w:r w:rsidRPr="009C6218">
        <w:rPr>
          <w:lang w:val="fr-CA"/>
        </w:rPr>
        <w:t xml:space="preserve"> la Cour suprême du Canada a précisé </w:t>
      </w:r>
      <w:r w:rsidR="0033394C" w:rsidRPr="009C6218">
        <w:rPr>
          <w:lang w:val="fr-CA"/>
        </w:rPr>
        <w:t xml:space="preserve">qu’il y aura inévitablement des cas où les actes d’un juge seront remis en question. La Cour a reconnu que pour examiner la conduite d’un juge, il faudra imposer une certaine restriction à l’indépendance </w:t>
      </w:r>
      <w:r w:rsidR="0033394C" w:rsidRPr="009C6218">
        <w:rPr>
          <w:lang w:val="fr-CA"/>
        </w:rPr>
        <w:lastRenderedPageBreak/>
        <w:t>judiciaire et que cette restriction à l'indépendance judiciaire trouve sa justification dans l'objectif de protéger l'intégrité de la magistrature dans son ensemble</w:t>
      </w:r>
      <w:r w:rsidR="000F2A63" w:rsidRPr="009C6218">
        <w:rPr>
          <w:rStyle w:val="FootnoteReference"/>
          <w:lang w:val="fr-CA"/>
        </w:rPr>
        <w:footnoteReference w:id="34"/>
      </w:r>
      <w:r w:rsidR="0033394C" w:rsidRPr="009C6218">
        <w:rPr>
          <w:lang w:val="fr-CA"/>
        </w:rPr>
        <w:t>.</w:t>
      </w:r>
    </w:p>
    <w:p w14:paraId="6D4C06B1" w14:textId="7715FEFF" w:rsidR="006E404E" w:rsidRPr="009C6218" w:rsidRDefault="00104C33" w:rsidP="00104C33">
      <w:pPr>
        <w:numPr>
          <w:ilvl w:val="0"/>
          <w:numId w:val="1"/>
        </w:numPr>
        <w:spacing w:after="200" w:line="276" w:lineRule="auto"/>
        <w:ind w:left="567" w:hanging="567"/>
        <w:rPr>
          <w:lang w:val="fr-CA"/>
        </w:rPr>
      </w:pPr>
      <w:r w:rsidRPr="009C6218">
        <w:rPr>
          <w:lang w:val="fr-CA"/>
        </w:rPr>
        <w:t xml:space="preserve">Quant au rôle double du procureur général, le procureur général de l’Ontario a deux fonctions. Premièrement, la responsabilité constitutionnelle de superviser l’administration de la justice et de maintenir la confiance du public dans la primauté du droit. Deuxièmement, la participation au pouvoir exécutif du gouvernement. </w:t>
      </w:r>
    </w:p>
    <w:p w14:paraId="18A9A84B" w14:textId="756E7A97" w:rsidR="006E404E" w:rsidRPr="009C6218" w:rsidRDefault="00834112" w:rsidP="00F13B79">
      <w:pPr>
        <w:numPr>
          <w:ilvl w:val="0"/>
          <w:numId w:val="1"/>
        </w:numPr>
        <w:spacing w:after="200" w:line="276" w:lineRule="auto"/>
        <w:ind w:left="567" w:hanging="567"/>
        <w:rPr>
          <w:lang w:val="fr-CA"/>
        </w:rPr>
      </w:pPr>
      <w:r w:rsidRPr="009C6218">
        <w:rPr>
          <w:lang w:val="fr-CA"/>
        </w:rPr>
        <w:t xml:space="preserve">L’une des mesures adoptées pour protéger l’indépendance judiciaire est un processus de plaintes par lequel des plaintes au sujet d’une inconduite judiciaire présumée sont tranchées d’une manière équitable et impartiale par un tribunal décisionnel indépendant, composé principalement d’officiers de justice. </w:t>
      </w:r>
    </w:p>
    <w:p w14:paraId="77C016FA" w14:textId="3C7EB31E" w:rsidR="006E404E" w:rsidRPr="009C6218" w:rsidRDefault="007D5B1D" w:rsidP="00F13B79">
      <w:pPr>
        <w:numPr>
          <w:ilvl w:val="0"/>
          <w:numId w:val="1"/>
        </w:numPr>
        <w:spacing w:after="200" w:line="276" w:lineRule="auto"/>
        <w:ind w:left="567" w:hanging="567"/>
        <w:rPr>
          <w:lang w:val="fr-CA"/>
        </w:rPr>
      </w:pPr>
      <w:r w:rsidRPr="009C6218">
        <w:rPr>
          <w:lang w:val="fr-CA"/>
        </w:rPr>
        <w:t xml:space="preserve">Nous estimons que cette description s’applique au processus de plaintes du Conseil d’évaluation établi en vertu de la </w:t>
      </w:r>
      <w:r w:rsidRPr="00CD045E">
        <w:rPr>
          <w:i/>
          <w:lang w:val="fr-CA"/>
        </w:rPr>
        <w:t>Loi sur les juges de paix</w:t>
      </w:r>
      <w:r w:rsidRPr="009C6218">
        <w:rPr>
          <w:lang w:val="fr-CA"/>
        </w:rPr>
        <w:t xml:space="preserve"> et relevons qu’avant </w:t>
      </w:r>
      <w:r w:rsidR="00CD045E">
        <w:rPr>
          <w:lang w:val="fr-CA"/>
        </w:rPr>
        <w:t xml:space="preserve">notre </w:t>
      </w:r>
      <w:r w:rsidRPr="009C6218">
        <w:rPr>
          <w:lang w:val="fr-CA"/>
        </w:rPr>
        <w:t>audience</w:t>
      </w:r>
      <w:r w:rsidR="00776713">
        <w:rPr>
          <w:lang w:val="fr-CA"/>
        </w:rPr>
        <w:t>,</w:t>
      </w:r>
      <w:r w:rsidRPr="009C6218">
        <w:rPr>
          <w:lang w:val="fr-CA"/>
        </w:rPr>
        <w:t xml:space="preserve"> une enquête indépendante des plaintes puis un comité indépendan</w:t>
      </w:r>
      <w:r w:rsidR="00776713">
        <w:rPr>
          <w:lang w:val="fr-CA"/>
        </w:rPr>
        <w:t>t</w:t>
      </w:r>
      <w:r w:rsidRPr="009C6218">
        <w:rPr>
          <w:lang w:val="fr-CA"/>
        </w:rPr>
        <w:t xml:space="preserve"> se sont prononcés sur la question de savoir si les plaintes contre la juge de paix méritaient la tenue d’une audience. Enfin, les allégations ont été entendues par un tribunal indépendant</w:t>
      </w:r>
      <w:r w:rsidR="006D2320" w:rsidRPr="009C6218">
        <w:rPr>
          <w:lang w:val="fr-CA"/>
        </w:rPr>
        <w:t>.</w:t>
      </w:r>
    </w:p>
    <w:p w14:paraId="758D2DAB" w14:textId="0DAE3365" w:rsidR="006D6561" w:rsidRPr="009C6218" w:rsidRDefault="00F42AA9" w:rsidP="00F13B79">
      <w:pPr>
        <w:numPr>
          <w:ilvl w:val="0"/>
          <w:numId w:val="1"/>
        </w:numPr>
        <w:spacing w:after="200" w:line="276" w:lineRule="auto"/>
        <w:ind w:left="567" w:hanging="567"/>
        <w:rPr>
          <w:b/>
          <w:lang w:val="fr-CA"/>
        </w:rPr>
      </w:pPr>
      <w:r w:rsidRPr="009C6218">
        <w:rPr>
          <w:lang w:val="fr-CA"/>
        </w:rPr>
        <w:t xml:space="preserve">En conséquence, notre comité d’audition conclut que le dépôt de la plainte par la procureure générale est constitutionnel. Il ne constitue pas une ingérence inappropriée ou arbitraire dans l’indépendance judiciaire de la juge de paix. Il s’agit, comme la Cour suprême du Canada l’a déclaré dans l’arrêt </w:t>
      </w:r>
      <w:r w:rsidR="008D2EBF" w:rsidRPr="009C6218">
        <w:rPr>
          <w:i/>
          <w:lang w:val="fr-CA"/>
        </w:rPr>
        <w:t xml:space="preserve">Moreau-Bérubé, </w:t>
      </w:r>
      <w:r w:rsidRPr="009C6218">
        <w:rPr>
          <w:lang w:val="fr-CA"/>
        </w:rPr>
        <w:t xml:space="preserve">d’une restriction nécessaire à l’indépendance judiciaire. </w:t>
      </w:r>
    </w:p>
    <w:p w14:paraId="11B279CC" w14:textId="6FF07097" w:rsidR="00970115" w:rsidRPr="009C6218" w:rsidRDefault="00970115">
      <w:pPr>
        <w:rPr>
          <w:b/>
          <w:lang w:val="fr-CA"/>
        </w:rPr>
      </w:pPr>
    </w:p>
    <w:p w14:paraId="3AB771F2" w14:textId="7BDC2F7A" w:rsidR="006E404E" w:rsidRPr="009C6218" w:rsidRDefault="007A346D" w:rsidP="00CE2444">
      <w:pPr>
        <w:pStyle w:val="Heading3"/>
        <w:rPr>
          <w:rStyle w:val="Special2Char"/>
          <w:lang w:val="fr-CA"/>
        </w:rPr>
      </w:pPr>
      <w:bookmarkStart w:id="31" w:name="_Toc42946542"/>
      <w:r w:rsidRPr="009C6218">
        <w:rPr>
          <w:rStyle w:val="Special2Char"/>
          <w:b/>
          <w:lang w:val="fr-CA"/>
        </w:rPr>
        <w:t>Alinéa</w:t>
      </w:r>
      <w:r w:rsidR="006E404E" w:rsidRPr="009C6218">
        <w:rPr>
          <w:rStyle w:val="Special2Char"/>
          <w:b/>
          <w:lang w:val="fr-CA"/>
        </w:rPr>
        <w:t xml:space="preserve"> 2</w:t>
      </w:r>
      <w:r w:rsidR="00922997" w:rsidRPr="009C6218">
        <w:rPr>
          <w:rStyle w:val="Special2Char"/>
          <w:b/>
          <w:lang w:val="fr-CA"/>
        </w:rPr>
        <w:t> </w:t>
      </w:r>
      <w:r w:rsidR="00113CAB" w:rsidRPr="009C6218">
        <w:rPr>
          <w:rStyle w:val="Special2Char"/>
          <w:b/>
          <w:lang w:val="fr-CA"/>
        </w:rPr>
        <w:t>b)</w:t>
      </w:r>
      <w:r w:rsidR="006E404E" w:rsidRPr="009C6218">
        <w:rPr>
          <w:rStyle w:val="Special2Char"/>
          <w:b/>
          <w:lang w:val="fr-CA"/>
        </w:rPr>
        <w:t xml:space="preserve"> </w:t>
      </w:r>
      <w:r w:rsidRPr="009C6218">
        <w:rPr>
          <w:rStyle w:val="Special2Char"/>
          <w:b/>
          <w:lang w:val="fr-CA"/>
        </w:rPr>
        <w:t>de la Charte</w:t>
      </w:r>
      <w:r w:rsidR="006E404E" w:rsidRPr="009C6218">
        <w:rPr>
          <w:rStyle w:val="Special2Char"/>
          <w:b/>
          <w:lang w:val="fr-CA"/>
        </w:rPr>
        <w:t xml:space="preserve"> </w:t>
      </w:r>
      <w:r w:rsidRPr="009C6218">
        <w:rPr>
          <w:rStyle w:val="Special2Char"/>
          <w:b/>
          <w:lang w:val="fr-CA"/>
        </w:rPr>
        <w:t>– Liberté d’expression</w:t>
      </w:r>
      <w:bookmarkEnd w:id="31"/>
      <w:r w:rsidRPr="009C6218">
        <w:rPr>
          <w:rStyle w:val="Special2Char"/>
          <w:b/>
          <w:lang w:val="fr-CA"/>
        </w:rPr>
        <w:t xml:space="preserve"> </w:t>
      </w:r>
    </w:p>
    <w:p w14:paraId="61CE81F6" w14:textId="110375E7" w:rsidR="00A67ACE" w:rsidRPr="009C6218" w:rsidRDefault="00922997" w:rsidP="00F13B79">
      <w:pPr>
        <w:numPr>
          <w:ilvl w:val="0"/>
          <w:numId w:val="1"/>
        </w:numPr>
        <w:spacing w:after="200" w:line="276" w:lineRule="auto"/>
        <w:ind w:left="567" w:hanging="567"/>
        <w:rPr>
          <w:lang w:val="fr-CA"/>
        </w:rPr>
      </w:pPr>
      <w:r w:rsidRPr="009C6218">
        <w:rPr>
          <w:lang w:val="fr-CA"/>
        </w:rPr>
        <w:t xml:space="preserve">L’avocat de la juge de paix </w:t>
      </w:r>
      <w:r w:rsidR="00A67ACE" w:rsidRPr="009C6218">
        <w:rPr>
          <w:lang w:val="fr-CA"/>
        </w:rPr>
        <w:t xml:space="preserve">Lauzon </w:t>
      </w:r>
      <w:r w:rsidRPr="009C6218">
        <w:rPr>
          <w:lang w:val="fr-CA"/>
        </w:rPr>
        <w:t xml:space="preserve">a déposé un Avis de question constitutionnelle remettant en question l’applicabilité constitutionnelle des dispositions de la </w:t>
      </w:r>
      <w:r w:rsidRPr="009C6218">
        <w:rPr>
          <w:i/>
          <w:lang w:val="fr-CA"/>
        </w:rPr>
        <w:t>Loi sur les juges de paix</w:t>
      </w:r>
      <w:r w:rsidRPr="009C6218">
        <w:rPr>
          <w:lang w:val="fr-CA"/>
        </w:rPr>
        <w:t xml:space="preserve"> se rapportant à l’audience disciplinaire du Conseil d’évaluation</w:t>
      </w:r>
      <w:r w:rsidR="00CC18B0" w:rsidRPr="009C6218">
        <w:rPr>
          <w:i/>
          <w:lang w:val="fr-CA"/>
        </w:rPr>
        <w:t>,</w:t>
      </w:r>
      <w:r w:rsidR="00D9316F" w:rsidRPr="009C6218">
        <w:rPr>
          <w:i/>
          <w:lang w:val="fr-CA"/>
        </w:rPr>
        <w:t xml:space="preserve"> </w:t>
      </w:r>
      <w:r w:rsidRPr="009C6218">
        <w:rPr>
          <w:lang w:val="fr-CA"/>
        </w:rPr>
        <w:t>étant donné la garantie de liberté d’expression protégée par l’alinéa 2 </w:t>
      </w:r>
      <w:r w:rsidR="00A67ACE" w:rsidRPr="009C6218">
        <w:rPr>
          <w:lang w:val="fr-CA"/>
        </w:rPr>
        <w:t xml:space="preserve">b) </w:t>
      </w:r>
      <w:r w:rsidRPr="009C6218">
        <w:rPr>
          <w:lang w:val="fr-CA"/>
        </w:rPr>
        <w:t xml:space="preserve">de la Charte. Un recours est demandé en vertu du paragraphe </w:t>
      </w:r>
      <w:r w:rsidR="00A67ACE" w:rsidRPr="009C6218">
        <w:rPr>
          <w:lang w:val="fr-CA"/>
        </w:rPr>
        <w:t>24</w:t>
      </w:r>
      <w:r w:rsidRPr="009C6218">
        <w:rPr>
          <w:lang w:val="fr-CA"/>
        </w:rPr>
        <w:t xml:space="preserve"> </w:t>
      </w:r>
      <w:r w:rsidR="00A67ACE" w:rsidRPr="009C6218">
        <w:rPr>
          <w:lang w:val="fr-CA"/>
        </w:rPr>
        <w:t xml:space="preserve">(1) </w:t>
      </w:r>
      <w:r w:rsidRPr="009C6218">
        <w:rPr>
          <w:lang w:val="fr-CA"/>
        </w:rPr>
        <w:t>de la Charte</w:t>
      </w:r>
      <w:r w:rsidR="00A67ACE" w:rsidRPr="009C6218">
        <w:rPr>
          <w:lang w:val="fr-CA"/>
        </w:rPr>
        <w:t>.</w:t>
      </w:r>
    </w:p>
    <w:p w14:paraId="5CE24499" w14:textId="68E256FF" w:rsidR="00A67ACE" w:rsidRPr="009C6218" w:rsidRDefault="008A13EC" w:rsidP="00F13B79">
      <w:pPr>
        <w:numPr>
          <w:ilvl w:val="0"/>
          <w:numId w:val="1"/>
        </w:numPr>
        <w:spacing w:after="200" w:line="276" w:lineRule="auto"/>
        <w:ind w:left="567" w:hanging="567"/>
        <w:rPr>
          <w:lang w:val="fr-CA"/>
        </w:rPr>
      </w:pPr>
      <w:r w:rsidRPr="009C6218">
        <w:rPr>
          <w:lang w:val="fr-CA"/>
        </w:rPr>
        <w:t xml:space="preserve">Pour résumer, il est allégué que toute sanction prononcée contre la juge de paix au sujet de ses déclarations publiques </w:t>
      </w:r>
      <w:r w:rsidR="00CD045E">
        <w:rPr>
          <w:lang w:val="fr-CA"/>
        </w:rPr>
        <w:t>relatives à</w:t>
      </w:r>
      <w:r w:rsidRPr="009C6218">
        <w:rPr>
          <w:lang w:val="fr-CA"/>
        </w:rPr>
        <w:t xml:space="preserve"> l’administration de la justice violerait sa liberté d’expression</w:t>
      </w:r>
      <w:r w:rsidR="00A67ACE" w:rsidRPr="009C6218">
        <w:rPr>
          <w:lang w:val="fr-CA"/>
        </w:rPr>
        <w:t>.</w:t>
      </w:r>
    </w:p>
    <w:p w14:paraId="7CD22C48" w14:textId="495EE9C4" w:rsidR="00A67ACE" w:rsidRPr="009C6218" w:rsidRDefault="00ED4E54" w:rsidP="00F13B79">
      <w:pPr>
        <w:numPr>
          <w:ilvl w:val="0"/>
          <w:numId w:val="1"/>
        </w:numPr>
        <w:spacing w:after="200" w:line="276" w:lineRule="auto"/>
        <w:ind w:left="567" w:hanging="567"/>
        <w:rPr>
          <w:lang w:val="fr-CA"/>
        </w:rPr>
      </w:pPr>
      <w:r w:rsidRPr="009C6218">
        <w:rPr>
          <w:lang w:val="fr-CA"/>
        </w:rPr>
        <w:t xml:space="preserve">L’avocat de la juge de paix a clarifié les motifs de ses arguments fondés sur la Charte dans sa plaidoirie. La juge de paix </w:t>
      </w:r>
      <w:r w:rsidR="001A29B0" w:rsidRPr="009C6218">
        <w:rPr>
          <w:lang w:val="fr-CA"/>
        </w:rPr>
        <w:t xml:space="preserve">convient que des restrictions à la liberté </w:t>
      </w:r>
      <w:r w:rsidR="001A29B0" w:rsidRPr="009C6218">
        <w:rPr>
          <w:lang w:val="fr-CA"/>
        </w:rPr>
        <w:lastRenderedPageBreak/>
        <w:t xml:space="preserve">d’expression judiciaire sont acceptables et elle ne conteste pas la constitutionnalité des Principes de la charge judiciaire qui s’appliquent à elle. </w:t>
      </w:r>
    </w:p>
    <w:p w14:paraId="25F9C5C3" w14:textId="4E8D1D37" w:rsidR="00A67ACE" w:rsidRPr="009C6218" w:rsidRDefault="007E4C35" w:rsidP="00F13B79">
      <w:pPr>
        <w:numPr>
          <w:ilvl w:val="0"/>
          <w:numId w:val="1"/>
        </w:numPr>
        <w:spacing w:after="200" w:line="276" w:lineRule="auto"/>
        <w:ind w:left="567" w:hanging="567"/>
        <w:rPr>
          <w:lang w:val="fr-CA"/>
        </w:rPr>
      </w:pPr>
      <w:r w:rsidRPr="009C6218">
        <w:rPr>
          <w:lang w:val="fr-CA"/>
        </w:rPr>
        <w:t xml:space="preserve">Son argument est plutôt que l’alinéa </w:t>
      </w:r>
      <w:r w:rsidR="00A67ACE" w:rsidRPr="009C6218">
        <w:rPr>
          <w:lang w:val="fr-CA"/>
        </w:rPr>
        <w:t>2</w:t>
      </w:r>
      <w:r w:rsidRPr="009C6218">
        <w:rPr>
          <w:lang w:val="fr-CA"/>
        </w:rPr>
        <w:t> </w:t>
      </w:r>
      <w:r w:rsidR="00A67ACE" w:rsidRPr="009C6218">
        <w:rPr>
          <w:lang w:val="fr-CA"/>
        </w:rPr>
        <w:t xml:space="preserve">b) </w:t>
      </w:r>
      <w:r w:rsidRPr="009C6218">
        <w:rPr>
          <w:lang w:val="fr-CA"/>
        </w:rPr>
        <w:t xml:space="preserve">de la Charte s’appliquait lorsqu’elle a fait l’objet du processus disciplinaire en vertu de la </w:t>
      </w:r>
      <w:r w:rsidRPr="00CD045E">
        <w:rPr>
          <w:i/>
          <w:lang w:val="fr-CA"/>
        </w:rPr>
        <w:t>Loi sur les juges de paix</w:t>
      </w:r>
      <w:r w:rsidRPr="009C6218">
        <w:rPr>
          <w:lang w:val="fr-CA"/>
        </w:rPr>
        <w:t xml:space="preserve"> parce qu’elle avait exprimé publiquement ses opinions. La juge de paix fait valoir que l’expression de ses opinions dans l’Article est protégée par la liberté d’expression prévue par l’alinéa </w:t>
      </w:r>
      <w:r w:rsidR="00A67ACE" w:rsidRPr="009C6218">
        <w:rPr>
          <w:lang w:val="fr-CA"/>
        </w:rPr>
        <w:t>2</w:t>
      </w:r>
      <w:r w:rsidRPr="009C6218">
        <w:rPr>
          <w:lang w:val="fr-CA"/>
        </w:rPr>
        <w:t xml:space="preserve"> </w:t>
      </w:r>
      <w:r w:rsidR="00A67ACE" w:rsidRPr="009C6218">
        <w:rPr>
          <w:lang w:val="fr-CA"/>
        </w:rPr>
        <w:t xml:space="preserve">b) </w:t>
      </w:r>
      <w:r w:rsidRPr="009C6218">
        <w:rPr>
          <w:lang w:val="fr-CA"/>
        </w:rPr>
        <w:t xml:space="preserve">de la Charte et qu’elle ne peut pas être pénalisée à cause de ça, à moins que la restriction à sa liberté d’expression ait été considérée comme justifiée. Elle soutient également que les critères à appliquer sont ceux que protège l’article 1 de la Charte, selon l’interprétation donnée dans l’arrêt </w:t>
      </w:r>
      <w:r w:rsidRPr="009C6218">
        <w:rPr>
          <w:i/>
          <w:lang w:val="fr-CA"/>
        </w:rPr>
        <w:t>R. c</w:t>
      </w:r>
      <w:r w:rsidR="00A67ACE" w:rsidRPr="009C6218">
        <w:rPr>
          <w:i/>
          <w:lang w:val="fr-CA"/>
        </w:rPr>
        <w:t xml:space="preserve">. </w:t>
      </w:r>
      <w:proofErr w:type="spellStart"/>
      <w:r w:rsidR="00A67ACE" w:rsidRPr="009C6218">
        <w:rPr>
          <w:i/>
          <w:lang w:val="fr-CA"/>
        </w:rPr>
        <w:t>Oakes</w:t>
      </w:r>
      <w:proofErr w:type="spellEnd"/>
      <w:r w:rsidR="00A67ACE" w:rsidRPr="009C6218">
        <w:rPr>
          <w:lang w:val="fr-CA"/>
        </w:rPr>
        <w:t xml:space="preserve">, [1986] 1 </w:t>
      </w:r>
      <w:r w:rsidRPr="009C6218">
        <w:rPr>
          <w:lang w:val="fr-CA"/>
        </w:rPr>
        <w:t>R</w:t>
      </w:r>
      <w:r w:rsidR="00A67ACE" w:rsidRPr="009C6218">
        <w:rPr>
          <w:lang w:val="fr-CA"/>
        </w:rPr>
        <w:t>.C.</w:t>
      </w:r>
      <w:r w:rsidRPr="009C6218">
        <w:rPr>
          <w:lang w:val="fr-CA"/>
        </w:rPr>
        <w:t>S</w:t>
      </w:r>
      <w:r w:rsidR="00A67ACE" w:rsidRPr="009C6218">
        <w:rPr>
          <w:lang w:val="fr-CA"/>
        </w:rPr>
        <w:t xml:space="preserve"> 103. </w:t>
      </w:r>
      <w:r w:rsidR="0066341F" w:rsidRPr="009C6218">
        <w:rPr>
          <w:lang w:val="fr-CA"/>
        </w:rPr>
        <w:t xml:space="preserve">La juge de paix maintient que le deuxième et le troisième volet du critère </w:t>
      </w:r>
      <w:proofErr w:type="spellStart"/>
      <w:r w:rsidR="00A67ACE" w:rsidRPr="009C6218">
        <w:rPr>
          <w:i/>
          <w:lang w:val="fr-CA"/>
        </w:rPr>
        <w:t>Oakes</w:t>
      </w:r>
      <w:proofErr w:type="spellEnd"/>
      <w:r w:rsidR="00A67ACE" w:rsidRPr="009C6218">
        <w:rPr>
          <w:lang w:val="fr-CA"/>
        </w:rPr>
        <w:t xml:space="preserve">, </w:t>
      </w:r>
      <w:r w:rsidR="0066341F" w:rsidRPr="009C6218">
        <w:rPr>
          <w:lang w:val="fr-CA"/>
        </w:rPr>
        <w:t xml:space="preserve">à savoir </w:t>
      </w:r>
      <w:r w:rsidR="005E7737" w:rsidRPr="009C6218">
        <w:rPr>
          <w:lang w:val="fr-CA"/>
        </w:rPr>
        <w:t xml:space="preserve">des mesures soigneusement conçues pour atteindre l'objectif </w:t>
      </w:r>
      <w:r w:rsidR="00CD045E">
        <w:rPr>
          <w:lang w:val="fr-CA"/>
        </w:rPr>
        <w:t>énoncé</w:t>
      </w:r>
      <w:r w:rsidR="005E7737" w:rsidRPr="009C6218">
        <w:rPr>
          <w:lang w:val="fr-CA"/>
        </w:rPr>
        <w:t xml:space="preserve"> et la proportionnalité, ne sont pas remplis. Par conséquent, elle plaide qu’un redressement existe en vertu du paragraphe </w:t>
      </w:r>
      <w:r w:rsidR="00A67ACE" w:rsidRPr="009C6218">
        <w:rPr>
          <w:lang w:val="fr-CA"/>
        </w:rPr>
        <w:t>24</w:t>
      </w:r>
      <w:r w:rsidR="005E7737" w:rsidRPr="009C6218">
        <w:rPr>
          <w:lang w:val="fr-CA"/>
        </w:rPr>
        <w:t> </w:t>
      </w:r>
      <w:r w:rsidR="00A67ACE" w:rsidRPr="009C6218">
        <w:rPr>
          <w:lang w:val="fr-CA"/>
        </w:rPr>
        <w:t>(1)</w:t>
      </w:r>
      <w:r w:rsidR="005E7737" w:rsidRPr="009C6218">
        <w:rPr>
          <w:lang w:val="fr-CA"/>
        </w:rPr>
        <w:t xml:space="preserve"> de la Charte et que l’allégation formulée dans l’Avis d’audience au sujet de l’Article devrait être suspendue ou rejetée</w:t>
      </w:r>
      <w:r w:rsidR="00A67ACE" w:rsidRPr="009C6218">
        <w:rPr>
          <w:lang w:val="fr-CA"/>
        </w:rPr>
        <w:t>.</w:t>
      </w:r>
    </w:p>
    <w:p w14:paraId="7A248A33" w14:textId="69B905E3" w:rsidR="00A67ACE" w:rsidRPr="009C6218" w:rsidRDefault="005E7737" w:rsidP="00F13B79">
      <w:pPr>
        <w:numPr>
          <w:ilvl w:val="0"/>
          <w:numId w:val="1"/>
        </w:numPr>
        <w:spacing w:after="200" w:line="276" w:lineRule="auto"/>
        <w:ind w:left="567" w:hanging="567"/>
        <w:rPr>
          <w:lang w:val="fr-CA"/>
        </w:rPr>
      </w:pPr>
      <w:r w:rsidRPr="009C6218">
        <w:rPr>
          <w:lang w:val="fr-CA"/>
        </w:rPr>
        <w:t xml:space="preserve">En nous demandant de mener une analyse à la lumière de l’arrêt </w:t>
      </w:r>
      <w:proofErr w:type="spellStart"/>
      <w:r w:rsidR="00A67ACE" w:rsidRPr="009C6218">
        <w:rPr>
          <w:i/>
          <w:lang w:val="fr-CA"/>
        </w:rPr>
        <w:t>Oakes</w:t>
      </w:r>
      <w:proofErr w:type="spellEnd"/>
      <w:r w:rsidR="00A67ACE" w:rsidRPr="009C6218">
        <w:rPr>
          <w:lang w:val="fr-CA"/>
        </w:rPr>
        <w:t xml:space="preserve">, </w:t>
      </w:r>
      <w:r w:rsidRPr="009C6218">
        <w:rPr>
          <w:lang w:val="fr-CA"/>
        </w:rPr>
        <w:t xml:space="preserve">l’avocat de la juge de paix s’appuie fortement sur la décision de la Cour d’appel dans l’affaire </w:t>
      </w:r>
      <w:r w:rsidR="00A67ACE" w:rsidRPr="009C6218">
        <w:rPr>
          <w:i/>
          <w:lang w:val="fr-CA"/>
        </w:rPr>
        <w:t xml:space="preserve">R. v. </w:t>
      </w:r>
      <w:proofErr w:type="spellStart"/>
      <w:r w:rsidR="00A67ACE" w:rsidRPr="009C6218">
        <w:rPr>
          <w:i/>
          <w:lang w:val="fr-CA"/>
        </w:rPr>
        <w:t>Kopyto</w:t>
      </w:r>
      <w:proofErr w:type="spellEnd"/>
      <w:r w:rsidR="00A67ACE" w:rsidRPr="009C6218">
        <w:rPr>
          <w:lang w:val="fr-CA"/>
        </w:rPr>
        <w:t xml:space="preserve">, [1987] O.J. No. 1052. </w:t>
      </w:r>
      <w:r w:rsidR="00452305" w:rsidRPr="009C6218">
        <w:rPr>
          <w:lang w:val="fr-CA"/>
        </w:rPr>
        <w:t xml:space="preserve">Cette affaire portait sur une contestation constitutionnelle en vertu de l’alinéa </w:t>
      </w:r>
      <w:r w:rsidR="00A67ACE" w:rsidRPr="009C6218">
        <w:rPr>
          <w:lang w:val="fr-CA"/>
        </w:rPr>
        <w:t>2</w:t>
      </w:r>
      <w:r w:rsidR="00452305" w:rsidRPr="009C6218">
        <w:rPr>
          <w:lang w:val="fr-CA"/>
        </w:rPr>
        <w:t xml:space="preserve"> </w:t>
      </w:r>
      <w:r w:rsidR="00A67ACE" w:rsidRPr="009C6218">
        <w:rPr>
          <w:lang w:val="fr-CA"/>
        </w:rPr>
        <w:t xml:space="preserve">b) </w:t>
      </w:r>
      <w:r w:rsidR="00452305" w:rsidRPr="009C6218">
        <w:rPr>
          <w:lang w:val="fr-CA"/>
        </w:rPr>
        <w:t xml:space="preserve">de la Charte aux dispositions du </w:t>
      </w:r>
      <w:r w:rsidR="00A67ACE" w:rsidRPr="009C6218">
        <w:rPr>
          <w:i/>
          <w:lang w:val="fr-CA"/>
        </w:rPr>
        <w:t>C</w:t>
      </w:r>
      <w:r w:rsidR="00452305" w:rsidRPr="009C6218">
        <w:rPr>
          <w:i/>
          <w:lang w:val="fr-CA"/>
        </w:rPr>
        <w:t xml:space="preserve">ode criminel </w:t>
      </w:r>
      <w:r w:rsidR="00452305" w:rsidRPr="009C6218">
        <w:rPr>
          <w:lang w:val="fr-CA"/>
        </w:rPr>
        <w:t xml:space="preserve">relatives à l’outrage </w:t>
      </w:r>
      <w:r w:rsidR="005B7BE9" w:rsidRPr="009C6218">
        <w:rPr>
          <w:lang w:val="fr-CA"/>
        </w:rPr>
        <w:t xml:space="preserve">pour avoir </w:t>
      </w:r>
      <w:r w:rsidR="00452305" w:rsidRPr="009C6218">
        <w:rPr>
          <w:lang w:val="fr-CA"/>
        </w:rPr>
        <w:t>scandalis</w:t>
      </w:r>
      <w:r w:rsidR="005B7BE9" w:rsidRPr="009C6218">
        <w:rPr>
          <w:lang w:val="fr-CA"/>
        </w:rPr>
        <w:t>é</w:t>
      </w:r>
      <w:r w:rsidR="00452305" w:rsidRPr="009C6218">
        <w:rPr>
          <w:lang w:val="fr-CA"/>
        </w:rPr>
        <w:t xml:space="preserve"> le tribunal. </w:t>
      </w:r>
      <w:r w:rsidR="005B7BE9" w:rsidRPr="009C6218">
        <w:rPr>
          <w:lang w:val="fr-CA"/>
        </w:rPr>
        <w:t xml:space="preserve">La disposition visée du </w:t>
      </w:r>
      <w:r w:rsidR="005B7BE9" w:rsidRPr="009C6218">
        <w:rPr>
          <w:i/>
          <w:iCs/>
          <w:lang w:val="fr-CA"/>
        </w:rPr>
        <w:t>Code criminel</w:t>
      </w:r>
      <w:r w:rsidR="005B7BE9" w:rsidRPr="009C6218">
        <w:rPr>
          <w:lang w:val="fr-CA"/>
        </w:rPr>
        <w:t xml:space="preserve"> a été déclarée inconstitutionnelle après l’application du critère </w:t>
      </w:r>
      <w:proofErr w:type="spellStart"/>
      <w:r w:rsidR="00A67ACE" w:rsidRPr="009C6218">
        <w:rPr>
          <w:i/>
          <w:lang w:val="fr-CA"/>
        </w:rPr>
        <w:t>Oakes</w:t>
      </w:r>
      <w:proofErr w:type="spellEnd"/>
      <w:r w:rsidR="00A67ACE" w:rsidRPr="009C6218">
        <w:rPr>
          <w:lang w:val="fr-CA"/>
        </w:rPr>
        <w:t>.</w:t>
      </w:r>
    </w:p>
    <w:p w14:paraId="66D6C7DA" w14:textId="1BB49AB9" w:rsidR="00A67ACE" w:rsidRPr="009C6218" w:rsidRDefault="005477AF" w:rsidP="00F13B79">
      <w:pPr>
        <w:numPr>
          <w:ilvl w:val="0"/>
          <w:numId w:val="1"/>
        </w:numPr>
        <w:spacing w:after="200" w:line="276" w:lineRule="auto"/>
        <w:ind w:left="567" w:hanging="567"/>
        <w:rPr>
          <w:lang w:val="fr-CA"/>
        </w:rPr>
      </w:pPr>
      <w:r w:rsidRPr="009C6218">
        <w:rPr>
          <w:lang w:val="fr-CA"/>
        </w:rPr>
        <w:t xml:space="preserve">L’avocat de la juge de paix concède que l’objectif du maintien de la confiance du public dans la magistrature est suffisamment important pour justifier la suppression du droit à la liberté d’expression protégé par la Constitution. </w:t>
      </w:r>
      <w:r w:rsidR="00A14221" w:rsidRPr="009C6218">
        <w:rPr>
          <w:lang w:val="fr-CA"/>
        </w:rPr>
        <w:t xml:space="preserve">Il semble suggérer que des allégations de déclarations inconvenantes de la part d’un magistrat ne peuvent pas être poursuivies à titre d’inconduite, sauf si l’avocat chargé </w:t>
      </w:r>
      <w:r w:rsidR="002C390C" w:rsidRPr="009C6218">
        <w:rPr>
          <w:rFonts w:eastAsia="Arial" w:cs="Times New Roman"/>
          <w:szCs w:val="22"/>
          <w:lang w:val="fr-CA"/>
        </w:rPr>
        <w:t xml:space="preserve">de la présentation </w:t>
      </w:r>
      <w:r w:rsidR="00A14221" w:rsidRPr="009C6218">
        <w:rPr>
          <w:lang w:val="fr-CA"/>
        </w:rPr>
        <w:t xml:space="preserve">peut prouver qu’il est raisonnable et justifié de le faire en appliquant le critère de la proportionnalité énoncé dans l’arrêt </w:t>
      </w:r>
      <w:proofErr w:type="spellStart"/>
      <w:r w:rsidR="00A67ACE" w:rsidRPr="009C6218">
        <w:rPr>
          <w:i/>
          <w:lang w:val="fr-CA"/>
        </w:rPr>
        <w:t>Oakes</w:t>
      </w:r>
      <w:proofErr w:type="spellEnd"/>
      <w:r w:rsidR="00A67ACE" w:rsidRPr="009C6218">
        <w:rPr>
          <w:lang w:val="fr-CA"/>
        </w:rPr>
        <w:t xml:space="preserve"> </w:t>
      </w:r>
      <w:r w:rsidR="00A14221" w:rsidRPr="009C6218">
        <w:rPr>
          <w:lang w:val="fr-CA"/>
        </w:rPr>
        <w:t>aux allégations elles-mêmes</w:t>
      </w:r>
      <w:r w:rsidR="00A67ACE" w:rsidRPr="009C6218">
        <w:rPr>
          <w:lang w:val="fr-CA"/>
        </w:rPr>
        <w:t>.</w:t>
      </w:r>
    </w:p>
    <w:p w14:paraId="58BDE3D0" w14:textId="7A7D7923" w:rsidR="00A67ACE" w:rsidRPr="009C6218" w:rsidRDefault="00701810" w:rsidP="00F13B79">
      <w:pPr>
        <w:numPr>
          <w:ilvl w:val="0"/>
          <w:numId w:val="1"/>
        </w:numPr>
        <w:spacing w:after="200" w:line="276" w:lineRule="auto"/>
        <w:ind w:left="567" w:hanging="567"/>
        <w:rPr>
          <w:lang w:val="fr-CA"/>
        </w:rPr>
      </w:pPr>
      <w:r w:rsidRPr="009C6218">
        <w:rPr>
          <w:lang w:val="fr-CA"/>
        </w:rPr>
        <w:t xml:space="preserve">Nous sommes d’accord qu’une instance disciplinaire contre la juge de paix pour l’expression de ses opinions fait intervenir l’alinéa </w:t>
      </w:r>
      <w:r w:rsidR="00A67ACE" w:rsidRPr="009C6218">
        <w:rPr>
          <w:lang w:val="fr-CA"/>
        </w:rPr>
        <w:t>2</w:t>
      </w:r>
      <w:r w:rsidRPr="009C6218">
        <w:rPr>
          <w:lang w:val="fr-CA"/>
        </w:rPr>
        <w:t xml:space="preserve"> </w:t>
      </w:r>
      <w:r w:rsidR="00A67ACE" w:rsidRPr="009C6218">
        <w:rPr>
          <w:lang w:val="fr-CA"/>
        </w:rPr>
        <w:t xml:space="preserve">b) </w:t>
      </w:r>
      <w:r w:rsidRPr="009C6218">
        <w:rPr>
          <w:lang w:val="fr-CA"/>
        </w:rPr>
        <w:t>de la Charte</w:t>
      </w:r>
      <w:r w:rsidR="00A67ACE" w:rsidRPr="009C6218">
        <w:rPr>
          <w:lang w:val="fr-CA"/>
        </w:rPr>
        <w:t xml:space="preserve">. </w:t>
      </w:r>
      <w:r w:rsidRPr="009C6218">
        <w:rPr>
          <w:lang w:val="fr-CA"/>
        </w:rPr>
        <w:t>Malgré son assurance que les Principes de la charge judiciaire ne font pas l’objet d’une contestation constitutionnelle en l’espèce, l’avocat de la juge de paix a suggéré qu’ils sont trop vagues</w:t>
      </w:r>
      <w:r w:rsidR="00A67ACE" w:rsidRPr="009C6218">
        <w:rPr>
          <w:lang w:val="fr-CA"/>
        </w:rPr>
        <w:t xml:space="preserve">. </w:t>
      </w:r>
      <w:r w:rsidRPr="009C6218">
        <w:rPr>
          <w:lang w:val="fr-CA"/>
        </w:rPr>
        <w:t>Nous ne sommes pas d’accord</w:t>
      </w:r>
      <w:r w:rsidR="0053332E" w:rsidRPr="009C6218">
        <w:rPr>
          <w:rStyle w:val="FootnoteReference"/>
          <w:lang w:val="fr-CA"/>
        </w:rPr>
        <w:footnoteReference w:id="35"/>
      </w:r>
      <w:r w:rsidRPr="009C6218">
        <w:rPr>
          <w:lang w:val="fr-CA"/>
        </w:rPr>
        <w:t>.</w:t>
      </w:r>
      <w:r w:rsidR="00A67ACE" w:rsidRPr="009C6218">
        <w:rPr>
          <w:lang w:val="fr-CA"/>
        </w:rPr>
        <w:t xml:space="preserve"> </w:t>
      </w:r>
      <w:r w:rsidR="002627E3" w:rsidRPr="009C6218">
        <w:rPr>
          <w:lang w:val="fr-CA"/>
        </w:rPr>
        <w:t xml:space="preserve">Comme l’a déclaré la CSC </w:t>
      </w:r>
      <w:r w:rsidR="002627E3" w:rsidRPr="009C6218">
        <w:rPr>
          <w:lang w:val="fr-CA"/>
        </w:rPr>
        <w:lastRenderedPageBreak/>
        <w:t>dans l’affaire</w:t>
      </w:r>
      <w:r w:rsidR="00A67ACE" w:rsidRPr="009C6218">
        <w:rPr>
          <w:lang w:val="fr-CA"/>
        </w:rPr>
        <w:t xml:space="preserve"> </w:t>
      </w:r>
      <w:proofErr w:type="spellStart"/>
      <w:r w:rsidR="00A67ACE" w:rsidRPr="009C6218">
        <w:rPr>
          <w:i/>
          <w:lang w:val="fr-CA"/>
        </w:rPr>
        <w:t>Ruffo</w:t>
      </w:r>
      <w:proofErr w:type="spellEnd"/>
      <w:r w:rsidR="00A67ACE" w:rsidRPr="009C6218">
        <w:rPr>
          <w:i/>
          <w:lang w:val="fr-CA"/>
        </w:rPr>
        <w:t xml:space="preserve"> </w:t>
      </w:r>
      <w:r w:rsidR="002627E3" w:rsidRPr="009C6218">
        <w:rPr>
          <w:i/>
          <w:lang w:val="fr-CA"/>
        </w:rPr>
        <w:t>c</w:t>
      </w:r>
      <w:r w:rsidR="00A67ACE" w:rsidRPr="009C6218">
        <w:rPr>
          <w:i/>
          <w:lang w:val="fr-CA"/>
        </w:rPr>
        <w:t>. Conseil de la magistrature</w:t>
      </w:r>
      <w:r w:rsidR="00A67ACE" w:rsidRPr="009C6218">
        <w:rPr>
          <w:lang w:val="fr-CA"/>
        </w:rPr>
        <w:t xml:space="preserve">, </w:t>
      </w:r>
      <w:r w:rsidR="002627E3" w:rsidRPr="009C6218">
        <w:rPr>
          <w:lang w:val="fr-CA"/>
        </w:rPr>
        <w:t>« On ne peut exiger plus de précision à l'endroit de la règle de déontologie que celle à laquelle la matière se prête. »</w:t>
      </w:r>
      <w:r w:rsidR="00A67ACE" w:rsidRPr="009C6218">
        <w:rPr>
          <w:lang w:val="fr-CA"/>
        </w:rPr>
        <w:t xml:space="preserve"> </w:t>
      </w:r>
      <w:r w:rsidR="008A5006" w:rsidRPr="009C6218">
        <w:rPr>
          <w:lang w:val="fr-CA"/>
        </w:rPr>
        <w:t>En conséquence, les Principes de la charge judic</w:t>
      </w:r>
      <w:r w:rsidR="00776713">
        <w:rPr>
          <w:lang w:val="fr-CA"/>
        </w:rPr>
        <w:t>i</w:t>
      </w:r>
      <w:r w:rsidR="008A5006" w:rsidRPr="009C6218">
        <w:rPr>
          <w:lang w:val="fr-CA"/>
        </w:rPr>
        <w:t>aire demeurent applicables à titre de textes « énonçant des principes fondamentaux qui, de par leur nature même, sont de portée générale</w:t>
      </w:r>
      <w:r w:rsidR="00776713">
        <w:rPr>
          <w:lang w:val="fr-CA"/>
        </w:rPr>
        <w:t>,</w:t>
      </w:r>
      <w:r w:rsidR="008A5006" w:rsidRPr="009C6218">
        <w:rPr>
          <w:lang w:val="fr-CA"/>
        </w:rPr>
        <w:t xml:space="preserve"> mais s'avèrent probablement parfaitement intelligibles par les gens du métier et pertinents pour évaluer des allégations de conduite inacceptable</w:t>
      </w:r>
      <w:r w:rsidR="00CD045E" w:rsidRPr="009C6218">
        <w:rPr>
          <w:lang w:val="fr-CA"/>
        </w:rPr>
        <w:t> »</w:t>
      </w:r>
      <w:r w:rsidR="00CD61CC" w:rsidRPr="009C6218">
        <w:rPr>
          <w:rStyle w:val="FootnoteReference"/>
          <w:lang w:val="fr-CA"/>
        </w:rPr>
        <w:footnoteReference w:id="36"/>
      </w:r>
      <w:r w:rsidR="008A5006" w:rsidRPr="009C6218">
        <w:rPr>
          <w:lang w:val="fr-CA"/>
        </w:rPr>
        <w:t xml:space="preserve">. </w:t>
      </w:r>
      <w:r w:rsidR="006A00AD" w:rsidRPr="009C6218">
        <w:rPr>
          <w:lang w:val="fr-CA"/>
        </w:rPr>
        <w:t xml:space="preserve">Nous examinons la conduite de la juge de paix à la lumière de ces Principes et des sources et décisions et ouvrages de doctrine mentionnés plus haut, qui visent tous à assurer que les officiers de justice se conduisent de manière à protéger la confiance du public dans l’indépendance, l’intégrité et l’impartialité des magistrats. En bref, c’est le rôle d’un juge de paix dans le système de justice et la corrélation directe entre la conduite d’un juge de paix individuel et son impact sur la confiance du public </w:t>
      </w:r>
      <w:r w:rsidR="00CD045E">
        <w:rPr>
          <w:lang w:val="fr-CA"/>
        </w:rPr>
        <w:t>envers</w:t>
      </w:r>
      <w:r w:rsidR="006A00AD" w:rsidRPr="009C6218">
        <w:rPr>
          <w:lang w:val="fr-CA"/>
        </w:rPr>
        <w:t xml:space="preserve"> la magistrature et l’administration de la justice dans son ensemble qui justifie</w:t>
      </w:r>
      <w:r w:rsidR="00CD045E">
        <w:rPr>
          <w:lang w:val="fr-CA"/>
        </w:rPr>
        <w:t>nt</w:t>
      </w:r>
      <w:r w:rsidR="006A00AD" w:rsidRPr="009C6218">
        <w:rPr>
          <w:lang w:val="fr-CA"/>
        </w:rPr>
        <w:t xml:space="preserve"> les limites imposées à la liberté d’expression des officiers de justice</w:t>
      </w:r>
      <w:r w:rsidR="00A67ACE" w:rsidRPr="009C6218">
        <w:rPr>
          <w:lang w:val="fr-CA"/>
        </w:rPr>
        <w:t>.</w:t>
      </w:r>
      <w:r w:rsidR="00CD045E">
        <w:rPr>
          <w:lang w:val="fr-CA"/>
        </w:rPr>
        <w:t xml:space="preserve"> </w:t>
      </w:r>
    </w:p>
    <w:p w14:paraId="07D998CE" w14:textId="30F7BA37" w:rsidR="00A67ACE" w:rsidRPr="009C6218" w:rsidRDefault="001A67D4" w:rsidP="00F13B79">
      <w:pPr>
        <w:numPr>
          <w:ilvl w:val="0"/>
          <w:numId w:val="1"/>
        </w:numPr>
        <w:spacing w:after="200" w:line="276" w:lineRule="auto"/>
        <w:ind w:left="567" w:hanging="567"/>
        <w:rPr>
          <w:lang w:val="fr-CA"/>
        </w:rPr>
      </w:pPr>
      <w:r w:rsidRPr="009C6218">
        <w:rPr>
          <w:lang w:val="fr-CA"/>
        </w:rPr>
        <w:t xml:space="preserve">L’effet de l’alinéa </w:t>
      </w:r>
      <w:r w:rsidR="00A67ACE" w:rsidRPr="009C6218">
        <w:rPr>
          <w:lang w:val="fr-CA"/>
        </w:rPr>
        <w:t>2</w:t>
      </w:r>
      <w:r w:rsidRPr="009C6218">
        <w:rPr>
          <w:lang w:val="fr-CA"/>
        </w:rPr>
        <w:t xml:space="preserve"> </w:t>
      </w:r>
      <w:r w:rsidR="00B11F66" w:rsidRPr="009C6218">
        <w:rPr>
          <w:lang w:val="fr-CA"/>
        </w:rPr>
        <w:t>b)</w:t>
      </w:r>
      <w:r w:rsidR="00A67ACE" w:rsidRPr="009C6218">
        <w:rPr>
          <w:lang w:val="fr-CA"/>
        </w:rPr>
        <w:t xml:space="preserve"> </w:t>
      </w:r>
      <w:r w:rsidRPr="00CD045E">
        <w:rPr>
          <w:lang w:val="fr-CA"/>
        </w:rPr>
        <w:t xml:space="preserve">de la Charte sur les limites imposées à la liberté d’expression des magistrats a été analysé dans </w:t>
      </w:r>
      <w:r w:rsidR="00BF2009" w:rsidRPr="00CD045E">
        <w:rPr>
          <w:lang w:val="fr-CA"/>
        </w:rPr>
        <w:t>le jugement</w:t>
      </w:r>
      <w:r w:rsidRPr="00CD045E">
        <w:rPr>
          <w:lang w:val="fr-CA"/>
        </w:rPr>
        <w:t xml:space="preserve"> </w:t>
      </w:r>
      <w:proofErr w:type="spellStart"/>
      <w:r w:rsidR="00A67ACE" w:rsidRPr="00CD045E">
        <w:rPr>
          <w:lang w:val="fr-CA"/>
        </w:rPr>
        <w:t>Ruffo</w:t>
      </w:r>
      <w:proofErr w:type="spellEnd"/>
      <w:r w:rsidR="00A67ACE" w:rsidRPr="00CD045E">
        <w:rPr>
          <w:lang w:val="fr-CA"/>
        </w:rPr>
        <w:t xml:space="preserve"> (Re), [2005] Q.J. No. 17953. </w:t>
      </w:r>
      <w:r w:rsidRPr="00CD045E">
        <w:rPr>
          <w:lang w:val="fr-CA"/>
        </w:rPr>
        <w:t>Dans cette affaire, la Cour d’appel du Québec a déclaré que</w:t>
      </w:r>
      <w:r w:rsidR="00BF2009" w:rsidRPr="00CD045E">
        <w:rPr>
          <w:lang w:val="fr-CA"/>
        </w:rPr>
        <w:t xml:space="preserve"> des restrictions au droit des juges de s'exprimer librement</w:t>
      </w:r>
      <w:r w:rsidRPr="00CD045E">
        <w:rPr>
          <w:lang w:val="fr-CA"/>
        </w:rPr>
        <w:t xml:space="preserve"> </w:t>
      </w:r>
      <w:r w:rsidR="00BF2009" w:rsidRPr="00CD045E">
        <w:rPr>
          <w:lang w:val="fr-CA"/>
        </w:rPr>
        <w:t>seraient justifi</w:t>
      </w:r>
      <w:r w:rsidR="00CD045E">
        <w:rPr>
          <w:lang w:val="fr-CA"/>
        </w:rPr>
        <w:t>ées</w:t>
      </w:r>
      <w:r w:rsidR="00BF2009" w:rsidRPr="00CD045E">
        <w:rPr>
          <w:lang w:val="fr-CA"/>
        </w:rPr>
        <w:t xml:space="preserve"> dans les c</w:t>
      </w:r>
      <w:r w:rsidRPr="00CD045E">
        <w:rPr>
          <w:lang w:val="fr-CA"/>
        </w:rPr>
        <w:t>as où leurs actes et paroles seront remis en question parce qu'ils sèment le doute quant à l'intégrité de la fonction judiciaire</w:t>
      </w:r>
      <w:r w:rsidR="00BF2009" w:rsidRPr="00CD045E">
        <w:rPr>
          <w:lang w:val="fr-CA"/>
        </w:rPr>
        <w:t xml:space="preserve"> </w:t>
      </w:r>
      <w:r w:rsidR="00A67ACE" w:rsidRPr="00CD045E">
        <w:rPr>
          <w:lang w:val="fr-CA"/>
        </w:rPr>
        <w:t>(para</w:t>
      </w:r>
      <w:r w:rsidR="00BF2009" w:rsidRPr="00CD045E">
        <w:rPr>
          <w:lang w:val="fr-CA"/>
        </w:rPr>
        <w:t>graphe</w:t>
      </w:r>
      <w:r w:rsidR="00A67ACE" w:rsidRPr="00CD045E">
        <w:rPr>
          <w:lang w:val="fr-CA"/>
        </w:rPr>
        <w:t xml:space="preserve"> 58). </w:t>
      </w:r>
      <w:r w:rsidR="00BF2009" w:rsidRPr="00CD045E">
        <w:rPr>
          <w:lang w:val="fr-CA"/>
        </w:rPr>
        <w:t xml:space="preserve">L’analyse figurant dans le jugement </w:t>
      </w:r>
      <w:proofErr w:type="spellStart"/>
      <w:r w:rsidR="00A67ACE" w:rsidRPr="00CD045E">
        <w:rPr>
          <w:i/>
          <w:lang w:val="fr-CA"/>
        </w:rPr>
        <w:t>Ruffo</w:t>
      </w:r>
      <w:proofErr w:type="spellEnd"/>
      <w:r w:rsidR="00A67ACE" w:rsidRPr="00CD045E">
        <w:rPr>
          <w:i/>
          <w:lang w:val="fr-CA"/>
        </w:rPr>
        <w:t xml:space="preserve"> </w:t>
      </w:r>
      <w:r w:rsidR="00BF2009" w:rsidRPr="00CD045E">
        <w:rPr>
          <w:lang w:val="fr-CA"/>
        </w:rPr>
        <w:t xml:space="preserve">est conforme à l’approche suivie par le droit administratif pour trancher des questions relevant de la Charte décrites par la CSC dans l’arrêt </w:t>
      </w:r>
      <w:r w:rsidR="00A67ACE" w:rsidRPr="00CD045E">
        <w:rPr>
          <w:i/>
          <w:lang w:val="fr-CA"/>
        </w:rPr>
        <w:t xml:space="preserve">Doré </w:t>
      </w:r>
      <w:r w:rsidR="00BF2009" w:rsidRPr="00CD045E">
        <w:rPr>
          <w:i/>
          <w:lang w:val="fr-CA"/>
        </w:rPr>
        <w:t>c</w:t>
      </w:r>
      <w:r w:rsidR="00A67ACE" w:rsidRPr="00CD045E">
        <w:rPr>
          <w:i/>
          <w:lang w:val="fr-CA"/>
        </w:rPr>
        <w:t>. Barreau</w:t>
      </w:r>
      <w:r w:rsidR="00A67ACE" w:rsidRPr="00CD045E">
        <w:rPr>
          <w:lang w:val="fr-CA"/>
        </w:rPr>
        <w:t xml:space="preserve"> </w:t>
      </w:r>
      <w:r w:rsidR="00A67ACE" w:rsidRPr="00CD045E">
        <w:rPr>
          <w:i/>
          <w:iCs/>
          <w:lang w:val="fr-CA"/>
        </w:rPr>
        <w:t>du Québec</w:t>
      </w:r>
      <w:r w:rsidR="00A67ACE" w:rsidRPr="00CD045E">
        <w:rPr>
          <w:lang w:val="fr-CA"/>
        </w:rPr>
        <w:t xml:space="preserve">, [2012] </w:t>
      </w:r>
      <w:r w:rsidR="00BF2009" w:rsidRPr="00CD045E">
        <w:rPr>
          <w:lang w:val="fr-CA"/>
        </w:rPr>
        <w:t>R</w:t>
      </w:r>
      <w:r w:rsidR="00A67ACE" w:rsidRPr="00CD045E">
        <w:rPr>
          <w:lang w:val="fr-CA"/>
        </w:rPr>
        <w:t>.C.</w:t>
      </w:r>
      <w:r w:rsidR="00BF2009" w:rsidRPr="00CD045E">
        <w:rPr>
          <w:lang w:val="fr-CA"/>
        </w:rPr>
        <w:t>S</w:t>
      </w:r>
      <w:r w:rsidR="00A67ACE" w:rsidRPr="00CD045E">
        <w:rPr>
          <w:lang w:val="fr-CA"/>
        </w:rPr>
        <w:t>. 395</w:t>
      </w:r>
      <w:r w:rsidR="00BF2009" w:rsidRPr="00CD045E">
        <w:rPr>
          <w:lang w:val="fr-CA"/>
        </w:rPr>
        <w:t xml:space="preserve"> </w:t>
      </w:r>
      <w:r w:rsidR="00A67ACE" w:rsidRPr="00CD045E">
        <w:rPr>
          <w:lang w:val="fr-CA"/>
        </w:rPr>
        <w:t xml:space="preserve">: </w:t>
      </w:r>
      <w:r w:rsidR="00A64D38" w:rsidRPr="00CD045E">
        <w:rPr>
          <w:lang w:val="fr-CA"/>
        </w:rPr>
        <w:t xml:space="preserve">les organismes disciplinaires devraient trancher des questions relevant </w:t>
      </w:r>
      <w:r w:rsidR="00CD045E">
        <w:rPr>
          <w:lang w:val="fr-CA"/>
        </w:rPr>
        <w:t>d</w:t>
      </w:r>
      <w:r w:rsidR="00A64D38" w:rsidRPr="00CD045E">
        <w:rPr>
          <w:lang w:val="fr-CA"/>
        </w:rPr>
        <w:t xml:space="preserve">u droit de libre expression de la Charte en établissant un juste équilibre entre </w:t>
      </w:r>
      <w:r w:rsidR="00A64D38" w:rsidRPr="009C6218">
        <w:rPr>
          <w:lang w:val="fr-CA"/>
        </w:rPr>
        <w:t xml:space="preserve">le droit à l’expression d’expression et les objectifs </w:t>
      </w:r>
      <w:r w:rsidR="00CD045E">
        <w:rPr>
          <w:lang w:val="fr-CA"/>
        </w:rPr>
        <w:t>sous-tendant</w:t>
      </w:r>
      <w:r w:rsidR="00A64D38" w:rsidRPr="009C6218">
        <w:rPr>
          <w:lang w:val="fr-CA"/>
        </w:rPr>
        <w:t xml:space="preserve"> les restrictions à imposer, au lieu d’appliquer le critère </w:t>
      </w:r>
      <w:proofErr w:type="spellStart"/>
      <w:r w:rsidR="00A67ACE" w:rsidRPr="009C6218">
        <w:rPr>
          <w:i/>
          <w:lang w:val="fr-CA"/>
        </w:rPr>
        <w:t>Oakes</w:t>
      </w:r>
      <w:proofErr w:type="spellEnd"/>
      <w:r w:rsidR="00A67ACE" w:rsidRPr="009C6218">
        <w:rPr>
          <w:lang w:val="fr-CA"/>
        </w:rPr>
        <w:t xml:space="preserve">. </w:t>
      </w:r>
      <w:r w:rsidR="003C1CA7" w:rsidRPr="009C6218">
        <w:rPr>
          <w:lang w:val="fr-CA"/>
        </w:rPr>
        <w:t>Comme indiqué plus haut, ces objectifs sont la protection de la confiance du public dans l’indépendance, l’intégrité et l’impartialité de la magistrature</w:t>
      </w:r>
      <w:r w:rsidR="00A67ACE" w:rsidRPr="009C6218">
        <w:rPr>
          <w:lang w:val="fr-CA"/>
        </w:rPr>
        <w:t>.</w:t>
      </w:r>
      <w:r w:rsidR="00066A8F" w:rsidRPr="009C6218">
        <w:rPr>
          <w:lang w:val="fr-CA"/>
        </w:rPr>
        <w:t xml:space="preserve"> </w:t>
      </w:r>
      <w:r w:rsidR="003C1CA7" w:rsidRPr="009C6218">
        <w:rPr>
          <w:lang w:val="fr-CA"/>
        </w:rPr>
        <w:t xml:space="preserve">Certaines restrictions à l’indépendance judiciaire sont nécessaires et justifiées afin de protéger la confiance du public dans la magistrature dans son ensemble. </w:t>
      </w:r>
    </w:p>
    <w:p w14:paraId="2E65379B" w14:textId="7770F951" w:rsidR="003217AD" w:rsidRPr="009C6218" w:rsidRDefault="0076652E" w:rsidP="00F13B79">
      <w:pPr>
        <w:numPr>
          <w:ilvl w:val="0"/>
          <w:numId w:val="1"/>
        </w:numPr>
        <w:spacing w:after="200" w:line="276" w:lineRule="auto"/>
        <w:ind w:left="567" w:hanging="567"/>
        <w:rPr>
          <w:lang w:val="fr-CA"/>
        </w:rPr>
      </w:pPr>
      <w:r w:rsidRPr="009C6218">
        <w:rPr>
          <w:lang w:val="fr-CA"/>
        </w:rPr>
        <w:t xml:space="preserve">Comme l’a plaidé l’avocat chargé </w:t>
      </w:r>
      <w:r w:rsidR="002C390C" w:rsidRPr="009C6218">
        <w:rPr>
          <w:rFonts w:eastAsia="Arial" w:cs="Times New Roman"/>
          <w:szCs w:val="22"/>
          <w:lang w:val="fr-CA"/>
        </w:rPr>
        <w:t xml:space="preserve">de la présentation </w:t>
      </w:r>
      <w:r w:rsidRPr="009C6218">
        <w:rPr>
          <w:lang w:val="fr-CA"/>
        </w:rPr>
        <w:t xml:space="preserve">et conformément à l’approche énoncée dans l’arrêt </w:t>
      </w:r>
      <w:r w:rsidR="00A67ACE" w:rsidRPr="009C6218">
        <w:rPr>
          <w:i/>
          <w:lang w:val="fr-CA"/>
        </w:rPr>
        <w:t>Doré</w:t>
      </w:r>
      <w:r w:rsidR="00A67ACE" w:rsidRPr="009C6218">
        <w:rPr>
          <w:lang w:val="fr-CA"/>
        </w:rPr>
        <w:t xml:space="preserve">, </w:t>
      </w:r>
      <w:r w:rsidRPr="009C6218">
        <w:rPr>
          <w:lang w:val="fr-CA"/>
        </w:rPr>
        <w:t>nous nous sommes fondés sur les principes protégés par la Charte dans nos conclusions au sujet de l’Article rédigé par la juge de paix</w:t>
      </w:r>
      <w:r w:rsidR="00A67ACE" w:rsidRPr="009C6218">
        <w:rPr>
          <w:lang w:val="fr-CA"/>
        </w:rPr>
        <w:t>.</w:t>
      </w:r>
    </w:p>
    <w:p w14:paraId="157DEF51" w14:textId="2A3CD72A" w:rsidR="00E60DCD" w:rsidRPr="009C6218" w:rsidRDefault="00E60DCD" w:rsidP="00F13B79">
      <w:pPr>
        <w:numPr>
          <w:ilvl w:val="0"/>
          <w:numId w:val="1"/>
        </w:numPr>
        <w:spacing w:after="200" w:line="276" w:lineRule="auto"/>
        <w:ind w:left="567" w:hanging="567"/>
        <w:rPr>
          <w:lang w:val="fr-CA"/>
        </w:rPr>
      </w:pPr>
      <w:r w:rsidRPr="009C6218">
        <w:rPr>
          <w:lang w:val="fr-CA"/>
        </w:rPr>
        <w:t xml:space="preserve">Pour les raisons formulées dans notre examen du bien-fondé ailleurs dans les présents motifs, nous sommes d’avis que la juge de paix Lauzon, en s’exprimant de la façon dont elle l’a fait, a remis en question sa propre intégrité et sa propre </w:t>
      </w:r>
      <w:r w:rsidRPr="009C6218">
        <w:rPr>
          <w:lang w:val="fr-CA"/>
        </w:rPr>
        <w:lastRenderedPageBreak/>
        <w:t>impartialité, ce qui a é</w:t>
      </w:r>
      <w:r w:rsidR="005E5A6B">
        <w:rPr>
          <w:lang w:val="fr-CA"/>
        </w:rPr>
        <w:t>branl</w:t>
      </w:r>
      <w:r w:rsidRPr="009C6218">
        <w:rPr>
          <w:lang w:val="fr-CA"/>
        </w:rPr>
        <w:t xml:space="preserve">é la confiance du public envers la magistrature dans son ensemble et envers l’administration de la justice. En pesant son droit à la liberté d’expression contre ses obligations déontologiques, nous estimons que l’Article n’a pas répondu aux attentes du public concernant la conduite d’un officier de justice. En d’autres termes, les opinions exprimées dans l’Article dépassaient les limites permises de la liberté d’expression d’un officier de justice. </w:t>
      </w:r>
    </w:p>
    <w:p w14:paraId="56B0AB15" w14:textId="3424C1A2" w:rsidR="000E7DCB" w:rsidRPr="009C6218" w:rsidRDefault="00E60DCD" w:rsidP="00F13B79">
      <w:pPr>
        <w:numPr>
          <w:ilvl w:val="0"/>
          <w:numId w:val="1"/>
        </w:numPr>
        <w:spacing w:after="200" w:line="276" w:lineRule="auto"/>
        <w:ind w:left="567" w:hanging="567"/>
        <w:rPr>
          <w:lang w:val="fr-CA"/>
        </w:rPr>
      </w:pPr>
      <w:r w:rsidRPr="009C6218">
        <w:rPr>
          <w:lang w:val="fr-CA"/>
        </w:rPr>
        <w:t xml:space="preserve">La demande d’arrêt des procédures en vertu du paragraphe </w:t>
      </w:r>
      <w:r w:rsidR="00AE49EE" w:rsidRPr="009C6218">
        <w:rPr>
          <w:lang w:val="fr-CA"/>
        </w:rPr>
        <w:t>24</w:t>
      </w:r>
      <w:r w:rsidRPr="009C6218">
        <w:rPr>
          <w:lang w:val="fr-CA"/>
        </w:rPr>
        <w:t> </w:t>
      </w:r>
      <w:r w:rsidR="00AE49EE" w:rsidRPr="009C6218">
        <w:rPr>
          <w:lang w:val="fr-CA"/>
        </w:rPr>
        <w:t>(1)</w:t>
      </w:r>
      <w:r w:rsidR="00430EBF" w:rsidRPr="009C6218">
        <w:rPr>
          <w:lang w:val="fr-CA"/>
        </w:rPr>
        <w:t xml:space="preserve"> </w:t>
      </w:r>
      <w:r w:rsidRPr="009C6218">
        <w:rPr>
          <w:lang w:val="fr-CA"/>
        </w:rPr>
        <w:t>de la Charte est rejetée</w:t>
      </w:r>
      <w:r w:rsidR="00CA1D67" w:rsidRPr="009C6218">
        <w:rPr>
          <w:lang w:val="fr-CA"/>
        </w:rPr>
        <w:t>.</w:t>
      </w:r>
    </w:p>
    <w:p w14:paraId="1877CC72" w14:textId="0E74C3B5" w:rsidR="000E7DCB" w:rsidRPr="009C6218" w:rsidRDefault="000E7DCB" w:rsidP="00F77088">
      <w:pPr>
        <w:pStyle w:val="Heading1"/>
        <w:spacing w:before="600"/>
        <w:rPr>
          <w:lang w:val="fr-CA"/>
        </w:rPr>
      </w:pPr>
      <w:bookmarkStart w:id="32" w:name="_Toc42946543"/>
      <w:r w:rsidRPr="009C6218">
        <w:rPr>
          <w:lang w:val="fr-CA"/>
        </w:rPr>
        <w:t>PART</w:t>
      </w:r>
      <w:r w:rsidR="00466C0F" w:rsidRPr="009C6218">
        <w:rPr>
          <w:lang w:val="fr-CA"/>
        </w:rPr>
        <w:t>IE</w:t>
      </w:r>
      <w:r w:rsidRPr="009C6218">
        <w:rPr>
          <w:lang w:val="fr-CA"/>
        </w:rPr>
        <w:t xml:space="preserve"> </w:t>
      </w:r>
      <w:r w:rsidR="00D20511" w:rsidRPr="009C6218">
        <w:rPr>
          <w:lang w:val="fr-CA"/>
        </w:rPr>
        <w:t>V</w:t>
      </w:r>
      <w:r w:rsidR="00A67ACE" w:rsidRPr="009C6218">
        <w:rPr>
          <w:lang w:val="fr-CA"/>
        </w:rPr>
        <w:t>I</w:t>
      </w:r>
      <w:r w:rsidRPr="009C6218">
        <w:rPr>
          <w:lang w:val="fr-CA"/>
        </w:rPr>
        <w:t>I</w:t>
      </w:r>
      <w:r w:rsidR="00466C0F" w:rsidRPr="009C6218">
        <w:rPr>
          <w:lang w:val="fr-CA"/>
        </w:rPr>
        <w:t xml:space="preserve"> </w:t>
      </w:r>
      <w:r w:rsidRPr="009C6218">
        <w:rPr>
          <w:lang w:val="fr-CA"/>
        </w:rPr>
        <w:t xml:space="preserve">: </w:t>
      </w:r>
      <w:r w:rsidR="00466C0F" w:rsidRPr="009C6218">
        <w:rPr>
          <w:lang w:val="fr-CA"/>
        </w:rPr>
        <w:t xml:space="preserve">RÉSUMÉ </w:t>
      </w:r>
      <w:r w:rsidR="005E3ECC" w:rsidRPr="009C6218">
        <w:rPr>
          <w:lang w:val="fr-CA"/>
        </w:rPr>
        <w:t>DES</w:t>
      </w:r>
      <w:r w:rsidR="00466C0F" w:rsidRPr="009C6218">
        <w:rPr>
          <w:lang w:val="fr-CA"/>
        </w:rPr>
        <w:t xml:space="preserve"> CONCLUSION</w:t>
      </w:r>
      <w:r w:rsidR="005E3ECC" w:rsidRPr="009C6218">
        <w:rPr>
          <w:lang w:val="fr-CA"/>
        </w:rPr>
        <w:t xml:space="preserve">S EN MATIÈRE </w:t>
      </w:r>
      <w:r w:rsidR="00466C0F" w:rsidRPr="009C6218">
        <w:rPr>
          <w:lang w:val="fr-CA"/>
        </w:rPr>
        <w:t>D’INCONDUITE</w:t>
      </w:r>
      <w:bookmarkEnd w:id="32"/>
      <w:r w:rsidR="00466C0F" w:rsidRPr="009C6218">
        <w:rPr>
          <w:lang w:val="fr-CA"/>
        </w:rPr>
        <w:t xml:space="preserve"> </w:t>
      </w:r>
    </w:p>
    <w:p w14:paraId="4933AD49" w14:textId="7E531269" w:rsidR="000E7DCB" w:rsidRPr="009C6218" w:rsidRDefault="005E3ECC" w:rsidP="00BE6325">
      <w:pPr>
        <w:pStyle w:val="Heading2"/>
        <w:rPr>
          <w:lang w:val="fr-CA"/>
        </w:rPr>
      </w:pPr>
      <w:bookmarkStart w:id="33" w:name="_Toc42946544"/>
      <w:r w:rsidRPr="009C6218">
        <w:rPr>
          <w:lang w:val="fr-CA"/>
        </w:rPr>
        <w:t xml:space="preserve">Première allégation : l’article paru dans le </w:t>
      </w:r>
      <w:r w:rsidR="000E7DCB" w:rsidRPr="009C6218">
        <w:rPr>
          <w:i/>
          <w:lang w:val="fr-CA"/>
        </w:rPr>
        <w:t>National Post</w:t>
      </w:r>
      <w:bookmarkEnd w:id="33"/>
      <w:r w:rsidR="000E7DCB" w:rsidRPr="009C6218">
        <w:rPr>
          <w:lang w:val="fr-CA"/>
        </w:rPr>
        <w:t xml:space="preserve"> </w:t>
      </w:r>
    </w:p>
    <w:p w14:paraId="18DCD9A8" w14:textId="731891B6" w:rsidR="00AF77FF" w:rsidRPr="009C6218" w:rsidRDefault="005E3ECC" w:rsidP="00F13B79">
      <w:pPr>
        <w:numPr>
          <w:ilvl w:val="0"/>
          <w:numId w:val="1"/>
        </w:numPr>
        <w:spacing w:after="200" w:line="276" w:lineRule="auto"/>
        <w:ind w:left="567" w:hanging="567"/>
        <w:rPr>
          <w:rFonts w:eastAsia="Arial" w:cs="Times New Roman"/>
          <w:b/>
          <w:lang w:val="fr-CA"/>
        </w:rPr>
      </w:pPr>
      <w:r w:rsidRPr="009C6218">
        <w:rPr>
          <w:lang w:val="fr-CA"/>
        </w:rPr>
        <w:t>Le comité d’audition conclut qu’en rédigeant l’Article intitulé « </w:t>
      </w:r>
      <w:proofErr w:type="spellStart"/>
      <w:r w:rsidR="009339DB" w:rsidRPr="009C6218">
        <w:rPr>
          <w:rFonts w:eastAsia="Arial" w:cs="Times New Roman"/>
          <w:lang w:val="fr-CA"/>
        </w:rPr>
        <w:t>When</w:t>
      </w:r>
      <w:proofErr w:type="spellEnd"/>
      <w:r w:rsidR="009339DB" w:rsidRPr="009C6218">
        <w:rPr>
          <w:rFonts w:eastAsia="Arial" w:cs="Times New Roman"/>
          <w:lang w:val="fr-CA"/>
        </w:rPr>
        <w:t xml:space="preserve"> bail courts </w:t>
      </w:r>
      <w:proofErr w:type="spellStart"/>
      <w:r w:rsidR="009339DB" w:rsidRPr="009C6218">
        <w:rPr>
          <w:rFonts w:eastAsia="Arial" w:cs="Times New Roman"/>
          <w:lang w:val="fr-CA"/>
        </w:rPr>
        <w:t>don’t</w:t>
      </w:r>
      <w:proofErr w:type="spellEnd"/>
      <w:r w:rsidR="009339DB" w:rsidRPr="009C6218">
        <w:rPr>
          <w:rFonts w:eastAsia="Arial" w:cs="Times New Roman"/>
          <w:lang w:val="fr-CA"/>
        </w:rPr>
        <w:t xml:space="preserve"> follow the </w:t>
      </w:r>
      <w:proofErr w:type="spellStart"/>
      <w:r w:rsidR="009339DB" w:rsidRPr="009C6218">
        <w:rPr>
          <w:rFonts w:eastAsia="Arial" w:cs="Times New Roman"/>
          <w:lang w:val="fr-CA"/>
        </w:rPr>
        <w:t>law</w:t>
      </w:r>
      <w:proofErr w:type="spellEnd"/>
      <w:r w:rsidRPr="009C6218">
        <w:rPr>
          <w:rFonts w:eastAsia="Arial" w:cs="Times New Roman"/>
          <w:lang w:val="fr-CA"/>
        </w:rPr>
        <w:t> », de la manière dont elle l’a fait, et le faisant publier, la juge de paix a commis une inconduite judiciaire. Comme expliqué plus haut, pour arriver à cette conclusion, nous avons su</w:t>
      </w:r>
      <w:r w:rsidR="00776713">
        <w:rPr>
          <w:rFonts w:eastAsia="Arial" w:cs="Times New Roman"/>
          <w:lang w:val="fr-CA"/>
        </w:rPr>
        <w:t>i</w:t>
      </w:r>
      <w:r w:rsidRPr="009C6218">
        <w:rPr>
          <w:rFonts w:eastAsia="Arial" w:cs="Times New Roman"/>
          <w:lang w:val="fr-CA"/>
        </w:rPr>
        <w:t xml:space="preserve">vi </w:t>
      </w:r>
      <w:r w:rsidRPr="009C6218">
        <w:rPr>
          <w:lang w:val="fr-CA"/>
        </w:rPr>
        <w:t xml:space="preserve">l’approche énoncée dans l’arrêt </w:t>
      </w:r>
      <w:r w:rsidRPr="009C6218">
        <w:rPr>
          <w:i/>
          <w:lang w:val="fr-CA"/>
        </w:rPr>
        <w:t>Doré</w:t>
      </w:r>
      <w:r w:rsidR="00144320" w:rsidRPr="009C6218">
        <w:rPr>
          <w:rFonts w:eastAsia="Arial" w:cs="Times New Roman"/>
          <w:lang w:val="fr-CA"/>
        </w:rPr>
        <w:t xml:space="preserve">. </w:t>
      </w:r>
      <w:r w:rsidRPr="009C6218">
        <w:rPr>
          <w:rFonts w:eastAsia="Arial" w:cs="Times New Roman"/>
          <w:lang w:val="fr-CA"/>
        </w:rPr>
        <w:t xml:space="preserve">Nous avons </w:t>
      </w:r>
      <w:r w:rsidR="00BE2544">
        <w:rPr>
          <w:rFonts w:eastAsia="Arial" w:cs="Times New Roman"/>
          <w:lang w:val="fr-CA"/>
        </w:rPr>
        <w:t>pesé</w:t>
      </w:r>
      <w:r w:rsidRPr="009C6218">
        <w:rPr>
          <w:rFonts w:eastAsia="Arial" w:cs="Times New Roman"/>
          <w:lang w:val="fr-CA"/>
        </w:rPr>
        <w:t xml:space="preserve"> le droit de la juge de la paix à la liberté d’expression</w:t>
      </w:r>
      <w:r w:rsidR="00776713">
        <w:rPr>
          <w:rFonts w:eastAsia="Arial" w:cs="Times New Roman"/>
          <w:lang w:val="fr-CA"/>
        </w:rPr>
        <w:t>,</w:t>
      </w:r>
      <w:r w:rsidRPr="009C6218">
        <w:rPr>
          <w:rFonts w:eastAsia="Arial" w:cs="Times New Roman"/>
          <w:lang w:val="fr-CA"/>
        </w:rPr>
        <w:t xml:space="preserve"> protégé par l’al. </w:t>
      </w:r>
      <w:r w:rsidR="00B25F27" w:rsidRPr="009C6218">
        <w:rPr>
          <w:rFonts w:eastAsia="Arial" w:cs="Times New Roman"/>
          <w:lang w:val="fr-CA"/>
        </w:rPr>
        <w:t>2</w:t>
      </w:r>
      <w:r w:rsidRPr="009C6218">
        <w:rPr>
          <w:rFonts w:eastAsia="Arial" w:cs="Times New Roman"/>
          <w:lang w:val="fr-CA"/>
        </w:rPr>
        <w:t xml:space="preserve"> </w:t>
      </w:r>
      <w:r w:rsidR="00B25F27" w:rsidRPr="009C6218">
        <w:rPr>
          <w:rFonts w:eastAsia="Arial" w:cs="Times New Roman"/>
          <w:lang w:val="fr-CA"/>
        </w:rPr>
        <w:t>b)</w:t>
      </w:r>
      <w:r w:rsidRPr="009C6218">
        <w:rPr>
          <w:rFonts w:eastAsia="Arial" w:cs="Times New Roman"/>
          <w:lang w:val="fr-CA"/>
        </w:rPr>
        <w:t xml:space="preserve"> de la Charte</w:t>
      </w:r>
      <w:r w:rsidR="00776713">
        <w:rPr>
          <w:rFonts w:eastAsia="Arial" w:cs="Times New Roman"/>
          <w:lang w:val="fr-CA"/>
        </w:rPr>
        <w:t>,</w:t>
      </w:r>
      <w:r w:rsidRPr="009C6218">
        <w:rPr>
          <w:rFonts w:eastAsia="Arial" w:cs="Times New Roman"/>
          <w:lang w:val="fr-CA"/>
        </w:rPr>
        <w:t xml:space="preserve"> </w:t>
      </w:r>
      <w:r w:rsidR="00BE2544">
        <w:rPr>
          <w:rFonts w:eastAsia="Arial" w:cs="Times New Roman"/>
          <w:lang w:val="fr-CA"/>
        </w:rPr>
        <w:t xml:space="preserve">par rapport à </w:t>
      </w:r>
      <w:r w:rsidRPr="009C6218">
        <w:rPr>
          <w:rFonts w:eastAsia="Arial" w:cs="Times New Roman"/>
          <w:lang w:val="fr-CA"/>
        </w:rPr>
        <w:t>ses devoirs et obligations à titre d’officier de justice. Nous concluons que la cond</w:t>
      </w:r>
      <w:r w:rsidR="00BE2544">
        <w:rPr>
          <w:rFonts w:eastAsia="Arial" w:cs="Times New Roman"/>
          <w:lang w:val="fr-CA"/>
        </w:rPr>
        <w:t xml:space="preserve">uite reprochée sort des limites de conduite </w:t>
      </w:r>
      <w:r w:rsidRPr="009C6218">
        <w:rPr>
          <w:rFonts w:eastAsia="Arial" w:cs="Times New Roman"/>
          <w:lang w:val="fr-CA"/>
        </w:rPr>
        <w:t>auxquelles le public peut s’attendre d’un officier de justice</w:t>
      </w:r>
      <w:r w:rsidR="00864D3A" w:rsidRPr="009C6218">
        <w:rPr>
          <w:rFonts w:eastAsia="Arial" w:cs="Times New Roman"/>
          <w:lang w:val="fr-CA"/>
        </w:rPr>
        <w:t>.</w:t>
      </w:r>
    </w:p>
    <w:p w14:paraId="5E8BA408" w14:textId="312FDE3C" w:rsidR="000E7DCB" w:rsidRPr="009C6218" w:rsidRDefault="005E3ECC" w:rsidP="00F13B79">
      <w:pPr>
        <w:numPr>
          <w:ilvl w:val="0"/>
          <w:numId w:val="1"/>
        </w:numPr>
        <w:spacing w:after="200" w:line="276" w:lineRule="auto"/>
        <w:ind w:left="567" w:hanging="567"/>
        <w:rPr>
          <w:lang w:val="fr-CA"/>
        </w:rPr>
      </w:pPr>
      <w:r w:rsidRPr="009C6218">
        <w:rPr>
          <w:rFonts w:eastAsia="Arial" w:cs="Times New Roman"/>
          <w:lang w:val="fr-CA"/>
        </w:rPr>
        <w:t xml:space="preserve">Pour les raisons exposées dans les présents Motifs, nous jugeons que la conduite de la juge de paix est contraire aux Principes de la charge judiciaire, que la juge de paix a miné l’intégrité et l’impartialité de la magistrature et qu’elle a </w:t>
      </w:r>
      <w:r w:rsidR="001050F8" w:rsidRPr="009C6218">
        <w:rPr>
          <w:lang w:val="fr-CA"/>
        </w:rPr>
        <w:t xml:space="preserve">utilisé de façon inappropriée le pouvoir et le prestige de sa fonction judiciaire pour </w:t>
      </w:r>
      <w:r w:rsidR="001050F8" w:rsidRPr="009C6218">
        <w:rPr>
          <w:rFonts w:eastAsia="Arial" w:cs="Times New Roman"/>
          <w:lang w:val="fr-CA"/>
        </w:rPr>
        <w:t>exprimer son opinion sur les tribunaux de mise en liberté sous caution et d’autres participants au système judiciaire dans un journal national</w:t>
      </w:r>
      <w:r w:rsidR="00C02A63" w:rsidRPr="009C6218">
        <w:rPr>
          <w:rFonts w:eastAsia="Arial" w:cs="Times New Roman"/>
          <w:lang w:val="fr-CA"/>
        </w:rPr>
        <w:t>.</w:t>
      </w:r>
    </w:p>
    <w:p w14:paraId="37307520" w14:textId="0412A237" w:rsidR="000E7DCB" w:rsidRPr="009C6218" w:rsidRDefault="001050F8" w:rsidP="00F13B79">
      <w:pPr>
        <w:numPr>
          <w:ilvl w:val="0"/>
          <w:numId w:val="1"/>
        </w:numPr>
        <w:spacing w:after="200" w:line="276" w:lineRule="auto"/>
        <w:ind w:left="567" w:hanging="567"/>
        <w:rPr>
          <w:lang w:val="fr-CA"/>
        </w:rPr>
      </w:pPr>
      <w:r w:rsidRPr="009C6218">
        <w:rPr>
          <w:rFonts w:eastAsia="Arial" w:cs="Times New Roman"/>
          <w:lang w:val="fr-CA"/>
        </w:rPr>
        <w:t>Dans l’</w:t>
      </w:r>
      <w:r w:rsidR="009E48E1" w:rsidRPr="009C6218">
        <w:rPr>
          <w:rFonts w:eastAsia="Arial" w:cs="Times New Roman"/>
          <w:lang w:val="fr-CA"/>
        </w:rPr>
        <w:t>A</w:t>
      </w:r>
      <w:r w:rsidR="000E7DCB" w:rsidRPr="009C6218">
        <w:rPr>
          <w:rFonts w:eastAsia="Arial" w:cs="Times New Roman"/>
          <w:lang w:val="fr-CA"/>
        </w:rPr>
        <w:t>rticle</w:t>
      </w:r>
      <w:r w:rsidR="00F77088" w:rsidRPr="009C6218">
        <w:rPr>
          <w:rFonts w:eastAsia="Arial" w:cs="Times New Roman"/>
          <w:lang w:val="fr-CA"/>
        </w:rPr>
        <w:t>,</w:t>
      </w:r>
      <w:r w:rsidR="000E7DCB" w:rsidRPr="009C6218">
        <w:rPr>
          <w:rFonts w:eastAsia="Arial" w:cs="Times New Roman"/>
          <w:lang w:val="fr-CA"/>
        </w:rPr>
        <w:t xml:space="preserve"> </w:t>
      </w:r>
      <w:r w:rsidRPr="009C6218">
        <w:rPr>
          <w:rFonts w:eastAsia="Arial" w:cs="Times New Roman"/>
          <w:lang w:val="fr-CA"/>
        </w:rPr>
        <w:t xml:space="preserve">la juge de paix </w:t>
      </w:r>
      <w:r w:rsidRPr="009C6218">
        <w:rPr>
          <w:color w:val="000000" w:themeColor="text1"/>
          <w:lang w:val="fr-CA"/>
        </w:rPr>
        <w:t xml:space="preserve">a fait des remarques désobligeantes et insultantes, et a formulé des allégations d’inconduite, générales et spécifiques, à l’endroit des procureurs de la Couronne sans égard </w:t>
      </w:r>
      <w:r w:rsidR="00B447FB" w:rsidRPr="009C6218">
        <w:rPr>
          <w:lang w:val="fr-CA"/>
        </w:rPr>
        <w:t xml:space="preserve">pour la réputation, tant personnelle que professionnelle, de personnes </w:t>
      </w:r>
      <w:r w:rsidRPr="009C6218">
        <w:rPr>
          <w:rFonts w:eastAsia="Arial" w:cs="Times New Roman"/>
          <w:lang w:val="fr-CA"/>
        </w:rPr>
        <w:t>qu’elle n’a pas nommées, mais qu’elle savait pouvoir être facilement identifiées dans le petit cercle du palais de justice</w:t>
      </w:r>
      <w:r w:rsidR="00E25B9E" w:rsidRPr="009C6218">
        <w:rPr>
          <w:rStyle w:val="FootnoteReference"/>
          <w:rFonts w:eastAsia="Arial" w:cs="Times New Roman"/>
          <w:lang w:val="fr-CA"/>
        </w:rPr>
        <w:footnoteReference w:id="37"/>
      </w:r>
      <w:r w:rsidRPr="009C6218">
        <w:rPr>
          <w:rFonts w:eastAsia="Arial" w:cs="Times New Roman"/>
          <w:lang w:val="fr-CA"/>
        </w:rPr>
        <w:t>.</w:t>
      </w:r>
      <w:r w:rsidR="000E7DCB" w:rsidRPr="009C6218">
        <w:rPr>
          <w:rFonts w:eastAsia="Arial" w:cs="Times New Roman"/>
          <w:lang w:val="fr-CA"/>
        </w:rPr>
        <w:t xml:space="preserve"> </w:t>
      </w:r>
    </w:p>
    <w:p w14:paraId="668A49DB" w14:textId="1582F643" w:rsidR="00C314D3" w:rsidRPr="009C6218" w:rsidRDefault="00054777" w:rsidP="00F13B79">
      <w:pPr>
        <w:numPr>
          <w:ilvl w:val="0"/>
          <w:numId w:val="1"/>
        </w:numPr>
        <w:spacing w:after="200" w:line="276" w:lineRule="auto"/>
        <w:ind w:left="567" w:hanging="567"/>
        <w:rPr>
          <w:rFonts w:eastAsia="Arial" w:cs="Times New Roman"/>
          <w:b/>
          <w:lang w:val="fr-CA"/>
        </w:rPr>
      </w:pPr>
      <w:r w:rsidRPr="009C6218">
        <w:rPr>
          <w:rFonts w:eastAsia="Arial" w:cs="Times New Roman"/>
          <w:szCs w:val="26"/>
          <w:lang w:val="fr-CA"/>
        </w:rPr>
        <w:t xml:space="preserve">À cet égard, elle n’a fait preuve d’aucune retenue </w:t>
      </w:r>
      <w:r w:rsidR="00BE2544">
        <w:rPr>
          <w:rFonts w:eastAsia="Arial" w:cs="Times New Roman"/>
          <w:szCs w:val="26"/>
          <w:lang w:val="fr-CA"/>
        </w:rPr>
        <w:t xml:space="preserve">ou diligence </w:t>
      </w:r>
      <w:r w:rsidRPr="009C6218">
        <w:rPr>
          <w:rFonts w:eastAsia="Arial" w:cs="Times New Roman"/>
          <w:szCs w:val="26"/>
          <w:lang w:val="fr-CA"/>
        </w:rPr>
        <w:t>dans le style qu’elle a adopté pour rédiger l’Article ou dans le choix d’un forum on ne peut plus public pour diffuser son opinion. Le</w:t>
      </w:r>
      <w:r w:rsidR="00B31601" w:rsidRPr="009C6218">
        <w:rPr>
          <w:rFonts w:eastAsia="Arial" w:cs="Times New Roman"/>
          <w:szCs w:val="26"/>
          <w:lang w:val="fr-CA"/>
        </w:rPr>
        <w:t xml:space="preserve"> langage utilisé </w:t>
      </w:r>
      <w:r w:rsidRPr="009C6218">
        <w:rPr>
          <w:rFonts w:eastAsia="Arial" w:cs="Times New Roman"/>
          <w:szCs w:val="26"/>
          <w:lang w:val="fr-CA"/>
        </w:rPr>
        <w:t xml:space="preserve">et le ton de l’Article </w:t>
      </w:r>
      <w:r w:rsidR="00B31601" w:rsidRPr="009C6218">
        <w:rPr>
          <w:rFonts w:eastAsia="Arial" w:cs="Times New Roman"/>
          <w:szCs w:val="26"/>
          <w:lang w:val="fr-CA"/>
        </w:rPr>
        <w:t>n’étaient pas mesurés, équilibré</w:t>
      </w:r>
      <w:r w:rsidR="00BE2544">
        <w:rPr>
          <w:rFonts w:eastAsia="Arial" w:cs="Times New Roman"/>
          <w:szCs w:val="26"/>
          <w:lang w:val="fr-CA"/>
        </w:rPr>
        <w:t>s</w:t>
      </w:r>
      <w:r w:rsidR="00B31601" w:rsidRPr="009C6218">
        <w:rPr>
          <w:rFonts w:eastAsia="Arial" w:cs="Times New Roman"/>
          <w:szCs w:val="26"/>
          <w:lang w:val="fr-CA"/>
        </w:rPr>
        <w:t>, digne</w:t>
      </w:r>
      <w:r w:rsidR="00BE2544">
        <w:rPr>
          <w:rFonts w:eastAsia="Arial" w:cs="Times New Roman"/>
          <w:szCs w:val="26"/>
          <w:lang w:val="fr-CA"/>
        </w:rPr>
        <w:t>s</w:t>
      </w:r>
      <w:r w:rsidR="00B31601" w:rsidRPr="009C6218">
        <w:rPr>
          <w:rFonts w:eastAsia="Arial" w:cs="Times New Roman"/>
          <w:szCs w:val="26"/>
          <w:lang w:val="fr-CA"/>
        </w:rPr>
        <w:t xml:space="preserve"> ou judicieux. Ses propos étaient insultants, personnels </w:t>
      </w:r>
      <w:r w:rsidR="00B31601" w:rsidRPr="009C6218">
        <w:rPr>
          <w:rFonts w:eastAsia="Arial" w:cs="Times New Roman"/>
          <w:szCs w:val="26"/>
          <w:lang w:val="fr-CA"/>
        </w:rPr>
        <w:lastRenderedPageBreak/>
        <w:t>et incendiaires, bien au-dessous de la norme de conduite attendue des officiers de justice.</w:t>
      </w:r>
    </w:p>
    <w:p w14:paraId="74364320" w14:textId="2ED5E456" w:rsidR="000E7DCB" w:rsidRPr="009C6218" w:rsidRDefault="00360949" w:rsidP="00F13B79">
      <w:pPr>
        <w:numPr>
          <w:ilvl w:val="0"/>
          <w:numId w:val="1"/>
        </w:numPr>
        <w:spacing w:after="200" w:line="276" w:lineRule="auto"/>
        <w:ind w:left="567" w:hanging="567"/>
        <w:rPr>
          <w:rFonts w:eastAsia="Arial" w:cs="Times New Roman"/>
          <w:b/>
          <w:lang w:val="fr-CA"/>
        </w:rPr>
      </w:pPr>
      <w:r w:rsidRPr="009C6218">
        <w:rPr>
          <w:rFonts w:eastAsia="Arial" w:cs="Times New Roman"/>
          <w:lang w:val="fr-CA"/>
        </w:rPr>
        <w:t xml:space="preserve">L’effet général de l’Article a été tel que la juge de paix a </w:t>
      </w:r>
      <w:r w:rsidR="00BE2544">
        <w:rPr>
          <w:rFonts w:eastAsia="Arial" w:cs="Times New Roman"/>
          <w:lang w:val="fr-CA"/>
        </w:rPr>
        <w:t>manqué au</w:t>
      </w:r>
      <w:r w:rsidRPr="009C6218">
        <w:rPr>
          <w:color w:val="000000" w:themeColor="text1"/>
          <w:lang w:val="fr-CA"/>
        </w:rPr>
        <w:t xml:space="preserve"> respect des principes d’intégrité, d’impartialité et d’indépendance </w:t>
      </w:r>
      <w:r w:rsidR="00BE2544">
        <w:rPr>
          <w:color w:val="000000" w:themeColor="text1"/>
          <w:lang w:val="fr-CA"/>
        </w:rPr>
        <w:t>attendu</w:t>
      </w:r>
      <w:r w:rsidRPr="009C6218">
        <w:rPr>
          <w:color w:val="000000" w:themeColor="text1"/>
          <w:lang w:val="fr-CA"/>
        </w:rPr>
        <w:t xml:space="preserve"> des membres de la magistrature</w:t>
      </w:r>
      <w:r w:rsidR="000E7DCB" w:rsidRPr="009C6218">
        <w:rPr>
          <w:rFonts w:eastAsia="Arial" w:cs="Times New Roman"/>
          <w:lang w:val="fr-CA"/>
        </w:rPr>
        <w:t>.</w:t>
      </w:r>
      <w:r w:rsidRPr="009C6218">
        <w:rPr>
          <w:rFonts w:eastAsia="Arial" w:cs="Times New Roman"/>
          <w:lang w:val="fr-CA"/>
        </w:rPr>
        <w:t xml:space="preserve"> Pour préserver la confiance du public envers la magistrature, un juge de paix doit être et paraître impartial et agir avec intégrité. Un juge de paix doit mener ses activités extrajudiciaires d’une façon qui ne suscite aucun doute sur sa capacité d’exercer sa charge judiciaire avec impartialité</w:t>
      </w:r>
      <w:r w:rsidR="00E341CC" w:rsidRPr="009C6218">
        <w:rPr>
          <w:rFonts w:eastAsia="Arial" w:cs="Times New Roman"/>
          <w:lang w:val="fr-CA"/>
        </w:rPr>
        <w:t xml:space="preserve">. </w:t>
      </w:r>
      <w:r w:rsidRPr="009C6218">
        <w:rPr>
          <w:rFonts w:eastAsia="Arial" w:cs="Times New Roman"/>
          <w:lang w:val="fr-CA"/>
        </w:rPr>
        <w:t xml:space="preserve">La juge de paix a publiquement réprimandé </w:t>
      </w:r>
      <w:r w:rsidR="00BE2544" w:rsidRPr="009C6218">
        <w:rPr>
          <w:rFonts w:eastAsia="Arial" w:cs="Times New Roman"/>
          <w:lang w:val="fr-CA"/>
        </w:rPr>
        <w:t>des p</w:t>
      </w:r>
      <w:r w:rsidR="00BE2544">
        <w:rPr>
          <w:rFonts w:eastAsia="Arial" w:cs="Times New Roman"/>
          <w:lang w:val="fr-CA"/>
        </w:rPr>
        <w:t>rocureurs</w:t>
      </w:r>
      <w:r w:rsidR="00BE2544" w:rsidRPr="009C6218">
        <w:rPr>
          <w:rFonts w:eastAsia="Arial" w:cs="Times New Roman"/>
          <w:lang w:val="fr-CA"/>
        </w:rPr>
        <w:t xml:space="preserve"> qui comparaissent devant elle </w:t>
      </w:r>
      <w:r w:rsidRPr="009C6218">
        <w:rPr>
          <w:rFonts w:eastAsia="Arial" w:cs="Times New Roman"/>
          <w:lang w:val="fr-CA"/>
        </w:rPr>
        <w:t xml:space="preserve">et </w:t>
      </w:r>
      <w:r w:rsidR="00BE2544">
        <w:rPr>
          <w:rFonts w:eastAsia="Arial" w:cs="Times New Roman"/>
          <w:lang w:val="fr-CA"/>
        </w:rPr>
        <w:t xml:space="preserve">leur a </w:t>
      </w:r>
      <w:r w:rsidR="00965B66" w:rsidRPr="009C6218">
        <w:rPr>
          <w:rFonts w:eastAsia="Arial" w:cs="Times New Roman"/>
          <w:lang w:val="fr-CA"/>
        </w:rPr>
        <w:t xml:space="preserve">carrément </w:t>
      </w:r>
      <w:r w:rsidR="00BE2544" w:rsidRPr="009C6218">
        <w:rPr>
          <w:rFonts w:eastAsia="Arial" w:cs="Times New Roman"/>
          <w:lang w:val="fr-CA"/>
        </w:rPr>
        <w:t>r</w:t>
      </w:r>
      <w:r w:rsidR="00BE2544">
        <w:rPr>
          <w:rFonts w:eastAsia="Arial" w:cs="Times New Roman"/>
          <w:lang w:val="fr-CA"/>
        </w:rPr>
        <w:t>eproché des</w:t>
      </w:r>
      <w:r w:rsidRPr="009C6218">
        <w:rPr>
          <w:rFonts w:eastAsia="Arial" w:cs="Times New Roman"/>
          <w:lang w:val="fr-CA"/>
        </w:rPr>
        <w:t xml:space="preserve"> problèmes qu’elle a observés dans les tribunaux chargés de la mise en liberté sous caution, ce qui a suscité une crainte de partialité envers </w:t>
      </w:r>
      <w:r w:rsidR="00965B66" w:rsidRPr="009C6218">
        <w:rPr>
          <w:rFonts w:eastAsia="Arial" w:cs="Times New Roman"/>
          <w:lang w:val="fr-CA"/>
        </w:rPr>
        <w:t>les procureurs de la Couronne</w:t>
      </w:r>
      <w:r w:rsidR="00850FCB" w:rsidRPr="009C6218">
        <w:rPr>
          <w:rStyle w:val="FootnoteReference"/>
          <w:rFonts w:eastAsia="Arial" w:cs="Times New Roman"/>
          <w:lang w:val="fr-CA"/>
        </w:rPr>
        <w:footnoteReference w:id="38"/>
      </w:r>
      <w:r w:rsidR="00965B66" w:rsidRPr="009C6218">
        <w:rPr>
          <w:rFonts w:eastAsia="Arial" w:cs="Times New Roman"/>
          <w:lang w:val="fr-CA"/>
        </w:rPr>
        <w:t>.</w:t>
      </w:r>
      <w:r w:rsidR="000E7DCB" w:rsidRPr="009C6218">
        <w:rPr>
          <w:rFonts w:eastAsia="Arial" w:cs="Times New Roman"/>
          <w:lang w:val="fr-CA"/>
        </w:rPr>
        <w:t xml:space="preserve"> </w:t>
      </w:r>
      <w:r w:rsidR="00965B66" w:rsidRPr="009C6218">
        <w:rPr>
          <w:rFonts w:eastAsia="Arial" w:cs="Times New Roman"/>
          <w:lang w:val="fr-CA"/>
        </w:rPr>
        <w:t xml:space="preserve">Enfin, la juge de paix s’est conduite d’une manière qui </w:t>
      </w:r>
      <w:r w:rsidR="00BE2544">
        <w:rPr>
          <w:rFonts w:eastAsia="Arial" w:cs="Times New Roman"/>
          <w:lang w:val="fr-CA"/>
        </w:rPr>
        <w:t xml:space="preserve">a </w:t>
      </w:r>
      <w:r w:rsidR="00965B66" w:rsidRPr="009C6218">
        <w:rPr>
          <w:rFonts w:eastAsia="Arial" w:cs="Times New Roman"/>
          <w:lang w:val="fr-CA"/>
        </w:rPr>
        <w:t xml:space="preserve">miné la confiance du public dans l’administration de la justice lorsqu’elle a affirmé que le tribunal était « une honte » et « dénué </w:t>
      </w:r>
      <w:r w:rsidR="00965B66" w:rsidRPr="009C6218">
        <w:rPr>
          <w:lang w:val="fr-CA"/>
        </w:rPr>
        <w:t>de tout</w:t>
      </w:r>
      <w:r w:rsidR="007A5E7E" w:rsidRPr="009C6218">
        <w:rPr>
          <w:lang w:val="fr-CA"/>
        </w:rPr>
        <w:t>e règle de droit</w:t>
      </w:r>
      <w:r w:rsidR="00965B66" w:rsidRPr="009C6218">
        <w:rPr>
          <w:lang w:val="fr-CA"/>
        </w:rPr>
        <w:t> »</w:t>
      </w:r>
      <w:r w:rsidR="000E7DCB" w:rsidRPr="009C6218">
        <w:rPr>
          <w:rFonts w:eastAsia="Arial" w:cs="Times New Roman"/>
          <w:lang w:val="fr-CA"/>
        </w:rPr>
        <w:t>.</w:t>
      </w:r>
      <w:r w:rsidR="00965B66" w:rsidRPr="009C6218">
        <w:rPr>
          <w:rFonts w:eastAsia="Arial" w:cs="Times New Roman"/>
          <w:lang w:val="fr-CA"/>
        </w:rPr>
        <w:t xml:space="preserve"> Un juge de paix devrait préserver et encourager le respect pour la magistrature et l’administration de la justice, pas l’ébranler.</w:t>
      </w:r>
      <w:r w:rsidR="00E341CC" w:rsidRPr="009C6218">
        <w:rPr>
          <w:rFonts w:eastAsia="Arial" w:cs="Times New Roman"/>
          <w:lang w:val="fr-CA"/>
        </w:rPr>
        <w:t xml:space="preserve"> </w:t>
      </w:r>
    </w:p>
    <w:p w14:paraId="11CED54E" w14:textId="0AB787F4" w:rsidR="008636BE" w:rsidRPr="009C6218" w:rsidRDefault="00965B66" w:rsidP="00E727A0">
      <w:pPr>
        <w:numPr>
          <w:ilvl w:val="0"/>
          <w:numId w:val="1"/>
        </w:numPr>
        <w:spacing w:after="200" w:line="276" w:lineRule="auto"/>
        <w:ind w:left="567" w:hanging="567"/>
        <w:rPr>
          <w:rFonts w:eastAsia="Arial" w:cs="Times New Roman"/>
          <w:b/>
          <w:lang w:val="fr-CA"/>
        </w:rPr>
      </w:pPr>
      <w:r w:rsidRPr="009C6218">
        <w:rPr>
          <w:rFonts w:eastAsia="Arial" w:cs="Times New Roman"/>
          <w:lang w:val="fr-CA"/>
        </w:rPr>
        <w:t xml:space="preserve">La première allégation d’inconduite judiciaire dans l’Avis d’audience, concernant l’Article paru dans le </w:t>
      </w:r>
      <w:r w:rsidR="008636BE" w:rsidRPr="009C6218">
        <w:rPr>
          <w:rFonts w:eastAsia="Arial" w:cs="Times New Roman"/>
          <w:i/>
          <w:lang w:val="fr-CA"/>
        </w:rPr>
        <w:t>National Post</w:t>
      </w:r>
      <w:r w:rsidRPr="009C6218">
        <w:rPr>
          <w:rFonts w:eastAsia="Arial" w:cs="Times New Roman"/>
          <w:i/>
          <w:lang w:val="fr-CA"/>
        </w:rPr>
        <w:t>,</w:t>
      </w:r>
      <w:r w:rsidR="00975291" w:rsidRPr="009C6218">
        <w:rPr>
          <w:rFonts w:eastAsia="Arial" w:cs="Times New Roman"/>
          <w:lang w:val="fr-CA"/>
        </w:rPr>
        <w:t xml:space="preserve"> </w:t>
      </w:r>
      <w:r w:rsidRPr="009C6218">
        <w:rPr>
          <w:rFonts w:eastAsia="Arial" w:cs="Times New Roman"/>
          <w:lang w:val="fr-CA"/>
        </w:rPr>
        <w:t>est donc confirmée</w:t>
      </w:r>
      <w:r w:rsidR="008636BE" w:rsidRPr="009C6218">
        <w:rPr>
          <w:rFonts w:eastAsia="Arial" w:cs="Times New Roman"/>
          <w:lang w:val="fr-CA"/>
        </w:rPr>
        <w:t>.</w:t>
      </w:r>
    </w:p>
    <w:p w14:paraId="152A1D6A" w14:textId="77777777" w:rsidR="00055B97" w:rsidRPr="009C6218" w:rsidRDefault="00055B97">
      <w:pPr>
        <w:rPr>
          <w:b/>
          <w:lang w:val="fr-CA"/>
        </w:rPr>
      </w:pPr>
      <w:r w:rsidRPr="009C6218">
        <w:rPr>
          <w:lang w:val="fr-CA"/>
        </w:rPr>
        <w:br w:type="page"/>
      </w:r>
    </w:p>
    <w:p w14:paraId="60BA1B55" w14:textId="5B860122" w:rsidR="000E7DCB" w:rsidRPr="009C6218" w:rsidRDefault="005E3ECC" w:rsidP="00BE6325">
      <w:pPr>
        <w:pStyle w:val="Heading2"/>
        <w:rPr>
          <w:sz w:val="28"/>
          <w:szCs w:val="28"/>
          <w:lang w:val="fr-CA"/>
        </w:rPr>
      </w:pPr>
      <w:bookmarkStart w:id="34" w:name="_Toc42946545"/>
      <w:r w:rsidRPr="009C6218">
        <w:rPr>
          <w:lang w:val="fr-CA"/>
        </w:rPr>
        <w:lastRenderedPageBreak/>
        <w:t xml:space="preserve">Deuxième allégation </w:t>
      </w:r>
      <w:r w:rsidR="000E7DCB" w:rsidRPr="009C6218">
        <w:rPr>
          <w:lang w:val="fr-CA"/>
        </w:rPr>
        <w:t xml:space="preserve">: </w:t>
      </w:r>
      <w:r w:rsidRPr="009C6218">
        <w:rPr>
          <w:lang w:val="fr-CA"/>
        </w:rPr>
        <w:t>les commentaires à l’audience de mise en liberté sous caution d’AJN</w:t>
      </w:r>
      <w:bookmarkEnd w:id="34"/>
    </w:p>
    <w:p w14:paraId="1129D657" w14:textId="173AAA1A" w:rsidR="00264527" w:rsidRPr="00FD3589" w:rsidRDefault="00965B66" w:rsidP="00E727A0">
      <w:pPr>
        <w:numPr>
          <w:ilvl w:val="0"/>
          <w:numId w:val="1"/>
        </w:numPr>
        <w:spacing w:after="200" w:line="276" w:lineRule="auto"/>
        <w:ind w:left="567" w:hanging="567"/>
        <w:rPr>
          <w:lang w:val="fr-CA"/>
        </w:rPr>
      </w:pPr>
      <w:r w:rsidRPr="009C6218">
        <w:rPr>
          <w:rFonts w:eastAsia="Arial" w:cs="Times New Roman"/>
          <w:lang w:val="fr-CA"/>
        </w:rPr>
        <w:t xml:space="preserve">Le comité d’audition rejette la deuxième allégation se rapportant aux commentaires de la juge de paix lors de l’audience de mise en liberté dans l’affaire </w:t>
      </w:r>
      <w:r w:rsidR="000E7DCB" w:rsidRPr="009C6218">
        <w:rPr>
          <w:rFonts w:eastAsia="Arial" w:cs="Times New Roman"/>
          <w:i/>
          <w:lang w:val="fr-CA"/>
        </w:rPr>
        <w:t>R. v. AJN.</w:t>
      </w:r>
      <w:r w:rsidR="000E7DCB" w:rsidRPr="009C6218">
        <w:rPr>
          <w:rFonts w:eastAsia="Arial" w:cs="Times New Roman"/>
          <w:lang w:val="fr-CA"/>
        </w:rPr>
        <w:t xml:space="preserve"> </w:t>
      </w:r>
      <w:r w:rsidRPr="009C6218">
        <w:rPr>
          <w:rFonts w:eastAsia="Arial" w:cs="Times New Roman"/>
          <w:lang w:val="fr-CA"/>
        </w:rPr>
        <w:t xml:space="preserve">Les propos reprochés ont été formulés lorsque le procureur adjoint de </w:t>
      </w:r>
      <w:r w:rsidRPr="00FD3589">
        <w:rPr>
          <w:rFonts w:eastAsia="Arial" w:cs="Times New Roman"/>
          <w:lang w:val="fr-CA"/>
        </w:rPr>
        <w:t xml:space="preserve">la Couronne s’est fondé sur la décision d’une autre juriste, la juge </w:t>
      </w:r>
      <w:r w:rsidR="00264527" w:rsidRPr="00FD3589">
        <w:rPr>
          <w:rFonts w:eastAsia="Arial" w:cs="Times New Roman"/>
          <w:lang w:val="fr-CA"/>
        </w:rPr>
        <w:t xml:space="preserve">Ratushny, </w:t>
      </w:r>
      <w:r w:rsidRPr="00FD3589">
        <w:rPr>
          <w:rFonts w:eastAsia="Arial" w:cs="Times New Roman"/>
          <w:lang w:val="fr-CA"/>
        </w:rPr>
        <w:t xml:space="preserve">qui siégeait alors à la Cour supérieure de justice, qui infirmait la décision de la juge de paix de remettre en liberté l’accusé dans cette affaire. </w:t>
      </w:r>
    </w:p>
    <w:p w14:paraId="405DEC22" w14:textId="218CB886" w:rsidR="000E7DCB" w:rsidRPr="00FD3589" w:rsidRDefault="00965B66" w:rsidP="00E727A0">
      <w:pPr>
        <w:numPr>
          <w:ilvl w:val="0"/>
          <w:numId w:val="1"/>
        </w:numPr>
        <w:spacing w:after="200" w:line="276" w:lineRule="auto"/>
        <w:ind w:left="567" w:hanging="567"/>
        <w:rPr>
          <w:lang w:val="fr-CA"/>
        </w:rPr>
      </w:pPr>
      <w:r w:rsidRPr="00FD3589">
        <w:rPr>
          <w:rFonts w:eastAsia="Arial" w:cs="Times New Roman"/>
          <w:lang w:val="fr-CA"/>
        </w:rPr>
        <w:t xml:space="preserve">Les remarques de la juge de paix semblent suggérer que même si elle comprend la Charte et qu’elle est liée par ses dispositions, </w:t>
      </w:r>
      <w:r w:rsidR="00FD3589" w:rsidRPr="00FD3589">
        <w:rPr>
          <w:rFonts w:eastAsia="Arial" w:cs="Times New Roman"/>
          <w:lang w:val="fr-CA"/>
        </w:rPr>
        <w:t xml:space="preserve">en ne se reportant pas expressément à la présomption d’innocence dans sa décision de révision de la mise en liberté sous caution, </w:t>
      </w:r>
      <w:r w:rsidRPr="00FD3589">
        <w:rPr>
          <w:rFonts w:eastAsia="Arial" w:cs="Times New Roman"/>
          <w:lang w:val="fr-CA"/>
        </w:rPr>
        <w:t xml:space="preserve">la juge </w:t>
      </w:r>
      <w:r w:rsidR="00BC517F" w:rsidRPr="00FD3589">
        <w:rPr>
          <w:rFonts w:eastAsia="Arial" w:cs="Times New Roman"/>
          <w:lang w:val="fr-CA"/>
        </w:rPr>
        <w:t>Ratushny</w:t>
      </w:r>
      <w:r w:rsidR="00FD3589" w:rsidRPr="00FD3589">
        <w:rPr>
          <w:rFonts w:eastAsia="Arial" w:cs="Times New Roman"/>
          <w:lang w:val="fr-CA"/>
        </w:rPr>
        <w:t xml:space="preserve"> </w:t>
      </w:r>
      <w:r w:rsidRPr="00FD3589">
        <w:rPr>
          <w:rFonts w:eastAsia="Arial" w:cs="Times New Roman"/>
          <w:lang w:val="fr-CA"/>
        </w:rPr>
        <w:t xml:space="preserve">n’a pas examiné le rôle de la présomption d’innocence à l’audience </w:t>
      </w:r>
      <w:r w:rsidR="00776713">
        <w:rPr>
          <w:rFonts w:eastAsia="Arial" w:cs="Times New Roman"/>
          <w:lang w:val="fr-CA"/>
        </w:rPr>
        <w:t>de</w:t>
      </w:r>
      <w:r w:rsidRPr="00FD3589">
        <w:rPr>
          <w:rFonts w:eastAsia="Arial" w:cs="Times New Roman"/>
          <w:lang w:val="fr-CA"/>
        </w:rPr>
        <w:t xml:space="preserve"> mise en liberté sous caution</w:t>
      </w:r>
      <w:r w:rsidR="00BC517F" w:rsidRPr="00FD3589">
        <w:rPr>
          <w:rFonts w:eastAsia="Arial" w:cs="Times New Roman"/>
          <w:lang w:val="fr-CA"/>
        </w:rPr>
        <w:t>.</w:t>
      </w:r>
    </w:p>
    <w:p w14:paraId="75135478" w14:textId="1C860858" w:rsidR="000E7DCB" w:rsidRPr="009C6218" w:rsidRDefault="00965B66" w:rsidP="00E727A0">
      <w:pPr>
        <w:numPr>
          <w:ilvl w:val="0"/>
          <w:numId w:val="1"/>
        </w:numPr>
        <w:spacing w:after="200" w:line="276" w:lineRule="auto"/>
        <w:ind w:left="567" w:hanging="567"/>
        <w:rPr>
          <w:lang w:val="fr-CA"/>
        </w:rPr>
      </w:pPr>
      <w:r w:rsidRPr="009C6218">
        <w:rPr>
          <w:lang w:val="fr-CA"/>
        </w:rPr>
        <w:t xml:space="preserve">Nous estimons que les commentaires de la juge de paix étaient injustes envers la juge </w:t>
      </w:r>
      <w:r w:rsidR="000E7DCB" w:rsidRPr="009C6218">
        <w:rPr>
          <w:lang w:val="fr-CA"/>
        </w:rPr>
        <w:t>Ratushny</w:t>
      </w:r>
      <w:r w:rsidRPr="009C6218">
        <w:rPr>
          <w:lang w:val="fr-CA"/>
        </w:rPr>
        <w:t xml:space="preserve">, car ils ne </w:t>
      </w:r>
      <w:r w:rsidR="00FB68CE" w:rsidRPr="009C6218">
        <w:rPr>
          <w:lang w:val="fr-CA"/>
        </w:rPr>
        <w:t>tenaient pas compte du contexte de la décision de la juge. Les termes « présomption d’innocence » n’apparaissent pas dans la décision de révision de la juge R</w:t>
      </w:r>
      <w:r w:rsidR="000E7DCB" w:rsidRPr="009C6218">
        <w:rPr>
          <w:lang w:val="fr-CA"/>
        </w:rPr>
        <w:t>atushny</w:t>
      </w:r>
      <w:r w:rsidR="00FB68CE" w:rsidRPr="009C6218">
        <w:rPr>
          <w:lang w:val="fr-CA"/>
        </w:rPr>
        <w:t xml:space="preserve"> dans l’affaire </w:t>
      </w:r>
      <w:r w:rsidR="000E7DCB" w:rsidRPr="009C6218">
        <w:rPr>
          <w:i/>
          <w:lang w:val="fr-CA"/>
        </w:rPr>
        <w:t xml:space="preserve">R. v. Nicholas </w:t>
      </w:r>
      <w:proofErr w:type="spellStart"/>
      <w:r w:rsidR="00A87314" w:rsidRPr="009C6218">
        <w:rPr>
          <w:i/>
          <w:lang w:val="fr-CA"/>
        </w:rPr>
        <w:t>Philion</w:t>
      </w:r>
      <w:proofErr w:type="spellEnd"/>
      <w:r w:rsidR="00D11FF2" w:rsidRPr="009C6218">
        <w:rPr>
          <w:i/>
          <w:lang w:val="fr-CA"/>
        </w:rPr>
        <w:t>;</w:t>
      </w:r>
      <w:r w:rsidR="000E7DCB" w:rsidRPr="009C6218">
        <w:rPr>
          <w:lang w:val="fr-CA"/>
        </w:rPr>
        <w:t xml:space="preserve"> </w:t>
      </w:r>
      <w:r w:rsidR="00FB68CE" w:rsidRPr="009C6218">
        <w:rPr>
          <w:lang w:val="fr-CA"/>
        </w:rPr>
        <w:t xml:space="preserve">cependant, il ressort clairement de la lecture de toute la décision que la juge </w:t>
      </w:r>
      <w:r w:rsidR="000E7DCB" w:rsidRPr="009C6218">
        <w:rPr>
          <w:lang w:val="fr-CA"/>
        </w:rPr>
        <w:t xml:space="preserve">Ratushny </w:t>
      </w:r>
      <w:r w:rsidR="00FB68CE" w:rsidRPr="009C6218">
        <w:rPr>
          <w:lang w:val="fr-CA"/>
        </w:rPr>
        <w:t xml:space="preserve">savait très bien que le défendeur n’avait pas encore été déclaré coupable. </w:t>
      </w:r>
    </w:p>
    <w:p w14:paraId="3E751FC3" w14:textId="6BBD3AB3" w:rsidR="00BC517F" w:rsidRPr="009C6218" w:rsidRDefault="00FB68CE" w:rsidP="00E727A0">
      <w:pPr>
        <w:numPr>
          <w:ilvl w:val="0"/>
          <w:numId w:val="1"/>
        </w:numPr>
        <w:spacing w:after="200" w:line="276" w:lineRule="auto"/>
        <w:ind w:left="567" w:hanging="567"/>
        <w:rPr>
          <w:lang w:val="fr-CA"/>
        </w:rPr>
      </w:pPr>
      <w:r w:rsidRPr="009C6218">
        <w:rPr>
          <w:lang w:val="fr-CA"/>
        </w:rPr>
        <w:t xml:space="preserve">Nous acceptons que la juge de paix </w:t>
      </w:r>
      <w:proofErr w:type="gramStart"/>
      <w:r w:rsidRPr="009C6218">
        <w:rPr>
          <w:lang w:val="fr-CA"/>
        </w:rPr>
        <w:t>n’avait</w:t>
      </w:r>
      <w:proofErr w:type="gramEnd"/>
      <w:r w:rsidRPr="009C6218">
        <w:rPr>
          <w:lang w:val="fr-CA"/>
        </w:rPr>
        <w:t xml:space="preserve"> pas l’intention d’insulter la juge Ratushny, comme elle l’a affirmé dans son témoignage</w:t>
      </w:r>
      <w:r w:rsidR="003768B1" w:rsidRPr="009C6218">
        <w:rPr>
          <w:lang w:val="fr-CA"/>
        </w:rPr>
        <w:t xml:space="preserve">. </w:t>
      </w:r>
      <w:r w:rsidRPr="009C6218">
        <w:rPr>
          <w:lang w:val="fr-CA"/>
        </w:rPr>
        <w:t>Nous prenons aussi en considération le fait que les propos reprochés ont été exprimés dans un jugement oral impromptu</w:t>
      </w:r>
      <w:r w:rsidR="00BC517F" w:rsidRPr="009C6218">
        <w:rPr>
          <w:lang w:val="fr-CA"/>
        </w:rPr>
        <w:t>.</w:t>
      </w:r>
    </w:p>
    <w:p w14:paraId="1E2807DB" w14:textId="3B5F60BC" w:rsidR="000A0222" w:rsidRPr="009C6218" w:rsidRDefault="00FB68CE" w:rsidP="00C60398">
      <w:pPr>
        <w:numPr>
          <w:ilvl w:val="0"/>
          <w:numId w:val="1"/>
        </w:numPr>
        <w:spacing w:after="200" w:line="276" w:lineRule="auto"/>
        <w:ind w:left="567" w:hanging="567"/>
        <w:rPr>
          <w:lang w:val="fr-CA"/>
        </w:rPr>
      </w:pPr>
      <w:r w:rsidRPr="009C6218">
        <w:rPr>
          <w:lang w:val="fr-CA"/>
        </w:rPr>
        <w:t>Enfin, nous jugeons que les commentaires de la juge de paix, même pris au pied de la lettre, ne menacent pas l’intégrité de la magistrature dans son ensemble. Dans les circonstances, nous concluons donc que les commentaires reprochés n’atteignent pas le niveau d’une inconduite judiciaire</w:t>
      </w:r>
      <w:r w:rsidR="000E7DCB" w:rsidRPr="009C6218">
        <w:rPr>
          <w:lang w:val="fr-CA"/>
        </w:rPr>
        <w:t>.</w:t>
      </w:r>
    </w:p>
    <w:p w14:paraId="1B3CED21" w14:textId="77777777" w:rsidR="00CC2B10" w:rsidRPr="009C6218" w:rsidRDefault="00CC2B10" w:rsidP="00BC517F">
      <w:pPr>
        <w:rPr>
          <w:rFonts w:asciiTheme="majorHAnsi" w:hAnsiTheme="majorHAnsi" w:cstheme="majorHAnsi"/>
          <w:b/>
          <w:sz w:val="28"/>
          <w:szCs w:val="28"/>
          <w:lang w:val="fr-CA"/>
        </w:rPr>
      </w:pPr>
    </w:p>
    <w:p w14:paraId="786CD61C" w14:textId="546E7C82" w:rsidR="000E62F1" w:rsidRPr="009C6218" w:rsidRDefault="00B77F37" w:rsidP="00896F4E">
      <w:pPr>
        <w:pStyle w:val="Heading1"/>
        <w:ind w:left="1276" w:hanging="1276"/>
        <w:rPr>
          <w:lang w:val="fr-CA"/>
        </w:rPr>
      </w:pPr>
      <w:bookmarkStart w:id="35" w:name="_Toc42946546"/>
      <w:r w:rsidRPr="009C6218">
        <w:rPr>
          <w:lang w:val="fr-CA"/>
        </w:rPr>
        <w:t>PART</w:t>
      </w:r>
      <w:r w:rsidR="00FB68CE" w:rsidRPr="009C6218">
        <w:rPr>
          <w:lang w:val="fr-CA"/>
        </w:rPr>
        <w:t>IE</w:t>
      </w:r>
      <w:r w:rsidRPr="009C6218">
        <w:rPr>
          <w:lang w:val="fr-CA"/>
        </w:rPr>
        <w:t xml:space="preserve"> VIII</w:t>
      </w:r>
      <w:r w:rsidR="00FB68CE" w:rsidRPr="009C6218">
        <w:rPr>
          <w:lang w:val="fr-CA"/>
        </w:rPr>
        <w:t xml:space="preserve"> </w:t>
      </w:r>
      <w:r w:rsidR="000A0222" w:rsidRPr="009C6218">
        <w:rPr>
          <w:lang w:val="fr-CA"/>
        </w:rPr>
        <w:t xml:space="preserve">: </w:t>
      </w:r>
      <w:r w:rsidR="000B360B" w:rsidRPr="009C6218">
        <w:rPr>
          <w:lang w:val="fr-CA"/>
        </w:rPr>
        <w:t>A</w:t>
      </w:r>
      <w:r w:rsidR="00386BD5" w:rsidRPr="009C6218">
        <w:rPr>
          <w:lang w:val="fr-CA"/>
        </w:rPr>
        <w:t>na</w:t>
      </w:r>
      <w:r w:rsidR="00186B57" w:rsidRPr="009C6218">
        <w:rPr>
          <w:lang w:val="fr-CA"/>
        </w:rPr>
        <w:t>l</w:t>
      </w:r>
      <w:r w:rsidR="00386BD5" w:rsidRPr="009C6218">
        <w:rPr>
          <w:lang w:val="fr-CA"/>
        </w:rPr>
        <w:t>ys</w:t>
      </w:r>
      <w:r w:rsidR="00FB68CE" w:rsidRPr="009C6218">
        <w:rPr>
          <w:lang w:val="fr-CA"/>
        </w:rPr>
        <w:t>E DE LA PREMIÈRE ALLÉGATION D’INCONDUITE JUDICIAIRE</w:t>
      </w:r>
      <w:bookmarkEnd w:id="35"/>
      <w:r w:rsidR="00FB68CE" w:rsidRPr="009C6218">
        <w:rPr>
          <w:lang w:val="fr-CA"/>
        </w:rPr>
        <w:t xml:space="preserve"> </w:t>
      </w:r>
    </w:p>
    <w:p w14:paraId="32BAABE6" w14:textId="77777777" w:rsidR="00BE6325" w:rsidRPr="009C6218" w:rsidRDefault="00BE6325" w:rsidP="00BE6325">
      <w:pPr>
        <w:rPr>
          <w:lang w:val="fr-CA"/>
        </w:rPr>
      </w:pPr>
    </w:p>
    <w:p w14:paraId="28F26F0F" w14:textId="4FBA9B01" w:rsidR="00CC2B10" w:rsidRPr="009C6218" w:rsidRDefault="00FB68CE" w:rsidP="00464435">
      <w:pPr>
        <w:pStyle w:val="Heading2"/>
        <w:spacing w:before="120"/>
        <w:rPr>
          <w:lang w:val="fr-CA"/>
        </w:rPr>
      </w:pPr>
      <w:bookmarkStart w:id="36" w:name="_Toc42946547"/>
      <w:r w:rsidRPr="009C6218">
        <w:rPr>
          <w:lang w:val="fr-CA"/>
        </w:rPr>
        <w:t>L’</w:t>
      </w:r>
      <w:r w:rsidR="000E62F1" w:rsidRPr="009C6218">
        <w:rPr>
          <w:lang w:val="fr-CA"/>
        </w:rPr>
        <w:t>Article</w:t>
      </w:r>
      <w:bookmarkEnd w:id="36"/>
    </w:p>
    <w:p w14:paraId="0C3E6AA0" w14:textId="2F71DCC5" w:rsidR="005C2288" w:rsidRPr="009C6218" w:rsidRDefault="00FB68CE" w:rsidP="00C60398">
      <w:pPr>
        <w:numPr>
          <w:ilvl w:val="0"/>
          <w:numId w:val="1"/>
        </w:numPr>
        <w:spacing w:after="200" w:line="276" w:lineRule="auto"/>
        <w:ind w:left="567" w:hanging="567"/>
        <w:rPr>
          <w:lang w:val="fr-CA"/>
        </w:rPr>
      </w:pPr>
      <w:r w:rsidRPr="009C6218">
        <w:rPr>
          <w:lang w:val="fr-CA"/>
        </w:rPr>
        <w:t xml:space="preserve">Cette partie de l’analyse portera sur l’Article lui-même et se fondera sur le cadre analytique énoncé aux parties </w:t>
      </w:r>
      <w:r w:rsidR="00935F9F" w:rsidRPr="009C6218">
        <w:rPr>
          <w:lang w:val="fr-CA"/>
        </w:rPr>
        <w:t xml:space="preserve">IV </w:t>
      </w:r>
      <w:r w:rsidRPr="009C6218">
        <w:rPr>
          <w:lang w:val="fr-CA"/>
        </w:rPr>
        <w:t>et</w:t>
      </w:r>
      <w:r w:rsidR="004D1BB8" w:rsidRPr="009C6218">
        <w:rPr>
          <w:lang w:val="fr-CA"/>
        </w:rPr>
        <w:t xml:space="preserve"> VI, B. ii (</w:t>
      </w:r>
      <w:r w:rsidRPr="009C6218">
        <w:rPr>
          <w:lang w:val="fr-CA"/>
        </w:rPr>
        <w:t xml:space="preserve">les principes de la Charte en vertu de l’alinéa </w:t>
      </w:r>
      <w:r w:rsidR="004D1BB8" w:rsidRPr="009C6218">
        <w:rPr>
          <w:lang w:val="fr-CA"/>
        </w:rPr>
        <w:t xml:space="preserve">2b)) </w:t>
      </w:r>
      <w:r w:rsidRPr="009C6218">
        <w:rPr>
          <w:lang w:val="fr-CA"/>
        </w:rPr>
        <w:t xml:space="preserve">ci-dessus. Elle répondra aux questions suivantes </w:t>
      </w:r>
      <w:r w:rsidR="005C2288" w:rsidRPr="009C6218">
        <w:rPr>
          <w:lang w:val="fr-CA"/>
        </w:rPr>
        <w:t>:</w:t>
      </w:r>
    </w:p>
    <w:p w14:paraId="0752398F" w14:textId="5065A504" w:rsidR="001F082B" w:rsidRPr="009C6218" w:rsidRDefault="00FB68CE" w:rsidP="00C60398">
      <w:pPr>
        <w:pStyle w:val="ListParagraph"/>
        <w:numPr>
          <w:ilvl w:val="0"/>
          <w:numId w:val="8"/>
        </w:numPr>
        <w:spacing w:after="160" w:line="256" w:lineRule="auto"/>
        <w:ind w:right="855" w:hanging="229"/>
        <w:rPr>
          <w:lang w:val="fr-CA"/>
        </w:rPr>
      </w:pPr>
      <w:bookmarkStart w:id="37" w:name="_Hlk39740799"/>
      <w:bookmarkStart w:id="38" w:name="_Hlk39741031"/>
      <w:r w:rsidRPr="009C6218">
        <w:rPr>
          <w:lang w:val="fr-CA"/>
        </w:rPr>
        <w:lastRenderedPageBreak/>
        <w:t xml:space="preserve">Le langage, le ton et </w:t>
      </w:r>
      <w:r w:rsidR="005D40C4" w:rsidRPr="009C6218">
        <w:rPr>
          <w:lang w:val="fr-CA"/>
        </w:rPr>
        <w:t xml:space="preserve">le style en </w:t>
      </w:r>
      <w:r w:rsidRPr="009C6218">
        <w:rPr>
          <w:lang w:val="fr-CA"/>
        </w:rPr>
        <w:t>général de l’Article respectaient-ils les obligations déontologiques d’un magistrat et la norme élevée de conduite attendue d’un magistrat et, en particulier, l’obligation de préserver la confiance du public dans l’indépendance, l’intégrité et l’impartialité des magistrats</w:t>
      </w:r>
      <w:r w:rsidR="001F082B" w:rsidRPr="009C6218">
        <w:rPr>
          <w:lang w:val="fr-CA"/>
        </w:rPr>
        <w:t>?</w:t>
      </w:r>
    </w:p>
    <w:bookmarkEnd w:id="37"/>
    <w:p w14:paraId="4FAA097F" w14:textId="77777777" w:rsidR="00D11FF2" w:rsidRPr="009C6218" w:rsidRDefault="00D11FF2" w:rsidP="00D11FF2">
      <w:pPr>
        <w:pStyle w:val="ListParagraph"/>
        <w:spacing w:after="160" w:line="256" w:lineRule="auto"/>
        <w:ind w:left="1080" w:right="855"/>
        <w:rPr>
          <w:lang w:val="fr-CA"/>
        </w:rPr>
      </w:pPr>
    </w:p>
    <w:p w14:paraId="7876E914" w14:textId="6CC496EC" w:rsidR="001F082B" w:rsidRPr="009C6218" w:rsidRDefault="00FB68CE" w:rsidP="00F834CB">
      <w:pPr>
        <w:pStyle w:val="ListParagraph"/>
        <w:numPr>
          <w:ilvl w:val="0"/>
          <w:numId w:val="8"/>
        </w:numPr>
        <w:spacing w:after="160" w:line="256" w:lineRule="auto"/>
        <w:ind w:right="855"/>
        <w:rPr>
          <w:lang w:val="fr-CA"/>
        </w:rPr>
      </w:pPr>
      <w:bookmarkStart w:id="39" w:name="_Hlk39741798"/>
      <w:r w:rsidRPr="009C6218">
        <w:rPr>
          <w:lang w:val="fr-CA"/>
        </w:rPr>
        <w:t>Même si l’Article ne respectait pas les obligations déontologiques d’un magistrat et la norme élevée de conduite attendue d’un magistrat</w:t>
      </w:r>
      <w:r w:rsidR="00D50C35" w:rsidRPr="009C6218">
        <w:rPr>
          <w:lang w:val="fr-CA"/>
        </w:rPr>
        <w:t>,</w:t>
      </w:r>
      <w:r w:rsidR="001F082B" w:rsidRPr="009C6218">
        <w:rPr>
          <w:lang w:val="fr-CA"/>
        </w:rPr>
        <w:t xml:space="preserve"> </w:t>
      </w:r>
      <w:r w:rsidRPr="009C6218">
        <w:rPr>
          <w:lang w:val="fr-CA"/>
        </w:rPr>
        <w:t xml:space="preserve">atteint-il le niveau d’une inconduite judiciaire si l’on tient compte de toutes les circonstances, de sorte qu’une </w:t>
      </w:r>
      <w:r w:rsidR="0000366D" w:rsidRPr="009C6218">
        <w:rPr>
          <w:lang w:val="fr-CA"/>
        </w:rPr>
        <w:t>mesure soit nécessaire pour rétablir la confiance du public dans la magistrature</w:t>
      </w:r>
      <w:r w:rsidR="001F082B" w:rsidRPr="009C6218">
        <w:rPr>
          <w:lang w:val="fr-CA"/>
        </w:rPr>
        <w:t>?</w:t>
      </w:r>
    </w:p>
    <w:bookmarkEnd w:id="38"/>
    <w:bookmarkEnd w:id="39"/>
    <w:p w14:paraId="52198BC6" w14:textId="77777777" w:rsidR="00D11FF2" w:rsidRPr="009C6218" w:rsidRDefault="00D11FF2" w:rsidP="00D11FF2">
      <w:pPr>
        <w:pStyle w:val="ListParagraph"/>
        <w:rPr>
          <w:lang w:val="fr-CA"/>
        </w:rPr>
      </w:pPr>
    </w:p>
    <w:p w14:paraId="7C39D581" w14:textId="27726504" w:rsidR="005C2288" w:rsidRPr="009C6218" w:rsidRDefault="005B788E" w:rsidP="00C60398">
      <w:pPr>
        <w:numPr>
          <w:ilvl w:val="0"/>
          <w:numId w:val="1"/>
        </w:numPr>
        <w:spacing w:after="200" w:line="276" w:lineRule="auto"/>
        <w:ind w:left="567" w:hanging="567"/>
        <w:rPr>
          <w:lang w:val="fr-CA"/>
        </w:rPr>
      </w:pPr>
      <w:r w:rsidRPr="009C6218">
        <w:rPr>
          <w:lang w:val="fr-CA"/>
        </w:rPr>
        <w:t xml:space="preserve">Les éléments de preuve que le comité d’audition a pris en compte pour examiner l’allégation d’inconduite relative à l’Article étaient les suivants </w:t>
      </w:r>
      <w:r w:rsidR="005C2288" w:rsidRPr="009C6218">
        <w:rPr>
          <w:lang w:val="fr-CA"/>
        </w:rPr>
        <w:t>:</w:t>
      </w:r>
    </w:p>
    <w:p w14:paraId="6AED2B64" w14:textId="21D97B10" w:rsidR="001F082B" w:rsidRPr="009C6218" w:rsidRDefault="005B788E" w:rsidP="00F834CB">
      <w:pPr>
        <w:pStyle w:val="ListParagraph"/>
        <w:numPr>
          <w:ilvl w:val="0"/>
          <w:numId w:val="9"/>
        </w:numPr>
        <w:spacing w:after="160" w:line="256" w:lineRule="auto"/>
        <w:ind w:left="1134" w:right="855" w:hanging="283"/>
        <w:rPr>
          <w:lang w:val="fr-CA"/>
        </w:rPr>
      </w:pPr>
      <w:r w:rsidRPr="009C6218">
        <w:rPr>
          <w:lang w:val="fr-CA"/>
        </w:rPr>
        <w:t>L’</w:t>
      </w:r>
      <w:r w:rsidR="002C1A5E" w:rsidRPr="009C6218">
        <w:rPr>
          <w:lang w:val="fr-CA"/>
        </w:rPr>
        <w:t>A</w:t>
      </w:r>
      <w:r w:rsidR="001F082B" w:rsidRPr="009C6218">
        <w:rPr>
          <w:lang w:val="fr-CA"/>
        </w:rPr>
        <w:t xml:space="preserve">rticle </w:t>
      </w:r>
      <w:r w:rsidRPr="009C6218">
        <w:rPr>
          <w:lang w:val="fr-CA"/>
        </w:rPr>
        <w:t xml:space="preserve">lui-même </w:t>
      </w:r>
      <w:r w:rsidR="001F082B" w:rsidRPr="009C6218">
        <w:rPr>
          <w:lang w:val="fr-CA"/>
        </w:rPr>
        <w:t xml:space="preserve">– </w:t>
      </w:r>
      <w:r w:rsidRPr="009C6218">
        <w:rPr>
          <w:lang w:val="fr-CA"/>
        </w:rPr>
        <w:t>tant la version en ligne que la version papier</w:t>
      </w:r>
      <w:r w:rsidR="001F082B" w:rsidRPr="009C6218">
        <w:rPr>
          <w:lang w:val="fr-CA"/>
        </w:rPr>
        <w:t>;</w:t>
      </w:r>
    </w:p>
    <w:p w14:paraId="22289094" w14:textId="77777777" w:rsidR="00CC2B10" w:rsidRPr="009C6218" w:rsidRDefault="00CC2B10" w:rsidP="00CC2B10">
      <w:pPr>
        <w:pStyle w:val="ListParagraph"/>
        <w:spacing w:after="160" w:line="256" w:lineRule="auto"/>
        <w:ind w:left="1134" w:right="855" w:hanging="283"/>
        <w:rPr>
          <w:lang w:val="fr-CA"/>
        </w:rPr>
      </w:pPr>
    </w:p>
    <w:p w14:paraId="27A681C2" w14:textId="59F6D0E3" w:rsidR="001F082B" w:rsidRPr="009C6218" w:rsidRDefault="005B788E" w:rsidP="00F834CB">
      <w:pPr>
        <w:pStyle w:val="ListParagraph"/>
        <w:numPr>
          <w:ilvl w:val="0"/>
          <w:numId w:val="9"/>
        </w:numPr>
        <w:spacing w:after="160" w:line="256" w:lineRule="auto"/>
        <w:ind w:left="1134" w:right="855" w:hanging="283"/>
        <w:rPr>
          <w:lang w:val="fr-CA"/>
        </w:rPr>
      </w:pPr>
      <w:r w:rsidRPr="009C6218">
        <w:rPr>
          <w:lang w:val="fr-CA"/>
        </w:rPr>
        <w:t>L’af</w:t>
      </w:r>
      <w:r w:rsidR="001F082B" w:rsidRPr="009C6218">
        <w:rPr>
          <w:lang w:val="fr-CA"/>
        </w:rPr>
        <w:t xml:space="preserve">fidavit </w:t>
      </w:r>
      <w:r w:rsidRPr="009C6218">
        <w:rPr>
          <w:lang w:val="fr-CA"/>
        </w:rPr>
        <w:t xml:space="preserve">de la juge de paix et son témoignage </w:t>
      </w:r>
      <w:proofErr w:type="spellStart"/>
      <w:r w:rsidR="001F082B" w:rsidRPr="009C6218">
        <w:rPr>
          <w:i/>
          <w:lang w:val="fr-CA"/>
        </w:rPr>
        <w:t>viva</w:t>
      </w:r>
      <w:proofErr w:type="spellEnd"/>
      <w:r w:rsidR="001F082B" w:rsidRPr="009C6218">
        <w:rPr>
          <w:i/>
          <w:lang w:val="fr-CA"/>
        </w:rPr>
        <w:t xml:space="preserve"> voce</w:t>
      </w:r>
      <w:r w:rsidR="001F082B" w:rsidRPr="009C6218">
        <w:rPr>
          <w:lang w:val="fr-CA"/>
        </w:rPr>
        <w:t>;</w:t>
      </w:r>
    </w:p>
    <w:p w14:paraId="60B03519" w14:textId="77777777" w:rsidR="00DF15D7" w:rsidRPr="009C6218" w:rsidRDefault="00DF15D7" w:rsidP="00DF15D7">
      <w:pPr>
        <w:pStyle w:val="ListParagraph"/>
        <w:rPr>
          <w:lang w:val="fr-CA"/>
        </w:rPr>
      </w:pPr>
    </w:p>
    <w:p w14:paraId="39CCAEA4" w14:textId="736D2B03" w:rsidR="001F082B" w:rsidRPr="009C6218" w:rsidRDefault="005B788E" w:rsidP="00F834CB">
      <w:pPr>
        <w:pStyle w:val="ListParagraph"/>
        <w:numPr>
          <w:ilvl w:val="0"/>
          <w:numId w:val="9"/>
        </w:numPr>
        <w:spacing w:after="160" w:line="256" w:lineRule="auto"/>
        <w:ind w:left="1134" w:right="855" w:hanging="283"/>
        <w:rPr>
          <w:lang w:val="fr-CA"/>
        </w:rPr>
      </w:pPr>
      <w:r w:rsidRPr="009C6218">
        <w:rPr>
          <w:lang w:val="fr-CA"/>
        </w:rPr>
        <w:t xml:space="preserve">Les transcriptions de plusieurs audiences de mise en liberté sous caution que la juge de paix a présidées </w:t>
      </w:r>
      <w:r w:rsidR="001F082B" w:rsidRPr="009C6218">
        <w:rPr>
          <w:i/>
          <w:lang w:val="fr-CA"/>
        </w:rPr>
        <w:t>a</w:t>
      </w:r>
      <w:r w:rsidRPr="009C6218">
        <w:rPr>
          <w:i/>
          <w:lang w:val="fr-CA"/>
        </w:rPr>
        <w:t>près</w:t>
      </w:r>
      <w:r w:rsidR="001F082B" w:rsidRPr="009C6218">
        <w:rPr>
          <w:lang w:val="fr-CA"/>
        </w:rPr>
        <w:t xml:space="preserve"> </w:t>
      </w:r>
      <w:r w:rsidRPr="009C6218">
        <w:rPr>
          <w:lang w:val="fr-CA"/>
        </w:rPr>
        <w:t>la publication de l’Article au cours desquel</w:t>
      </w:r>
      <w:r w:rsidR="00FD3589">
        <w:rPr>
          <w:lang w:val="fr-CA"/>
        </w:rPr>
        <w:t>le</w:t>
      </w:r>
      <w:r w:rsidRPr="009C6218">
        <w:rPr>
          <w:lang w:val="fr-CA"/>
        </w:rPr>
        <w:t>s des demandes de récusation ont été faites</w:t>
      </w:r>
      <w:r w:rsidR="001F082B" w:rsidRPr="009C6218">
        <w:rPr>
          <w:lang w:val="fr-CA"/>
        </w:rPr>
        <w:t>;</w:t>
      </w:r>
    </w:p>
    <w:p w14:paraId="2D762AA2" w14:textId="77777777" w:rsidR="00CC2B10" w:rsidRPr="009C6218" w:rsidRDefault="00CC2B10" w:rsidP="00CC2B10">
      <w:pPr>
        <w:pStyle w:val="ListParagraph"/>
        <w:ind w:left="1134" w:right="855" w:hanging="283"/>
        <w:rPr>
          <w:lang w:val="fr-CA"/>
        </w:rPr>
      </w:pPr>
    </w:p>
    <w:p w14:paraId="7C54A822" w14:textId="316F49C5" w:rsidR="001F082B" w:rsidRPr="009C6218" w:rsidRDefault="007F27FC" w:rsidP="00F834CB">
      <w:pPr>
        <w:pStyle w:val="ListParagraph"/>
        <w:numPr>
          <w:ilvl w:val="0"/>
          <w:numId w:val="9"/>
        </w:numPr>
        <w:spacing w:after="160" w:line="256" w:lineRule="auto"/>
        <w:ind w:left="1134" w:right="855" w:hanging="283"/>
        <w:rPr>
          <w:lang w:val="fr-CA"/>
        </w:rPr>
      </w:pPr>
      <w:r w:rsidRPr="009C6218">
        <w:rPr>
          <w:lang w:val="fr-CA"/>
        </w:rPr>
        <w:t>Le témoignage de Mme</w:t>
      </w:r>
      <w:r w:rsidR="001F082B" w:rsidRPr="009C6218">
        <w:rPr>
          <w:lang w:val="fr-CA"/>
        </w:rPr>
        <w:t xml:space="preserve"> Matthews</w:t>
      </w:r>
      <w:r w:rsidRPr="009C6218">
        <w:rPr>
          <w:lang w:val="fr-CA"/>
        </w:rPr>
        <w:t>;</w:t>
      </w:r>
    </w:p>
    <w:p w14:paraId="3903A650" w14:textId="77777777" w:rsidR="00CC2B10" w:rsidRPr="009C6218" w:rsidRDefault="00CC2B10" w:rsidP="00CC2B10">
      <w:pPr>
        <w:pStyle w:val="ListParagraph"/>
        <w:ind w:left="1134" w:right="855" w:hanging="283"/>
        <w:rPr>
          <w:lang w:val="fr-CA"/>
        </w:rPr>
      </w:pPr>
    </w:p>
    <w:p w14:paraId="56C32965" w14:textId="222520D2" w:rsidR="001F082B" w:rsidRPr="009C6218" w:rsidRDefault="007F27FC" w:rsidP="00F834CB">
      <w:pPr>
        <w:pStyle w:val="ListParagraph"/>
        <w:numPr>
          <w:ilvl w:val="0"/>
          <w:numId w:val="9"/>
        </w:numPr>
        <w:spacing w:after="160" w:line="256" w:lineRule="auto"/>
        <w:ind w:left="1134" w:right="855" w:hanging="283"/>
        <w:rPr>
          <w:lang w:val="fr-CA"/>
        </w:rPr>
      </w:pPr>
      <w:r w:rsidRPr="009C6218">
        <w:rPr>
          <w:lang w:val="fr-CA"/>
        </w:rPr>
        <w:t>La réponse des médias à l’</w:t>
      </w:r>
      <w:r w:rsidR="009E48E1" w:rsidRPr="009C6218">
        <w:rPr>
          <w:lang w:val="fr-CA"/>
        </w:rPr>
        <w:t>A</w:t>
      </w:r>
      <w:r w:rsidR="001F082B" w:rsidRPr="009C6218">
        <w:rPr>
          <w:lang w:val="fr-CA"/>
        </w:rPr>
        <w:t>rticle</w:t>
      </w:r>
      <w:r w:rsidR="00086150" w:rsidRPr="009C6218">
        <w:rPr>
          <w:lang w:val="fr-CA"/>
        </w:rPr>
        <w:t>.</w:t>
      </w:r>
    </w:p>
    <w:p w14:paraId="45771EB0" w14:textId="77777777" w:rsidR="00E432A7" w:rsidRPr="009C6218" w:rsidRDefault="00E432A7" w:rsidP="00E432A7">
      <w:pPr>
        <w:pStyle w:val="ListParagraph"/>
        <w:rPr>
          <w:lang w:val="fr-CA"/>
        </w:rPr>
      </w:pPr>
    </w:p>
    <w:p w14:paraId="1900806E" w14:textId="0FC92D9D" w:rsidR="005C2288" w:rsidRPr="00FD3589" w:rsidRDefault="0080768B" w:rsidP="00C60398">
      <w:pPr>
        <w:numPr>
          <w:ilvl w:val="0"/>
          <w:numId w:val="1"/>
        </w:numPr>
        <w:spacing w:after="200" w:line="276" w:lineRule="auto"/>
        <w:ind w:left="567" w:hanging="567"/>
        <w:rPr>
          <w:lang w:val="fr-CA"/>
        </w:rPr>
      </w:pPr>
      <w:r w:rsidRPr="009C6218">
        <w:rPr>
          <w:lang w:val="fr-CA"/>
        </w:rPr>
        <w:t>Premièrement, la juge de paix admet qu’elle est l’unique auteure de la version en ligne de l’</w:t>
      </w:r>
      <w:r w:rsidR="009E48E1" w:rsidRPr="009C6218">
        <w:rPr>
          <w:lang w:val="fr-CA"/>
        </w:rPr>
        <w:t>A</w:t>
      </w:r>
      <w:r w:rsidR="005C2288" w:rsidRPr="009C6218">
        <w:rPr>
          <w:lang w:val="fr-CA"/>
        </w:rPr>
        <w:t>rticle</w:t>
      </w:r>
      <w:r w:rsidRPr="009C6218">
        <w:rPr>
          <w:lang w:val="fr-CA"/>
        </w:rPr>
        <w:t xml:space="preserve"> intitulé « </w:t>
      </w:r>
      <w:proofErr w:type="spellStart"/>
      <w:r w:rsidR="005C2288" w:rsidRPr="009C6218">
        <w:rPr>
          <w:lang w:val="fr-CA"/>
        </w:rPr>
        <w:t>When</w:t>
      </w:r>
      <w:proofErr w:type="spellEnd"/>
      <w:r w:rsidR="005C2288" w:rsidRPr="009C6218">
        <w:rPr>
          <w:lang w:val="fr-CA"/>
        </w:rPr>
        <w:t xml:space="preserve"> bail courts </w:t>
      </w:r>
      <w:proofErr w:type="spellStart"/>
      <w:r w:rsidR="005C2288" w:rsidRPr="009C6218">
        <w:rPr>
          <w:lang w:val="fr-CA"/>
        </w:rPr>
        <w:t>don’t</w:t>
      </w:r>
      <w:proofErr w:type="spellEnd"/>
      <w:r w:rsidR="005C2288" w:rsidRPr="009C6218">
        <w:rPr>
          <w:lang w:val="fr-CA"/>
        </w:rPr>
        <w:t xml:space="preserve"> follow the </w:t>
      </w:r>
      <w:proofErr w:type="spellStart"/>
      <w:r w:rsidR="005C2288" w:rsidRPr="009C6218">
        <w:rPr>
          <w:lang w:val="fr-CA"/>
        </w:rPr>
        <w:t>law</w:t>
      </w:r>
      <w:proofErr w:type="spellEnd"/>
      <w:r w:rsidRPr="009C6218">
        <w:rPr>
          <w:lang w:val="fr-CA"/>
        </w:rPr>
        <w:t> »</w:t>
      </w:r>
      <w:r w:rsidR="005C2288" w:rsidRPr="009C6218">
        <w:rPr>
          <w:rStyle w:val="FootnoteReference"/>
          <w:lang w:val="fr-CA"/>
        </w:rPr>
        <w:footnoteReference w:id="39"/>
      </w:r>
      <w:r w:rsidRPr="009C6218">
        <w:rPr>
          <w:lang w:val="fr-CA"/>
        </w:rPr>
        <w:t xml:space="preserve">. Toutefois, dans l’exposé conjoint des faits (pièce </w:t>
      </w:r>
      <w:r w:rsidR="00B72B40" w:rsidRPr="009C6218">
        <w:rPr>
          <w:lang w:val="fr-CA"/>
        </w:rPr>
        <w:t>3</w:t>
      </w:r>
      <w:r w:rsidRPr="009C6218">
        <w:rPr>
          <w:lang w:val="fr-CA"/>
        </w:rPr>
        <w:t xml:space="preserve">) et dans son témoignage </w:t>
      </w:r>
      <w:proofErr w:type="spellStart"/>
      <w:r w:rsidR="005C2288" w:rsidRPr="009C6218">
        <w:rPr>
          <w:i/>
          <w:lang w:val="fr-CA"/>
        </w:rPr>
        <w:t>viva</w:t>
      </w:r>
      <w:proofErr w:type="spellEnd"/>
      <w:r w:rsidR="005C2288" w:rsidRPr="009C6218">
        <w:rPr>
          <w:i/>
          <w:lang w:val="fr-CA"/>
        </w:rPr>
        <w:t xml:space="preserve"> voce</w:t>
      </w:r>
      <w:r w:rsidR="00D11FF2" w:rsidRPr="009C6218">
        <w:rPr>
          <w:lang w:val="fr-CA"/>
        </w:rPr>
        <w:t>,</w:t>
      </w:r>
      <w:r w:rsidR="005C2288" w:rsidRPr="009C6218">
        <w:rPr>
          <w:lang w:val="fr-CA"/>
        </w:rPr>
        <w:t xml:space="preserve"> </w:t>
      </w:r>
      <w:r w:rsidRPr="009C6218">
        <w:rPr>
          <w:lang w:val="fr-CA"/>
        </w:rPr>
        <w:t>la juge de paix a tenté de se distancer de la version imprimée de l’Article intitulé « </w:t>
      </w:r>
      <w:proofErr w:type="spellStart"/>
      <w:r w:rsidR="005C2288" w:rsidRPr="009C6218">
        <w:rPr>
          <w:lang w:val="fr-CA"/>
        </w:rPr>
        <w:t>When</w:t>
      </w:r>
      <w:proofErr w:type="spellEnd"/>
      <w:r w:rsidR="005C2288" w:rsidRPr="009C6218">
        <w:rPr>
          <w:lang w:val="fr-CA"/>
        </w:rPr>
        <w:t xml:space="preserve"> courts </w:t>
      </w:r>
      <w:proofErr w:type="spellStart"/>
      <w:r w:rsidR="005C2288" w:rsidRPr="009C6218">
        <w:rPr>
          <w:lang w:val="fr-CA"/>
        </w:rPr>
        <w:t>don’t</w:t>
      </w:r>
      <w:proofErr w:type="spellEnd"/>
      <w:r w:rsidR="005C2288" w:rsidRPr="009C6218">
        <w:rPr>
          <w:lang w:val="fr-CA"/>
        </w:rPr>
        <w:t xml:space="preserve"> follow the </w:t>
      </w:r>
      <w:proofErr w:type="spellStart"/>
      <w:r w:rsidR="005C2288" w:rsidRPr="009C6218">
        <w:rPr>
          <w:lang w:val="fr-CA"/>
        </w:rPr>
        <w:t>law</w:t>
      </w:r>
      <w:proofErr w:type="spellEnd"/>
      <w:r w:rsidRPr="009C6218">
        <w:rPr>
          <w:lang w:val="fr-CA"/>
        </w:rPr>
        <w:t> »</w:t>
      </w:r>
      <w:r w:rsidR="005C2288" w:rsidRPr="009C6218">
        <w:rPr>
          <w:lang w:val="fr-CA"/>
        </w:rPr>
        <w:t xml:space="preserve">. </w:t>
      </w:r>
      <w:r w:rsidRPr="009C6218">
        <w:rPr>
          <w:lang w:val="fr-CA"/>
        </w:rPr>
        <w:t xml:space="preserve">Elle a affirmé catégoriquement qu’elle n’avait jamais autorisé la publication de la version imprimée de l’Article et qu’elle n’était « absolument </w:t>
      </w:r>
      <w:r w:rsidRPr="00FD3589">
        <w:rPr>
          <w:lang w:val="fr-CA"/>
        </w:rPr>
        <w:t>pas prête à en parler »</w:t>
      </w:r>
      <w:r w:rsidR="005C2288" w:rsidRPr="00FD3589">
        <w:rPr>
          <w:rStyle w:val="FootnoteReference"/>
          <w:lang w:val="fr-CA"/>
        </w:rPr>
        <w:footnoteReference w:id="40"/>
      </w:r>
      <w:r w:rsidRPr="00FD3589">
        <w:rPr>
          <w:lang w:val="fr-CA"/>
        </w:rPr>
        <w:t>.</w:t>
      </w:r>
    </w:p>
    <w:p w14:paraId="434BC4CB" w14:textId="785B8315" w:rsidR="005C2288" w:rsidRPr="00FD3589" w:rsidRDefault="0080768B" w:rsidP="00C60398">
      <w:pPr>
        <w:numPr>
          <w:ilvl w:val="0"/>
          <w:numId w:val="1"/>
        </w:numPr>
        <w:spacing w:after="200" w:line="276" w:lineRule="auto"/>
        <w:ind w:left="567" w:hanging="567"/>
        <w:rPr>
          <w:lang w:val="fr-CA"/>
        </w:rPr>
      </w:pPr>
      <w:r w:rsidRPr="00FD3589">
        <w:rPr>
          <w:lang w:val="fr-CA"/>
        </w:rPr>
        <w:t>La version originale de l’Article paru</w:t>
      </w:r>
      <w:r w:rsidR="00FD3589" w:rsidRPr="00FD3589">
        <w:rPr>
          <w:lang w:val="fr-CA"/>
        </w:rPr>
        <w:t>e</w:t>
      </w:r>
      <w:r w:rsidRPr="00FD3589">
        <w:rPr>
          <w:lang w:val="fr-CA"/>
        </w:rPr>
        <w:t xml:space="preserve"> en ligne le 14 mars </w:t>
      </w:r>
      <w:r w:rsidR="005C2288" w:rsidRPr="00FD3589">
        <w:rPr>
          <w:lang w:val="fr-CA"/>
        </w:rPr>
        <w:t xml:space="preserve">2016 </w:t>
      </w:r>
      <w:r w:rsidRPr="00FD3589">
        <w:rPr>
          <w:lang w:val="fr-CA"/>
        </w:rPr>
        <w:t>est joint</w:t>
      </w:r>
      <w:r w:rsidR="00FD3589" w:rsidRPr="00FD3589">
        <w:rPr>
          <w:lang w:val="fr-CA"/>
        </w:rPr>
        <w:t>e</w:t>
      </w:r>
      <w:r w:rsidRPr="00FD3589">
        <w:rPr>
          <w:lang w:val="fr-CA"/>
        </w:rPr>
        <w:t xml:space="preserve"> à l’« Annexe B » et la version imprimée de l’Article paru</w:t>
      </w:r>
      <w:r w:rsidR="00FD3589" w:rsidRPr="00FD3589">
        <w:rPr>
          <w:lang w:val="fr-CA"/>
        </w:rPr>
        <w:t>e</w:t>
      </w:r>
      <w:r w:rsidRPr="00FD3589">
        <w:rPr>
          <w:lang w:val="fr-CA"/>
        </w:rPr>
        <w:t xml:space="preserve"> le lendemain, le 15 mars </w:t>
      </w:r>
      <w:r w:rsidR="005C2288" w:rsidRPr="00FD3589">
        <w:rPr>
          <w:lang w:val="fr-CA"/>
        </w:rPr>
        <w:t>2016</w:t>
      </w:r>
      <w:r w:rsidRPr="00FD3589">
        <w:rPr>
          <w:lang w:val="fr-CA"/>
        </w:rPr>
        <w:t xml:space="preserve">, constitue l’« Annexe C » des présents motifs. </w:t>
      </w:r>
    </w:p>
    <w:p w14:paraId="65BADEA6" w14:textId="7EE013E6" w:rsidR="005C2288" w:rsidRPr="009C6218" w:rsidRDefault="00AF3030" w:rsidP="00C60398">
      <w:pPr>
        <w:numPr>
          <w:ilvl w:val="0"/>
          <w:numId w:val="1"/>
        </w:numPr>
        <w:spacing w:after="200" w:line="276" w:lineRule="auto"/>
        <w:ind w:left="567" w:hanging="567"/>
        <w:rPr>
          <w:lang w:val="fr-CA"/>
        </w:rPr>
      </w:pPr>
      <w:r w:rsidRPr="009C6218">
        <w:rPr>
          <w:lang w:val="fr-CA"/>
        </w:rPr>
        <w:lastRenderedPageBreak/>
        <w:t xml:space="preserve">Dans son affidavit déposé sous serment le 4 décembre </w:t>
      </w:r>
      <w:r w:rsidR="005C2288" w:rsidRPr="009C6218">
        <w:rPr>
          <w:lang w:val="fr-CA"/>
        </w:rPr>
        <w:t xml:space="preserve">2018, </w:t>
      </w:r>
      <w:r w:rsidRPr="009C6218">
        <w:rPr>
          <w:lang w:val="fr-CA"/>
        </w:rPr>
        <w:t xml:space="preserve">la juge de paix a expliqué ce qui l’avait motivée à rédiger l’Article : </w:t>
      </w:r>
      <w:r w:rsidR="00F270FE">
        <w:rPr>
          <w:lang w:val="fr-CA"/>
        </w:rPr>
        <w:t>provoquer le</w:t>
      </w:r>
      <w:r w:rsidRPr="009C6218">
        <w:rPr>
          <w:lang w:val="fr-CA"/>
        </w:rPr>
        <w:t xml:space="preserve"> </w:t>
      </w:r>
      <w:r w:rsidR="00F270FE">
        <w:rPr>
          <w:lang w:val="fr-CA"/>
        </w:rPr>
        <w:t>débat</w:t>
      </w:r>
      <w:r w:rsidRPr="009C6218">
        <w:rPr>
          <w:lang w:val="fr-CA"/>
        </w:rPr>
        <w:t xml:space="preserve"> et encourager l’introduction d’une enquête sur des pratiques inacceptables</w:t>
      </w:r>
      <w:r w:rsidR="005C2288" w:rsidRPr="009C6218">
        <w:rPr>
          <w:rStyle w:val="FootnoteReference"/>
          <w:lang w:val="fr-CA"/>
        </w:rPr>
        <w:footnoteReference w:id="41"/>
      </w:r>
      <w:r w:rsidRPr="009C6218">
        <w:rPr>
          <w:lang w:val="fr-CA"/>
        </w:rPr>
        <w:t xml:space="preserve">. Au </w:t>
      </w:r>
      <w:r w:rsidR="005C2288" w:rsidRPr="009C6218">
        <w:rPr>
          <w:lang w:val="fr-CA"/>
        </w:rPr>
        <w:t>paragraph</w:t>
      </w:r>
      <w:r w:rsidRPr="009C6218">
        <w:rPr>
          <w:lang w:val="fr-CA"/>
        </w:rPr>
        <w:t>e</w:t>
      </w:r>
      <w:r w:rsidR="005C2288" w:rsidRPr="009C6218">
        <w:rPr>
          <w:lang w:val="fr-CA"/>
        </w:rPr>
        <w:t xml:space="preserve"> 11 </w:t>
      </w:r>
      <w:r w:rsidRPr="009C6218">
        <w:rPr>
          <w:lang w:val="fr-CA"/>
        </w:rPr>
        <w:t>de son</w:t>
      </w:r>
      <w:r w:rsidR="005C2288" w:rsidRPr="009C6218">
        <w:rPr>
          <w:lang w:val="fr-CA"/>
        </w:rPr>
        <w:t xml:space="preserve"> affidavit, </w:t>
      </w:r>
      <w:r w:rsidRPr="009C6218">
        <w:rPr>
          <w:lang w:val="fr-CA"/>
        </w:rPr>
        <w:t>la juge de paix affirme que l’Article décrit avec exactitude ses observations et son expérience dans les tribunaux chargés de la mise en liberté sous caution et qu’il « est suffisamment éloquent »</w:t>
      </w:r>
      <w:r w:rsidR="005C2288" w:rsidRPr="009C6218">
        <w:rPr>
          <w:lang w:val="fr-CA"/>
        </w:rPr>
        <w:t xml:space="preserve">. </w:t>
      </w:r>
      <w:r w:rsidRPr="009C6218">
        <w:rPr>
          <w:lang w:val="fr-CA"/>
        </w:rPr>
        <w:t xml:space="preserve">Cependant, au prochain paragraphe, la juge de paix a cité six exemples de problèmes qu’elle a rencontrés </w:t>
      </w:r>
      <w:r w:rsidR="00776713">
        <w:rPr>
          <w:lang w:val="fr-CA"/>
        </w:rPr>
        <w:t xml:space="preserve">et </w:t>
      </w:r>
      <w:r w:rsidR="001B0EBA" w:rsidRPr="009C6218">
        <w:rPr>
          <w:lang w:val="fr-CA"/>
        </w:rPr>
        <w:t>qui l’</w:t>
      </w:r>
      <w:r w:rsidR="00776713">
        <w:rPr>
          <w:lang w:val="fr-CA"/>
        </w:rPr>
        <w:t>ont</w:t>
      </w:r>
      <w:r w:rsidR="001B0EBA" w:rsidRPr="009C6218">
        <w:rPr>
          <w:lang w:val="fr-CA"/>
        </w:rPr>
        <w:t xml:space="preserve"> </w:t>
      </w:r>
      <w:r w:rsidR="00776713">
        <w:rPr>
          <w:lang w:val="fr-CA"/>
        </w:rPr>
        <w:t>convaincue de</w:t>
      </w:r>
      <w:r w:rsidR="001B0EBA" w:rsidRPr="009C6218">
        <w:rPr>
          <w:lang w:val="fr-CA"/>
        </w:rPr>
        <w:t xml:space="preserve"> rédiger l’Article « en dernier recours ». Tous les exemples se rapportent aux politiques et à la conduite des procureurs de la Couronne. </w:t>
      </w:r>
    </w:p>
    <w:p w14:paraId="0BC45D4D" w14:textId="6504D06A" w:rsidR="005C2288" w:rsidRPr="009C6218" w:rsidRDefault="00887642" w:rsidP="00C60398">
      <w:pPr>
        <w:numPr>
          <w:ilvl w:val="0"/>
          <w:numId w:val="1"/>
        </w:numPr>
        <w:spacing w:after="200" w:line="276" w:lineRule="auto"/>
        <w:ind w:left="567" w:hanging="567"/>
        <w:rPr>
          <w:lang w:val="fr-CA"/>
        </w:rPr>
      </w:pPr>
      <w:r w:rsidRPr="009C6218">
        <w:rPr>
          <w:lang w:val="fr-CA"/>
        </w:rPr>
        <w:t>Le comité d’audition con</w:t>
      </w:r>
      <w:r w:rsidR="00F270FE">
        <w:rPr>
          <w:lang w:val="fr-CA"/>
        </w:rPr>
        <w:t>v</w:t>
      </w:r>
      <w:r w:rsidRPr="009C6218">
        <w:rPr>
          <w:lang w:val="fr-CA"/>
        </w:rPr>
        <w:t>ient que dans une large mesure l’Article est suffisamment éloquent. Néanmoins, la juge de paix a choisi de témoigner pour expliquer sa motivation et sa décision de faire paraître l’Article. Nous avons tenu compte de son témoignage pour déterminer si l’Article est incompatible avec la charge judiciaire et s’il constitue une inconduite</w:t>
      </w:r>
      <w:r w:rsidR="00150489" w:rsidRPr="009C6218">
        <w:rPr>
          <w:lang w:val="fr-CA"/>
        </w:rPr>
        <w:t>.</w:t>
      </w:r>
    </w:p>
    <w:p w14:paraId="4A066E3E" w14:textId="75EC54DE" w:rsidR="005C2288" w:rsidRPr="009C6218" w:rsidRDefault="00887642" w:rsidP="00C60398">
      <w:pPr>
        <w:numPr>
          <w:ilvl w:val="0"/>
          <w:numId w:val="1"/>
        </w:numPr>
        <w:spacing w:after="200" w:line="276" w:lineRule="auto"/>
        <w:ind w:left="567" w:hanging="567"/>
        <w:rPr>
          <w:lang w:val="fr-CA"/>
        </w:rPr>
      </w:pPr>
      <w:r w:rsidRPr="009C6218">
        <w:rPr>
          <w:lang w:val="fr-CA"/>
        </w:rPr>
        <w:t xml:space="preserve">Afin de décider si la première allégation d’inconduite a été prouvée, nous devons tenir compte du contexte global de l’Article, à savoir du langage utilisé, du ton et </w:t>
      </w:r>
      <w:r w:rsidR="005D40C4" w:rsidRPr="009C6218">
        <w:rPr>
          <w:lang w:val="fr-CA"/>
        </w:rPr>
        <w:t>du style</w:t>
      </w:r>
      <w:r w:rsidRPr="009C6218">
        <w:rPr>
          <w:lang w:val="fr-CA"/>
        </w:rPr>
        <w:t xml:space="preserve"> de l’Article, du rôle d’un juge de paix au sein du système judiciaire, du fait que les procureurs de la Couronne comparaissent à titre de partie devant la juge de paix et de l’impact probable de l’Article sur l’administration de la justice. Ce dernier facteur se rapporte aux conséquences probables sur la façon dont le public perçoit le système de justice, la magistrature et en particulier toute apparence de partialité contre des procureurs de la Couronne que susciterait l’Article</w:t>
      </w:r>
      <w:r w:rsidR="009E5EDC" w:rsidRPr="009C6218">
        <w:rPr>
          <w:lang w:val="fr-CA"/>
        </w:rPr>
        <w:t>.</w:t>
      </w:r>
    </w:p>
    <w:p w14:paraId="24C4DA95" w14:textId="34FA2555" w:rsidR="00935F9F" w:rsidRPr="009C6218" w:rsidRDefault="00887642" w:rsidP="00C60398">
      <w:pPr>
        <w:numPr>
          <w:ilvl w:val="0"/>
          <w:numId w:val="1"/>
        </w:numPr>
        <w:spacing w:after="200" w:line="276" w:lineRule="auto"/>
        <w:ind w:left="567" w:hanging="567"/>
        <w:rPr>
          <w:b/>
          <w:lang w:val="fr-CA"/>
        </w:rPr>
      </w:pPr>
      <w:r w:rsidRPr="009C6218">
        <w:rPr>
          <w:lang w:val="fr-CA"/>
        </w:rPr>
        <w:t>Pour examiner l’</w:t>
      </w:r>
      <w:r w:rsidR="009E48E1" w:rsidRPr="009C6218">
        <w:rPr>
          <w:lang w:val="fr-CA"/>
        </w:rPr>
        <w:t>A</w:t>
      </w:r>
      <w:r w:rsidR="005C2288" w:rsidRPr="009C6218">
        <w:rPr>
          <w:lang w:val="fr-CA"/>
        </w:rPr>
        <w:t xml:space="preserve">rticle, </w:t>
      </w:r>
      <w:r w:rsidRPr="009C6218">
        <w:rPr>
          <w:lang w:val="fr-CA"/>
        </w:rPr>
        <w:t>nous nous sommes inspirés de</w:t>
      </w:r>
      <w:r w:rsidR="00B16D48">
        <w:rPr>
          <w:lang w:val="fr-CA"/>
        </w:rPr>
        <w:t>s</w:t>
      </w:r>
      <w:r w:rsidRPr="009C6218">
        <w:rPr>
          <w:lang w:val="fr-CA"/>
        </w:rPr>
        <w:t xml:space="preserve"> cinq facteurs énoncés par la Cour d’appel du Québec dans l’affaire </w:t>
      </w:r>
      <w:proofErr w:type="spellStart"/>
      <w:r w:rsidR="005C2288" w:rsidRPr="009C6218">
        <w:rPr>
          <w:i/>
          <w:lang w:val="fr-CA"/>
        </w:rPr>
        <w:t>Ruffo</w:t>
      </w:r>
      <w:proofErr w:type="spellEnd"/>
      <w:r w:rsidR="005C2288" w:rsidRPr="009C6218">
        <w:rPr>
          <w:rStyle w:val="FootnoteReference"/>
          <w:lang w:val="fr-CA"/>
        </w:rPr>
        <w:footnoteReference w:id="42"/>
      </w:r>
      <w:r w:rsidRPr="009C6218">
        <w:rPr>
          <w:i/>
          <w:lang w:val="fr-CA"/>
        </w:rPr>
        <w:t>.</w:t>
      </w:r>
      <w:r w:rsidR="005C2288" w:rsidRPr="009C6218">
        <w:rPr>
          <w:lang w:val="fr-CA"/>
        </w:rPr>
        <w:t xml:space="preserve"> </w:t>
      </w:r>
      <w:r w:rsidRPr="009C6218">
        <w:rPr>
          <w:lang w:val="fr-CA"/>
        </w:rPr>
        <w:t xml:space="preserve">Pour notre analyse, nous avons remanié les cinq facteurs pour créer trois </w:t>
      </w:r>
      <w:r w:rsidR="00A74DCA" w:rsidRPr="009C6218">
        <w:rPr>
          <w:lang w:val="fr-CA"/>
        </w:rPr>
        <w:t xml:space="preserve">facteurs </w:t>
      </w:r>
      <w:r w:rsidRPr="009C6218">
        <w:rPr>
          <w:lang w:val="fr-CA"/>
        </w:rPr>
        <w:t xml:space="preserve">principaux </w:t>
      </w:r>
      <w:r w:rsidR="005C2288" w:rsidRPr="009C6218">
        <w:rPr>
          <w:lang w:val="fr-CA"/>
        </w:rPr>
        <w:t>:</w:t>
      </w:r>
    </w:p>
    <w:p w14:paraId="163368EA" w14:textId="57BD8AB7" w:rsidR="0042627C" w:rsidRPr="009C6218" w:rsidRDefault="00630615" w:rsidP="00F834CB">
      <w:pPr>
        <w:pStyle w:val="ListParagraph"/>
        <w:numPr>
          <w:ilvl w:val="0"/>
          <w:numId w:val="10"/>
        </w:numPr>
        <w:spacing w:after="160" w:line="259" w:lineRule="auto"/>
        <w:ind w:left="1134" w:right="855" w:hanging="283"/>
        <w:rPr>
          <w:rFonts w:asciiTheme="minorHAnsi" w:hAnsiTheme="minorHAnsi" w:cstheme="minorHAnsi"/>
          <w:lang w:val="fr-CA"/>
        </w:rPr>
      </w:pPr>
      <w:r w:rsidRPr="009C6218">
        <w:rPr>
          <w:rFonts w:asciiTheme="minorHAnsi" w:hAnsiTheme="minorHAnsi" w:cstheme="minorHAnsi"/>
          <w:lang w:val="fr-CA"/>
        </w:rPr>
        <w:t xml:space="preserve">L’opportunité de l’Article au moment de la publication; </w:t>
      </w:r>
    </w:p>
    <w:p w14:paraId="4D4C8DC2" w14:textId="77777777" w:rsidR="0042627C" w:rsidRPr="009C6218" w:rsidRDefault="0042627C" w:rsidP="00917155">
      <w:pPr>
        <w:pStyle w:val="ListParagraph"/>
        <w:spacing w:after="160" w:line="259" w:lineRule="auto"/>
        <w:ind w:left="1134" w:right="855" w:hanging="283"/>
        <w:rPr>
          <w:rFonts w:asciiTheme="minorHAnsi" w:hAnsiTheme="minorHAnsi" w:cstheme="minorHAnsi"/>
          <w:lang w:val="fr-CA"/>
        </w:rPr>
      </w:pPr>
    </w:p>
    <w:p w14:paraId="0CE72086" w14:textId="2D93CAFA" w:rsidR="0042627C" w:rsidRPr="009C6218" w:rsidRDefault="00630615" w:rsidP="00F834CB">
      <w:pPr>
        <w:pStyle w:val="ListParagraph"/>
        <w:numPr>
          <w:ilvl w:val="0"/>
          <w:numId w:val="10"/>
        </w:numPr>
        <w:spacing w:after="160" w:line="259" w:lineRule="auto"/>
        <w:ind w:left="1134" w:right="855" w:hanging="283"/>
        <w:rPr>
          <w:rFonts w:asciiTheme="minorHAnsi" w:hAnsiTheme="minorHAnsi" w:cstheme="minorHAnsi"/>
          <w:lang w:val="fr-CA"/>
        </w:rPr>
      </w:pPr>
      <w:r w:rsidRPr="009C6218">
        <w:rPr>
          <w:rFonts w:asciiTheme="minorHAnsi" w:hAnsiTheme="minorHAnsi" w:cstheme="minorHAnsi"/>
          <w:lang w:val="fr-CA"/>
        </w:rPr>
        <w:t>Le forum choisi pour publier l’Article et le degré de visibilité</w:t>
      </w:r>
      <w:r w:rsidR="0042627C" w:rsidRPr="009C6218">
        <w:rPr>
          <w:rFonts w:asciiTheme="minorHAnsi" w:hAnsiTheme="minorHAnsi" w:cstheme="minorHAnsi"/>
          <w:lang w:val="fr-CA"/>
        </w:rPr>
        <w:t xml:space="preserve">; </w:t>
      </w:r>
    </w:p>
    <w:p w14:paraId="19D76E61" w14:textId="2B939B4B" w:rsidR="0042627C" w:rsidRPr="009C6218" w:rsidRDefault="00630615" w:rsidP="00F834CB">
      <w:pPr>
        <w:pStyle w:val="CommentText"/>
        <w:numPr>
          <w:ilvl w:val="0"/>
          <w:numId w:val="10"/>
        </w:numPr>
        <w:ind w:left="1134" w:right="855" w:hanging="283"/>
        <w:jc w:val="both"/>
        <w:rPr>
          <w:rFonts w:asciiTheme="minorHAnsi" w:hAnsiTheme="minorHAnsi" w:cstheme="minorHAnsi"/>
          <w:sz w:val="24"/>
          <w:szCs w:val="24"/>
          <w:lang w:val="fr-CA"/>
        </w:rPr>
      </w:pPr>
      <w:r w:rsidRPr="009C6218">
        <w:rPr>
          <w:rFonts w:asciiTheme="minorHAnsi" w:hAnsiTheme="minorHAnsi" w:cstheme="minorHAnsi"/>
          <w:sz w:val="24"/>
          <w:szCs w:val="24"/>
          <w:lang w:val="fr-CA"/>
        </w:rPr>
        <w:t xml:space="preserve">La manière dont l’Article est rédigé, en particulier </w:t>
      </w:r>
      <w:r w:rsidR="00A12AD0" w:rsidRPr="009C6218">
        <w:rPr>
          <w:rFonts w:asciiTheme="minorHAnsi" w:hAnsiTheme="minorHAnsi" w:cstheme="minorHAnsi"/>
          <w:sz w:val="24"/>
          <w:szCs w:val="24"/>
          <w:lang w:val="fr-CA"/>
        </w:rPr>
        <w:t>l’intensité de l’intervention</w:t>
      </w:r>
      <w:r w:rsidRPr="009C6218">
        <w:rPr>
          <w:rFonts w:asciiTheme="minorHAnsi" w:hAnsiTheme="minorHAnsi" w:cstheme="minorHAnsi"/>
          <w:sz w:val="24"/>
          <w:szCs w:val="24"/>
          <w:lang w:val="fr-CA"/>
        </w:rPr>
        <w:t xml:space="preserve"> ou son ton</w:t>
      </w:r>
      <w:r w:rsidR="0042627C" w:rsidRPr="009C6218">
        <w:rPr>
          <w:rFonts w:asciiTheme="minorHAnsi" w:hAnsiTheme="minorHAnsi" w:cstheme="minorHAnsi"/>
          <w:sz w:val="24"/>
          <w:szCs w:val="24"/>
          <w:lang w:val="fr-CA"/>
        </w:rPr>
        <w:t xml:space="preserve">. </w:t>
      </w:r>
    </w:p>
    <w:p w14:paraId="69D94E71" w14:textId="4CB4BC83" w:rsidR="00917155" w:rsidRPr="009C6218" w:rsidRDefault="004D7B9D" w:rsidP="00742580">
      <w:pPr>
        <w:pStyle w:val="Heading2"/>
        <w:rPr>
          <w:lang w:val="fr-CA"/>
        </w:rPr>
      </w:pPr>
      <w:bookmarkStart w:id="40" w:name="_Toc42946548"/>
      <w:r w:rsidRPr="009C6218">
        <w:rPr>
          <w:rFonts w:asciiTheme="minorHAnsi" w:hAnsiTheme="minorHAnsi" w:cstheme="minorHAnsi"/>
          <w:lang w:val="fr-CA"/>
        </w:rPr>
        <w:t>L’opportunité de l’Article au moment de la publication</w:t>
      </w:r>
      <w:bookmarkEnd w:id="40"/>
    </w:p>
    <w:p w14:paraId="578F151D" w14:textId="7352B4E7" w:rsidR="00D11FF2" w:rsidRPr="009C6218" w:rsidRDefault="00A00A6A" w:rsidP="00BE6325">
      <w:pPr>
        <w:numPr>
          <w:ilvl w:val="0"/>
          <w:numId w:val="1"/>
        </w:numPr>
        <w:spacing w:after="360"/>
        <w:ind w:left="567" w:hanging="567"/>
        <w:rPr>
          <w:lang w:val="fr-CA"/>
        </w:rPr>
      </w:pPr>
      <w:r w:rsidRPr="009C6218">
        <w:rPr>
          <w:lang w:val="fr-CA"/>
        </w:rPr>
        <w:t xml:space="preserve">Aux fins de l’analyse de ce facteur, nous devons commencer par déterminer si la réforme du système de mise en liberté sous caution était un sujet controversé dans le milieu de la justice pénale à la date de parution de l’Article, puis nous examinerons ce que la juge de paix a fait pour régler les problèmes au tribunal chargé de la mise </w:t>
      </w:r>
      <w:r w:rsidRPr="009C6218">
        <w:rPr>
          <w:lang w:val="fr-CA"/>
        </w:rPr>
        <w:lastRenderedPageBreak/>
        <w:t>en liberté sous caution avant d’en arriver à la publication de l’Article. Elle a affirmé dans son témoignage qu’elle l’avait fait « en dernier recours »</w:t>
      </w:r>
      <w:r w:rsidR="001A1D33" w:rsidRPr="009C6218">
        <w:rPr>
          <w:lang w:val="fr-CA"/>
        </w:rPr>
        <w:t>.</w:t>
      </w:r>
    </w:p>
    <w:p w14:paraId="20F66A2A" w14:textId="728898C9" w:rsidR="0042627C" w:rsidRPr="009C6218" w:rsidRDefault="00A00A6A" w:rsidP="00C60398">
      <w:pPr>
        <w:numPr>
          <w:ilvl w:val="0"/>
          <w:numId w:val="1"/>
        </w:numPr>
        <w:spacing w:after="200" w:line="276" w:lineRule="auto"/>
        <w:ind w:left="567" w:hanging="567"/>
        <w:rPr>
          <w:lang w:val="fr-CA"/>
        </w:rPr>
      </w:pPr>
      <w:r w:rsidRPr="009C6218">
        <w:rPr>
          <w:lang w:val="fr-CA"/>
        </w:rPr>
        <w:t>Il est bien établi qu’au cours des années qui ont précédé l’Article, un grand nombre de personnes proches du système de justice pénale étaient d’avis qu’une réforme ou au moins un remaniement du système de la mise en liberté sous caution était bien nécessaire</w:t>
      </w:r>
      <w:r w:rsidR="002B5E42" w:rsidRPr="009C6218">
        <w:rPr>
          <w:lang w:val="fr-CA"/>
        </w:rPr>
        <w:t>.</w:t>
      </w:r>
    </w:p>
    <w:p w14:paraId="75693E0A" w14:textId="6978DAB8" w:rsidR="005C2288" w:rsidRPr="009C6218" w:rsidRDefault="00C72DB7" w:rsidP="00C60398">
      <w:pPr>
        <w:numPr>
          <w:ilvl w:val="0"/>
          <w:numId w:val="1"/>
        </w:numPr>
        <w:spacing w:after="200" w:line="276" w:lineRule="auto"/>
        <w:ind w:left="567" w:hanging="567"/>
        <w:rPr>
          <w:b/>
          <w:lang w:val="fr-CA"/>
        </w:rPr>
      </w:pPr>
      <w:r w:rsidRPr="009C6218">
        <w:rPr>
          <w:lang w:val="fr-CA"/>
        </w:rPr>
        <w:t>Le juge</w:t>
      </w:r>
      <w:r w:rsidR="005C2288" w:rsidRPr="009C6218">
        <w:rPr>
          <w:lang w:val="fr-CA"/>
        </w:rPr>
        <w:t xml:space="preserve"> Raymond Wyant </w:t>
      </w:r>
      <w:r w:rsidRPr="009C6218">
        <w:rPr>
          <w:lang w:val="fr-CA"/>
        </w:rPr>
        <w:t>a commencé son rappor</w:t>
      </w:r>
      <w:r w:rsidR="00A00A6A" w:rsidRPr="009C6218">
        <w:rPr>
          <w:lang w:val="fr-CA"/>
        </w:rPr>
        <w:t>t</w:t>
      </w:r>
      <w:r w:rsidRPr="009C6218">
        <w:rPr>
          <w:lang w:val="fr-CA"/>
        </w:rPr>
        <w:t xml:space="preserve"> de décembre </w:t>
      </w:r>
      <w:r w:rsidR="005C2288" w:rsidRPr="009C6218">
        <w:rPr>
          <w:lang w:val="fr-CA"/>
        </w:rPr>
        <w:t xml:space="preserve">2016 </w:t>
      </w:r>
      <w:r w:rsidRPr="009C6218">
        <w:rPr>
          <w:lang w:val="fr-CA"/>
        </w:rPr>
        <w:t>intitulé « Mise en liberté sous caution et détention provisoire en Ontario » en ces termes </w:t>
      </w:r>
      <w:r w:rsidR="005C2288" w:rsidRPr="009C6218">
        <w:rPr>
          <w:lang w:val="fr-CA"/>
        </w:rPr>
        <w:t>:</w:t>
      </w:r>
      <w:r w:rsidRPr="009C6218">
        <w:rPr>
          <w:lang w:val="fr-CA"/>
        </w:rPr>
        <w:t xml:space="preserve"> </w:t>
      </w:r>
    </w:p>
    <w:p w14:paraId="078FAF23" w14:textId="2E364AD2" w:rsidR="00AA0E75" w:rsidRPr="009C6218" w:rsidRDefault="00C72DB7" w:rsidP="00917155">
      <w:pPr>
        <w:pStyle w:val="ListParagraph"/>
        <w:ind w:left="851" w:right="851"/>
        <w:rPr>
          <w:lang w:val="fr-CA"/>
        </w:rPr>
      </w:pPr>
      <w:r w:rsidRPr="009C6218">
        <w:rPr>
          <w:color w:val="000000"/>
          <w:shd w:val="clear" w:color="auto" w:fill="FFFFFF"/>
          <w:lang w:val="fr-CA"/>
        </w:rPr>
        <w:t>Plusieurs rapports notables publiés ces dernières années critiquent le système de mise en liberté sous caution et de détention provisoire et présentent des recommandations pour l’améliorer</w:t>
      </w:r>
      <w:r w:rsidRPr="009C6218">
        <w:rPr>
          <w:lang w:val="fr-CA"/>
        </w:rPr>
        <w:t xml:space="preserve"> </w:t>
      </w:r>
      <w:r w:rsidR="00AA0E75" w:rsidRPr="009C6218">
        <w:rPr>
          <w:lang w:val="fr-CA"/>
        </w:rPr>
        <w:t>…</w:t>
      </w:r>
      <w:r w:rsidRPr="009C6218">
        <w:rPr>
          <w:color w:val="000000"/>
          <w:shd w:val="clear" w:color="auto" w:fill="FFFFFF"/>
          <w:lang w:val="fr-CA"/>
        </w:rPr>
        <w:t xml:space="preserve"> Ils ont pour thème commun l’échec du système de justice pénale du Canada dans la façon dont sont détenues les personnes accusées d’infractions criminelles</w:t>
      </w:r>
      <w:r w:rsidR="00AA0E75" w:rsidRPr="009C6218">
        <w:rPr>
          <w:lang w:val="fr-CA"/>
        </w:rPr>
        <w:t xml:space="preserve"> … </w:t>
      </w:r>
      <w:r w:rsidRPr="009C6218">
        <w:rPr>
          <w:color w:val="000000"/>
          <w:shd w:val="clear" w:color="auto" w:fill="FFFFFF"/>
          <w:lang w:val="fr-CA"/>
        </w:rPr>
        <w:t xml:space="preserve">Les auteurs signalent que ces lacunes sont variées et soulignent une multitude de constats et de conclusions, notamment le fait que la police détient trop de personnes accusées d’infractions criminelles et n’use pas adéquatement de son pouvoir de mise en liberté; que les services de poursuite, par l’entremise de leurs politiques et de leurs actions, s’opposent de façon inappropriée à la mise en liberté sous caution dans trop de dossiers; que les policiers et les fonctionnaires judiciaires, autant les juges que les juges de paix, n’exercent pas leur pouvoir discrétionnaire de façon pertinente lorsqu’il est question de mettre en liberté des personnes attendant leur procès et n’appliquent pas correctement les dispositions relatives à la mise en liberté du </w:t>
      </w:r>
      <w:r w:rsidRPr="00B16D48">
        <w:rPr>
          <w:i/>
          <w:color w:val="000000"/>
          <w:shd w:val="clear" w:color="auto" w:fill="FFFFFF"/>
          <w:lang w:val="fr-CA"/>
        </w:rPr>
        <w:t>Code criminel</w:t>
      </w:r>
      <w:r w:rsidRPr="009C6218">
        <w:rPr>
          <w:lang w:val="fr-CA"/>
        </w:rPr>
        <w:t xml:space="preserve"> </w:t>
      </w:r>
      <w:r w:rsidR="00AA0E75" w:rsidRPr="009C6218">
        <w:rPr>
          <w:lang w:val="fr-CA"/>
        </w:rPr>
        <w:t>…</w:t>
      </w:r>
    </w:p>
    <w:p w14:paraId="3A4CE75E" w14:textId="77777777" w:rsidR="00917155" w:rsidRPr="009C6218" w:rsidRDefault="00917155" w:rsidP="00917155">
      <w:pPr>
        <w:pStyle w:val="ListParagraph"/>
        <w:ind w:left="851" w:right="851"/>
        <w:rPr>
          <w:lang w:val="fr-CA"/>
        </w:rPr>
      </w:pPr>
    </w:p>
    <w:p w14:paraId="2E3E7FDF" w14:textId="08E17035" w:rsidR="00AA0E75" w:rsidRPr="009C6218" w:rsidRDefault="00AA0E75" w:rsidP="00EF313A">
      <w:pPr>
        <w:pStyle w:val="ListParagraph"/>
        <w:ind w:left="851" w:right="851"/>
        <w:jc w:val="center"/>
        <w:rPr>
          <w:lang w:val="fr-CA"/>
        </w:rPr>
      </w:pPr>
      <w:r w:rsidRPr="009C6218">
        <w:rPr>
          <w:lang w:val="fr-CA"/>
        </w:rPr>
        <w:t>//…//</w:t>
      </w:r>
    </w:p>
    <w:p w14:paraId="4B9A5029" w14:textId="77777777" w:rsidR="00917155" w:rsidRPr="009C6218" w:rsidRDefault="00917155" w:rsidP="00917155">
      <w:pPr>
        <w:pStyle w:val="ListParagraph"/>
        <w:ind w:left="851" w:right="851"/>
        <w:rPr>
          <w:lang w:val="fr-CA"/>
        </w:rPr>
      </w:pPr>
    </w:p>
    <w:p w14:paraId="2EBC63A8" w14:textId="07EA1457" w:rsidR="00AA0E75" w:rsidRPr="009C6218" w:rsidRDefault="00C72DB7" w:rsidP="00917155">
      <w:pPr>
        <w:pStyle w:val="ListParagraph"/>
        <w:ind w:left="851" w:right="851"/>
        <w:rPr>
          <w:lang w:val="fr-CA"/>
        </w:rPr>
      </w:pPr>
      <w:r w:rsidRPr="009C6218">
        <w:rPr>
          <w:color w:val="000000"/>
          <w:shd w:val="clear" w:color="auto" w:fill="FFFFFF"/>
          <w:lang w:val="fr-CA"/>
        </w:rPr>
        <w:t>Au moins un rapport qualifie le système de mise en liberté sous caution et de détention provisoire de « déficient »</w:t>
      </w:r>
      <w:r w:rsidR="00AA0E75" w:rsidRPr="009C6218">
        <w:rPr>
          <w:lang w:val="fr-CA"/>
        </w:rPr>
        <w:t>.</w:t>
      </w:r>
    </w:p>
    <w:p w14:paraId="1B82A171" w14:textId="77777777" w:rsidR="00917155" w:rsidRPr="009C6218" w:rsidRDefault="00917155" w:rsidP="00917155">
      <w:pPr>
        <w:pStyle w:val="ListParagraph"/>
        <w:ind w:left="851" w:right="851"/>
        <w:rPr>
          <w:lang w:val="fr-CA"/>
        </w:rPr>
      </w:pPr>
    </w:p>
    <w:p w14:paraId="0C47EF1D" w14:textId="0331C8D6" w:rsidR="00AA0E75" w:rsidRPr="009C6218" w:rsidRDefault="00AA0E75" w:rsidP="00EF313A">
      <w:pPr>
        <w:pStyle w:val="ListParagraph"/>
        <w:ind w:left="851" w:right="851"/>
        <w:jc w:val="center"/>
        <w:rPr>
          <w:lang w:val="fr-CA"/>
        </w:rPr>
      </w:pPr>
      <w:r w:rsidRPr="009C6218">
        <w:rPr>
          <w:lang w:val="fr-CA"/>
        </w:rPr>
        <w:t>//…//</w:t>
      </w:r>
    </w:p>
    <w:p w14:paraId="59F766DB" w14:textId="77777777" w:rsidR="00917155" w:rsidRPr="009C6218" w:rsidRDefault="00917155" w:rsidP="00917155">
      <w:pPr>
        <w:pStyle w:val="ListParagraph"/>
        <w:ind w:left="851" w:right="851"/>
        <w:rPr>
          <w:lang w:val="fr-CA"/>
        </w:rPr>
      </w:pPr>
    </w:p>
    <w:p w14:paraId="3EACDF29" w14:textId="30B31714" w:rsidR="00AA0E75" w:rsidRPr="009C6218" w:rsidRDefault="00C72DB7" w:rsidP="00917155">
      <w:pPr>
        <w:pStyle w:val="ListParagraph"/>
        <w:spacing w:after="160" w:line="259" w:lineRule="auto"/>
        <w:ind w:left="851" w:right="851"/>
        <w:jc w:val="left"/>
        <w:rPr>
          <w:lang w:val="fr-CA"/>
        </w:rPr>
      </w:pPr>
      <w:r w:rsidRPr="009C6218">
        <w:rPr>
          <w:shd w:val="clear" w:color="auto" w:fill="FFFFFF"/>
          <w:lang w:val="fr-CA"/>
        </w:rPr>
        <w:t>Les raisons pouvant expliquer cette évolution sont variées et ont fait l’objet de nombreuses discussions</w:t>
      </w:r>
      <w:r w:rsidR="00AA0E75" w:rsidRPr="009C6218">
        <w:rPr>
          <w:rStyle w:val="FootnoteReference"/>
          <w:lang w:val="fr-CA"/>
        </w:rPr>
        <w:footnoteReference w:id="43"/>
      </w:r>
      <w:r w:rsidRPr="009C6218">
        <w:rPr>
          <w:shd w:val="clear" w:color="auto" w:fill="FFFFFF"/>
          <w:lang w:val="fr-CA"/>
        </w:rPr>
        <w:t>.</w:t>
      </w:r>
      <w:r w:rsidR="00AA0E75" w:rsidRPr="009C6218">
        <w:rPr>
          <w:lang w:val="fr-CA"/>
        </w:rPr>
        <w:t xml:space="preserve"> </w:t>
      </w:r>
    </w:p>
    <w:p w14:paraId="1052440A" w14:textId="77777777" w:rsidR="00AA0E75" w:rsidRPr="009C6218" w:rsidRDefault="00AA0E75" w:rsidP="00AA0E75">
      <w:pPr>
        <w:pStyle w:val="ListParagraph"/>
        <w:spacing w:after="160" w:line="259" w:lineRule="auto"/>
        <w:ind w:left="360"/>
        <w:jc w:val="left"/>
        <w:rPr>
          <w:lang w:val="fr-CA"/>
        </w:rPr>
      </w:pPr>
    </w:p>
    <w:p w14:paraId="15533065" w14:textId="5445B45E" w:rsidR="0042627C" w:rsidRPr="009C6218" w:rsidRDefault="00A00A6A" w:rsidP="00C60398">
      <w:pPr>
        <w:numPr>
          <w:ilvl w:val="0"/>
          <w:numId w:val="1"/>
        </w:numPr>
        <w:spacing w:after="200" w:line="276" w:lineRule="auto"/>
        <w:ind w:left="567" w:hanging="567"/>
        <w:rPr>
          <w:lang w:val="fr-CA"/>
        </w:rPr>
      </w:pPr>
      <w:r w:rsidRPr="009C6218">
        <w:rPr>
          <w:lang w:val="fr-CA"/>
        </w:rPr>
        <w:t xml:space="preserve">Dans son rapport, le juge </w:t>
      </w:r>
      <w:r w:rsidR="0042627C" w:rsidRPr="009C6218">
        <w:rPr>
          <w:lang w:val="fr-CA"/>
        </w:rPr>
        <w:t xml:space="preserve">Wyant </w:t>
      </w:r>
      <w:r w:rsidRPr="009C6218">
        <w:rPr>
          <w:lang w:val="fr-CA"/>
        </w:rPr>
        <w:t>fait treize références, dont une au rapport du Dr </w:t>
      </w:r>
      <w:r w:rsidR="0042627C" w:rsidRPr="009C6218">
        <w:rPr>
          <w:lang w:val="fr-CA"/>
        </w:rPr>
        <w:t>Webster</w:t>
      </w:r>
      <w:r w:rsidRPr="009C6218">
        <w:rPr>
          <w:lang w:val="fr-CA"/>
        </w:rPr>
        <w:t xml:space="preserve"> intitulé « </w:t>
      </w:r>
      <w:r w:rsidR="0042627C" w:rsidRPr="009C6218">
        <w:rPr>
          <w:lang w:val="fr-CA"/>
        </w:rPr>
        <w:t xml:space="preserve">Broken Bail in Canada: How </w:t>
      </w:r>
      <w:proofErr w:type="spellStart"/>
      <w:r w:rsidR="0042627C" w:rsidRPr="009C6218">
        <w:rPr>
          <w:lang w:val="fr-CA"/>
        </w:rPr>
        <w:t>We</w:t>
      </w:r>
      <w:proofErr w:type="spellEnd"/>
      <w:r w:rsidR="0042627C" w:rsidRPr="009C6218">
        <w:rPr>
          <w:lang w:val="fr-CA"/>
        </w:rPr>
        <w:t xml:space="preserve"> </w:t>
      </w:r>
      <w:proofErr w:type="spellStart"/>
      <w:r w:rsidR="0042627C" w:rsidRPr="009C6218">
        <w:rPr>
          <w:lang w:val="fr-CA"/>
        </w:rPr>
        <w:t>Might</w:t>
      </w:r>
      <w:proofErr w:type="spellEnd"/>
      <w:r w:rsidR="0042627C" w:rsidRPr="009C6218">
        <w:rPr>
          <w:lang w:val="fr-CA"/>
        </w:rPr>
        <w:t xml:space="preserve"> Go About Fixing It</w:t>
      </w:r>
      <w:r w:rsidRPr="009C6218">
        <w:rPr>
          <w:lang w:val="fr-CA"/>
        </w:rPr>
        <w:t> »</w:t>
      </w:r>
      <w:r w:rsidR="0042627C" w:rsidRPr="009C6218">
        <w:rPr>
          <w:lang w:val="fr-CA"/>
        </w:rPr>
        <w:t xml:space="preserve">, </w:t>
      </w:r>
      <w:r w:rsidRPr="009C6218">
        <w:rPr>
          <w:lang w:val="fr-CA"/>
        </w:rPr>
        <w:lastRenderedPageBreak/>
        <w:t xml:space="preserve">publié en juin </w:t>
      </w:r>
      <w:r w:rsidR="0042627C" w:rsidRPr="009C6218">
        <w:rPr>
          <w:lang w:val="fr-CA"/>
        </w:rPr>
        <w:t>2015</w:t>
      </w:r>
      <w:r w:rsidR="0042627C" w:rsidRPr="009C6218">
        <w:rPr>
          <w:rStyle w:val="FootnoteReference"/>
          <w:lang w:val="fr-CA"/>
        </w:rPr>
        <w:footnoteReference w:id="44"/>
      </w:r>
      <w:r w:rsidRPr="009C6218">
        <w:rPr>
          <w:lang w:val="fr-CA"/>
        </w:rPr>
        <w:t xml:space="preserve">. Il a aussi mentionné le rapport de la Société </w:t>
      </w:r>
      <w:r w:rsidR="0042627C" w:rsidRPr="009C6218">
        <w:rPr>
          <w:lang w:val="fr-CA"/>
        </w:rPr>
        <w:t xml:space="preserve">John Howard </w:t>
      </w:r>
      <w:r w:rsidRPr="009C6218">
        <w:rPr>
          <w:lang w:val="fr-CA"/>
        </w:rPr>
        <w:t xml:space="preserve">d’août </w:t>
      </w:r>
      <w:r w:rsidR="0042627C" w:rsidRPr="009C6218">
        <w:rPr>
          <w:lang w:val="fr-CA"/>
        </w:rPr>
        <w:t xml:space="preserve">2015 </w:t>
      </w:r>
      <w:r w:rsidRPr="009C6218">
        <w:rPr>
          <w:lang w:val="fr-CA"/>
        </w:rPr>
        <w:t>intitulé « </w:t>
      </w:r>
      <w:proofErr w:type="spellStart"/>
      <w:r w:rsidR="0042627C" w:rsidRPr="009C6218">
        <w:rPr>
          <w:lang w:val="fr-CA"/>
        </w:rPr>
        <w:t>Unlocking</w:t>
      </w:r>
      <w:proofErr w:type="spellEnd"/>
      <w:r w:rsidR="0042627C" w:rsidRPr="009C6218">
        <w:rPr>
          <w:lang w:val="fr-CA"/>
        </w:rPr>
        <w:t xml:space="preserve"> Change: </w:t>
      </w:r>
      <w:proofErr w:type="spellStart"/>
      <w:r w:rsidR="0042627C" w:rsidRPr="009C6218">
        <w:rPr>
          <w:lang w:val="fr-CA"/>
        </w:rPr>
        <w:t>Decriminalizing</w:t>
      </w:r>
      <w:proofErr w:type="spellEnd"/>
      <w:r w:rsidR="0042627C" w:rsidRPr="009C6218">
        <w:rPr>
          <w:lang w:val="fr-CA"/>
        </w:rPr>
        <w:t xml:space="preserve"> Mental </w:t>
      </w:r>
      <w:proofErr w:type="spellStart"/>
      <w:r w:rsidR="0042627C" w:rsidRPr="009C6218">
        <w:rPr>
          <w:lang w:val="fr-CA"/>
        </w:rPr>
        <w:t>Health</w:t>
      </w:r>
      <w:proofErr w:type="spellEnd"/>
      <w:r w:rsidR="0042627C" w:rsidRPr="009C6218">
        <w:rPr>
          <w:lang w:val="fr-CA"/>
        </w:rPr>
        <w:t xml:space="preserve"> Issues in Ontario</w:t>
      </w:r>
      <w:r w:rsidRPr="009C6218">
        <w:rPr>
          <w:lang w:val="fr-CA"/>
        </w:rPr>
        <w:t> »</w:t>
      </w:r>
      <w:r w:rsidR="0042627C" w:rsidRPr="009C6218">
        <w:rPr>
          <w:rStyle w:val="FootnoteReference"/>
          <w:lang w:val="fr-CA"/>
        </w:rPr>
        <w:footnoteReference w:id="45"/>
      </w:r>
      <w:r w:rsidRPr="009C6218">
        <w:rPr>
          <w:lang w:val="fr-CA"/>
        </w:rPr>
        <w:t>. L’Article de la juge de paix n’est pas cité dans le rapport</w:t>
      </w:r>
      <w:r w:rsidR="007A1208" w:rsidRPr="009C6218">
        <w:rPr>
          <w:lang w:val="fr-CA"/>
        </w:rPr>
        <w:t>.</w:t>
      </w:r>
    </w:p>
    <w:p w14:paraId="0A0253C1" w14:textId="7C8F0D3E" w:rsidR="005C2288" w:rsidRPr="009C6218" w:rsidRDefault="00F07356" w:rsidP="00C60398">
      <w:pPr>
        <w:numPr>
          <w:ilvl w:val="0"/>
          <w:numId w:val="1"/>
        </w:numPr>
        <w:spacing w:after="200" w:line="276" w:lineRule="auto"/>
        <w:ind w:left="567" w:hanging="567"/>
        <w:rPr>
          <w:b/>
          <w:lang w:val="fr-CA"/>
        </w:rPr>
      </w:pPr>
      <w:r w:rsidRPr="009C6218">
        <w:rPr>
          <w:lang w:val="fr-CA"/>
        </w:rPr>
        <w:t>Étant donné les problèmes largement commentés dans le système de mise en liberté sous caution en Ontario, il n’était pas inconvenant de la part de la juge de paix d’exprimer son opinion en qualité de professionnelle connaissant bien le sujet et de signaler des problèmes dans le système qu’elle avait observés de ses propres yeux e</w:t>
      </w:r>
      <w:r w:rsidR="005C2288" w:rsidRPr="009C6218">
        <w:rPr>
          <w:lang w:val="fr-CA"/>
        </w:rPr>
        <w:t xml:space="preserve">n Ontario. </w:t>
      </w:r>
      <w:r w:rsidRPr="009C6218">
        <w:rPr>
          <w:lang w:val="fr-CA"/>
        </w:rPr>
        <w:t xml:space="preserve">La question qui se pose est de savoir si, en le faisant, elle a omis de faire preuve de prudence et de retenue, dépassant ainsi une limite </w:t>
      </w:r>
      <w:r w:rsidR="00785953">
        <w:rPr>
          <w:lang w:val="fr-CA"/>
        </w:rPr>
        <w:t xml:space="preserve">établie </w:t>
      </w:r>
      <w:r w:rsidRPr="009C6218">
        <w:rPr>
          <w:lang w:val="fr-CA"/>
        </w:rPr>
        <w:t>et suscitant une apparence de partialité qui a miné la confiance du public dans la magistrature</w:t>
      </w:r>
      <w:r w:rsidR="001A1D33" w:rsidRPr="009C6218">
        <w:rPr>
          <w:lang w:val="fr-CA"/>
        </w:rPr>
        <w:t>.</w:t>
      </w:r>
    </w:p>
    <w:p w14:paraId="2746DCE8" w14:textId="5C8E5484" w:rsidR="005C2288" w:rsidRPr="009C6218" w:rsidRDefault="004A751E" w:rsidP="00C60398">
      <w:pPr>
        <w:numPr>
          <w:ilvl w:val="0"/>
          <w:numId w:val="1"/>
        </w:numPr>
        <w:spacing w:after="200" w:line="276" w:lineRule="auto"/>
        <w:ind w:left="567" w:hanging="567"/>
        <w:rPr>
          <w:lang w:val="fr-CA"/>
        </w:rPr>
      </w:pPr>
      <w:r w:rsidRPr="009C6218">
        <w:rPr>
          <w:lang w:val="fr-CA"/>
        </w:rPr>
        <w:t xml:space="preserve">Dans une entrevue que l’ancienne juge en chef </w:t>
      </w:r>
      <w:proofErr w:type="spellStart"/>
      <w:r w:rsidR="005C2288" w:rsidRPr="009C6218">
        <w:rPr>
          <w:lang w:val="fr-CA"/>
        </w:rPr>
        <w:t>McLachlin</w:t>
      </w:r>
      <w:proofErr w:type="spellEnd"/>
      <w:r w:rsidR="005C2288" w:rsidRPr="009C6218">
        <w:rPr>
          <w:lang w:val="fr-CA"/>
        </w:rPr>
        <w:t xml:space="preserve"> </w:t>
      </w:r>
      <w:r w:rsidRPr="009C6218">
        <w:rPr>
          <w:lang w:val="fr-CA"/>
        </w:rPr>
        <w:t xml:space="preserve">a accordée en avril 2017 sur les retards dans le système judiciaire, elle a fait observer que les officiers de justice </w:t>
      </w:r>
      <w:r w:rsidR="00785953">
        <w:rPr>
          <w:lang w:val="fr-CA"/>
        </w:rPr>
        <w:t xml:space="preserve">font </w:t>
      </w:r>
      <w:r w:rsidRPr="009C6218">
        <w:rPr>
          <w:lang w:val="fr-CA"/>
        </w:rPr>
        <w:t xml:space="preserve">partie du système de justice et qu’« il est important que les juges, les </w:t>
      </w:r>
      <w:r w:rsidRPr="009C6218">
        <w:rPr>
          <w:u w:val="single"/>
          <w:lang w:val="fr-CA"/>
        </w:rPr>
        <w:t>juges en chef, en particulier</w:t>
      </w:r>
      <w:r w:rsidRPr="009C6218">
        <w:rPr>
          <w:lang w:val="fr-CA"/>
        </w:rPr>
        <w:t xml:space="preserve">, s’expriment publiquement en vue de favoriser le règlement de problèmes qu’ils observent dans le système » [traduction]. Cependant, elle a introduit ses propos sur la responsabilité d’exprimer ses opinions en soulignant </w:t>
      </w:r>
      <w:r w:rsidRPr="009C6218">
        <w:rPr>
          <w:u w:val="single"/>
          <w:lang w:val="fr-CA"/>
        </w:rPr>
        <w:t xml:space="preserve">qu’il y a des limites à ce qu’un juge peut exprimer en public pour éviter </w:t>
      </w:r>
      <w:r w:rsidRPr="00785953">
        <w:rPr>
          <w:lang w:val="fr-CA"/>
        </w:rPr>
        <w:t>d’entrer dans l’arène politique ou</w:t>
      </w:r>
      <w:r w:rsidRPr="009C6218">
        <w:rPr>
          <w:u w:val="single"/>
          <w:lang w:val="fr-CA"/>
        </w:rPr>
        <w:t xml:space="preserve"> de donner une apparence de partialité</w:t>
      </w:r>
      <w:r w:rsidRPr="009C6218">
        <w:rPr>
          <w:lang w:val="fr-CA"/>
        </w:rPr>
        <w:t>. « Nous devons faire très attention à ce que nous disons et comment nous le disons. »</w:t>
      </w:r>
      <w:r w:rsidR="005C2288" w:rsidRPr="009C6218">
        <w:rPr>
          <w:rStyle w:val="FootnoteReference"/>
          <w:lang w:val="fr-CA"/>
        </w:rPr>
        <w:footnoteReference w:id="46"/>
      </w:r>
      <w:r w:rsidR="002906EB" w:rsidRPr="009C6218">
        <w:rPr>
          <w:lang w:val="fr-CA"/>
        </w:rPr>
        <w:t xml:space="preserve"> (</w:t>
      </w:r>
      <w:r w:rsidRPr="009C6218">
        <w:rPr>
          <w:lang w:val="fr-CA"/>
        </w:rPr>
        <w:t>mise en valeur ajoutée</w:t>
      </w:r>
      <w:r w:rsidR="002906EB" w:rsidRPr="009C6218">
        <w:rPr>
          <w:lang w:val="fr-CA"/>
        </w:rPr>
        <w:t>)</w:t>
      </w:r>
    </w:p>
    <w:p w14:paraId="6190B0E2" w14:textId="3C9BCA33" w:rsidR="00742580" w:rsidRPr="009C6218" w:rsidRDefault="0091535C" w:rsidP="00C60398">
      <w:pPr>
        <w:numPr>
          <w:ilvl w:val="0"/>
          <w:numId w:val="1"/>
        </w:numPr>
        <w:spacing w:after="200" w:line="276" w:lineRule="auto"/>
        <w:ind w:left="567" w:hanging="567"/>
        <w:rPr>
          <w:b/>
          <w:lang w:val="fr-CA"/>
        </w:rPr>
      </w:pPr>
      <w:r w:rsidRPr="009C6218">
        <w:rPr>
          <w:lang w:val="fr-CA"/>
        </w:rPr>
        <w:t>La juge de paix a d</w:t>
      </w:r>
      <w:r w:rsidR="00496752" w:rsidRPr="009C6218">
        <w:rPr>
          <w:lang w:val="fr-CA"/>
        </w:rPr>
        <w:t>écrit</w:t>
      </w:r>
      <w:r w:rsidRPr="009C6218">
        <w:rPr>
          <w:lang w:val="fr-CA"/>
        </w:rPr>
        <w:t xml:space="preserve"> dans son témoig</w:t>
      </w:r>
      <w:r w:rsidR="00496752" w:rsidRPr="009C6218">
        <w:rPr>
          <w:lang w:val="fr-CA"/>
        </w:rPr>
        <w:t xml:space="preserve">nage ses efforts en vue de régler les problèmes à l’interne. Elle affirme dans son affidavit avoir écrit l’Article après avoir épuisé toutes les options possibles pour </w:t>
      </w:r>
      <w:r w:rsidR="00785953">
        <w:rPr>
          <w:lang w:val="fr-CA"/>
        </w:rPr>
        <w:t xml:space="preserve">susciter </w:t>
      </w:r>
      <w:r w:rsidR="00496752" w:rsidRPr="009C6218">
        <w:rPr>
          <w:lang w:val="fr-CA"/>
        </w:rPr>
        <w:t xml:space="preserve">un dialogue </w:t>
      </w:r>
      <w:r w:rsidR="001B745D" w:rsidRPr="009C6218">
        <w:rPr>
          <w:lang w:val="fr-CA"/>
        </w:rPr>
        <w:t>et déclencher la tenue d’une enquête sur des pratiques inacceptables qui étaient devenues routinières dans les tribunaux chargés de la mise en liberté sous caution</w:t>
      </w:r>
      <w:r w:rsidR="005C2288" w:rsidRPr="009C6218">
        <w:rPr>
          <w:lang w:val="fr-CA"/>
        </w:rPr>
        <w:t xml:space="preserve">. </w:t>
      </w:r>
    </w:p>
    <w:p w14:paraId="386FBC45" w14:textId="76F1EB09" w:rsidR="00F61B6B" w:rsidRPr="009C6218" w:rsidRDefault="00D57EB7" w:rsidP="00DF3646">
      <w:pPr>
        <w:numPr>
          <w:ilvl w:val="0"/>
          <w:numId w:val="1"/>
        </w:numPr>
        <w:spacing w:after="200" w:line="276" w:lineRule="auto"/>
        <w:ind w:left="567" w:hanging="567"/>
        <w:rPr>
          <w:color w:val="FF0000"/>
          <w:lang w:val="fr-CA"/>
        </w:rPr>
      </w:pPr>
      <w:r w:rsidRPr="009C6218">
        <w:rPr>
          <w:lang w:val="fr-CA"/>
        </w:rPr>
        <w:t xml:space="preserve"> </w:t>
      </w:r>
      <w:r w:rsidR="00FC57F5" w:rsidRPr="009C6218">
        <w:rPr>
          <w:lang w:val="fr-CA"/>
        </w:rPr>
        <w:t xml:space="preserve">Elle a expliqué que deux événements bien précis ont précipité sa décision d’écrire l’article </w:t>
      </w:r>
      <w:r w:rsidR="00634AB6" w:rsidRPr="009C6218">
        <w:rPr>
          <w:lang w:val="fr-CA"/>
        </w:rPr>
        <w:t xml:space="preserve">: 1) </w:t>
      </w:r>
      <w:r w:rsidR="00FC57F5" w:rsidRPr="009C6218">
        <w:rPr>
          <w:lang w:val="fr-CA"/>
        </w:rPr>
        <w:t xml:space="preserve">une demande antérieure dans laquelle elle demandait de ne pas être assignée à présider des audiences de mise en liberté sous caution parce que cela nuisait à </w:t>
      </w:r>
      <w:r w:rsidR="00785953">
        <w:rPr>
          <w:lang w:val="fr-CA"/>
        </w:rPr>
        <w:t>sa</w:t>
      </w:r>
      <w:r w:rsidR="00FC57F5" w:rsidRPr="009C6218">
        <w:rPr>
          <w:lang w:val="fr-CA"/>
        </w:rPr>
        <w:t xml:space="preserve"> santé. Sa demande n’</w:t>
      </w:r>
      <w:r w:rsidR="00785953">
        <w:rPr>
          <w:lang w:val="fr-CA"/>
        </w:rPr>
        <w:t>était plus respectée</w:t>
      </w:r>
      <w:r w:rsidR="00FC57F5" w:rsidRPr="009C6218">
        <w:rPr>
          <w:lang w:val="fr-CA"/>
        </w:rPr>
        <w:t xml:space="preserve">. Elle a </w:t>
      </w:r>
      <w:r w:rsidR="000278A5" w:rsidRPr="009C6218">
        <w:rPr>
          <w:lang w:val="fr-CA"/>
        </w:rPr>
        <w:t xml:space="preserve">alors </w:t>
      </w:r>
      <w:r w:rsidR="00FC57F5" w:rsidRPr="009C6218">
        <w:rPr>
          <w:lang w:val="fr-CA"/>
        </w:rPr>
        <w:t xml:space="preserve">décidé d’écrire au </w:t>
      </w:r>
      <w:r w:rsidR="000278A5" w:rsidRPr="009C6218">
        <w:rPr>
          <w:lang w:val="fr-CA"/>
        </w:rPr>
        <w:t xml:space="preserve">juge de paix principal régional </w:t>
      </w:r>
      <w:r w:rsidR="00634AB6" w:rsidRPr="009C6218">
        <w:rPr>
          <w:lang w:val="fr-CA"/>
        </w:rPr>
        <w:t>Leblanc</w:t>
      </w:r>
      <w:r w:rsidR="000278A5" w:rsidRPr="009C6218">
        <w:rPr>
          <w:lang w:val="fr-CA"/>
        </w:rPr>
        <w:t xml:space="preserve"> pour lui demander une fois de plus d’être dispensée de présider des audiences de mise en liberté sous caution </w:t>
      </w:r>
      <w:r w:rsidR="000278A5" w:rsidRPr="009C6218">
        <w:rPr>
          <w:lang w:val="fr-CA"/>
        </w:rPr>
        <w:lastRenderedPageBreak/>
        <w:t>principalement « pour des raisons de santé »</w:t>
      </w:r>
      <w:r w:rsidR="00785953">
        <w:rPr>
          <w:lang w:val="fr-CA"/>
        </w:rPr>
        <w:t>; et 2) après la lettre, elle a continué à être affectée au tribunal de la mise en liberté sous caution</w:t>
      </w:r>
      <w:r w:rsidR="000278A5" w:rsidRPr="009C6218">
        <w:rPr>
          <w:lang w:val="fr-CA"/>
        </w:rPr>
        <w:t>. Une réunion a été convoquée avec le juge de paix principal régional Leblanc et le juge principal régional Fraser po</w:t>
      </w:r>
      <w:r w:rsidR="00DF7505" w:rsidRPr="009C6218">
        <w:rPr>
          <w:lang w:val="fr-CA"/>
        </w:rPr>
        <w:t>ur</w:t>
      </w:r>
      <w:r w:rsidR="000278A5" w:rsidRPr="009C6218">
        <w:rPr>
          <w:lang w:val="fr-CA"/>
        </w:rPr>
        <w:t xml:space="preserve"> discuter de la question. La juge de paix est sortie de cette réunion avec l’impression que le juge Fraser n’allait pas accepter sa demande de ne pas présider des audiences de mise en liberté sous caution</w:t>
      </w:r>
      <w:r w:rsidR="00634AB6" w:rsidRPr="009C6218">
        <w:rPr>
          <w:lang w:val="fr-CA"/>
        </w:rPr>
        <w:t xml:space="preserve">. </w:t>
      </w:r>
      <w:r w:rsidR="000278A5" w:rsidRPr="009C6218">
        <w:rPr>
          <w:lang w:val="fr-CA"/>
        </w:rPr>
        <w:t>C’est à ce moment-là qu’elle a décidé « Je n’ai pas d’autre choix que d’écrire »</w:t>
      </w:r>
      <w:r w:rsidR="00634AB6" w:rsidRPr="009C6218">
        <w:rPr>
          <w:rStyle w:val="FootnoteReference"/>
          <w:lang w:val="fr-CA"/>
        </w:rPr>
        <w:footnoteReference w:id="47"/>
      </w:r>
      <w:r w:rsidR="000278A5" w:rsidRPr="009C6218">
        <w:rPr>
          <w:lang w:val="fr-CA"/>
        </w:rPr>
        <w:t>.</w:t>
      </w:r>
      <w:r w:rsidR="00F61B6B" w:rsidRPr="009C6218">
        <w:rPr>
          <w:lang w:val="fr-CA"/>
        </w:rPr>
        <w:t xml:space="preserve"> </w:t>
      </w:r>
      <w:r w:rsidR="00DD6121" w:rsidRPr="009C6218">
        <w:rPr>
          <w:lang w:val="fr-CA"/>
        </w:rPr>
        <w:t xml:space="preserve">         </w:t>
      </w:r>
    </w:p>
    <w:p w14:paraId="57C3DA3A" w14:textId="75685C5B" w:rsidR="005C2288" w:rsidRPr="009C6218" w:rsidRDefault="00C77966" w:rsidP="00C60398">
      <w:pPr>
        <w:numPr>
          <w:ilvl w:val="0"/>
          <w:numId w:val="1"/>
        </w:numPr>
        <w:spacing w:after="200" w:line="276" w:lineRule="auto"/>
        <w:ind w:left="567" w:hanging="567"/>
        <w:rPr>
          <w:b/>
          <w:lang w:val="fr-CA"/>
        </w:rPr>
      </w:pPr>
      <w:r w:rsidRPr="009C6218">
        <w:rPr>
          <w:lang w:val="fr-CA"/>
        </w:rPr>
        <w:t xml:space="preserve">Dans son affidavit, la juge de paix précise que son intention, en écrivant l’article, était de protéger l’administration de la justice en </w:t>
      </w:r>
      <w:r w:rsidR="002C66A0" w:rsidRPr="009C6218">
        <w:rPr>
          <w:lang w:val="fr-CA"/>
        </w:rPr>
        <w:t xml:space="preserve">suscitant « un examen froid et lucide » de la façon dont la loi était interprétée et des comportements prévalents dans les tribunaux chargés de la mise en liberté sous caution. </w:t>
      </w:r>
      <w:r w:rsidR="00544B46" w:rsidRPr="009C6218">
        <w:rPr>
          <w:lang w:val="fr-CA"/>
        </w:rPr>
        <w:t>« </w:t>
      </w:r>
      <w:r w:rsidR="002C66A0" w:rsidRPr="009C6218">
        <w:rPr>
          <w:lang w:val="fr-CA"/>
        </w:rPr>
        <w:t xml:space="preserve">L’article était une </w:t>
      </w:r>
      <w:r w:rsidR="00544B46" w:rsidRPr="009C6218">
        <w:rPr>
          <w:lang w:val="fr-CA"/>
        </w:rPr>
        <w:t>option</w:t>
      </w:r>
      <w:r w:rsidR="002C66A0" w:rsidRPr="009C6218">
        <w:rPr>
          <w:lang w:val="fr-CA"/>
        </w:rPr>
        <w:t xml:space="preserve"> de dernier recours </w:t>
      </w:r>
      <w:r w:rsidR="00544B46" w:rsidRPr="009C6218">
        <w:rPr>
          <w:lang w:val="fr-CA"/>
        </w:rPr>
        <w:t>pour corriger des procédures judiciaires qui n’av</w:t>
      </w:r>
      <w:r w:rsidR="00776713">
        <w:rPr>
          <w:lang w:val="fr-CA"/>
        </w:rPr>
        <w:t>a</w:t>
      </w:r>
      <w:r w:rsidR="00544B46" w:rsidRPr="009C6218">
        <w:rPr>
          <w:lang w:val="fr-CA"/>
        </w:rPr>
        <w:t>ient rien de professionnel et qui étaient inconstitutionnelles et contraires à la loi. »</w:t>
      </w:r>
      <w:r w:rsidR="005C2288" w:rsidRPr="009C6218">
        <w:rPr>
          <w:rStyle w:val="FootnoteReference"/>
          <w:lang w:val="fr-CA"/>
        </w:rPr>
        <w:footnoteReference w:id="48"/>
      </w:r>
      <w:r w:rsidR="00544B46" w:rsidRPr="009C6218">
        <w:rPr>
          <w:lang w:val="fr-CA"/>
        </w:rPr>
        <w:t>.</w:t>
      </w:r>
      <w:r w:rsidR="005C2288" w:rsidRPr="009C6218">
        <w:rPr>
          <w:lang w:val="fr-CA"/>
        </w:rPr>
        <w:t xml:space="preserve"> </w:t>
      </w:r>
    </w:p>
    <w:p w14:paraId="4B93042D" w14:textId="394F1730" w:rsidR="005C2288" w:rsidRPr="009C6218" w:rsidRDefault="00544B46" w:rsidP="00C60398">
      <w:pPr>
        <w:numPr>
          <w:ilvl w:val="0"/>
          <w:numId w:val="1"/>
        </w:numPr>
        <w:spacing w:after="200" w:line="276" w:lineRule="auto"/>
        <w:ind w:left="567" w:hanging="567"/>
        <w:rPr>
          <w:b/>
          <w:lang w:val="fr-CA"/>
        </w:rPr>
      </w:pPr>
      <w:r w:rsidRPr="009C6218">
        <w:rPr>
          <w:lang w:val="fr-CA"/>
        </w:rPr>
        <w:t>Dans son témoignage, la juge de paix a répété la même chose. À une question lui demandant si elle ne trouvait pas que la publication de l’Article était « une mesure drastique », la juge de paix a refusé d’adopter la caractérisation de « mesure drastique », mais elle a répondu que la publication de l’Article était une mesure nécessaire dans les circonstances, qu’</w:t>
      </w:r>
      <w:r w:rsidR="00A46C46">
        <w:rPr>
          <w:lang w:val="fr-CA"/>
        </w:rPr>
        <w:t>elle</w:t>
      </w:r>
      <w:r w:rsidRPr="009C6218">
        <w:rPr>
          <w:lang w:val="fr-CA"/>
        </w:rPr>
        <w:t xml:space="preserve"> était « essentiel</w:t>
      </w:r>
      <w:r w:rsidR="00A46C46">
        <w:rPr>
          <w:lang w:val="fr-CA"/>
        </w:rPr>
        <w:t>le</w:t>
      </w:r>
      <w:r w:rsidRPr="009C6218">
        <w:rPr>
          <w:lang w:val="fr-CA"/>
        </w:rPr>
        <w:t> » et qu</w:t>
      </w:r>
      <w:r w:rsidR="00A46C46">
        <w:rPr>
          <w:lang w:val="fr-CA"/>
        </w:rPr>
        <w:t>e l’article</w:t>
      </w:r>
      <w:r w:rsidRPr="009C6218">
        <w:rPr>
          <w:lang w:val="fr-CA"/>
        </w:rPr>
        <w:t xml:space="preserve"> « devait être fort » pour « transmettre son message »</w:t>
      </w:r>
      <w:r w:rsidR="005C2288" w:rsidRPr="009C6218">
        <w:rPr>
          <w:rStyle w:val="FootnoteReference"/>
          <w:lang w:val="fr-CA"/>
        </w:rPr>
        <w:footnoteReference w:id="49"/>
      </w:r>
      <w:r w:rsidRPr="009C6218">
        <w:rPr>
          <w:lang w:val="fr-CA"/>
        </w:rPr>
        <w:t>.</w:t>
      </w:r>
    </w:p>
    <w:p w14:paraId="62142151" w14:textId="2802D8FD" w:rsidR="005C2288" w:rsidRPr="009C6218" w:rsidRDefault="002C543E" w:rsidP="002C543E">
      <w:pPr>
        <w:numPr>
          <w:ilvl w:val="0"/>
          <w:numId w:val="1"/>
        </w:numPr>
        <w:spacing w:after="200" w:line="276" w:lineRule="auto"/>
        <w:ind w:left="567" w:hanging="567"/>
        <w:rPr>
          <w:b/>
          <w:lang w:val="fr-CA"/>
        </w:rPr>
      </w:pPr>
      <w:r w:rsidRPr="009C6218">
        <w:rPr>
          <w:lang w:val="fr-CA"/>
        </w:rPr>
        <w:t xml:space="preserve">Dans son témoignage oral, la juge de paix a admis qu’elle n’avait pas pensé </w:t>
      </w:r>
      <w:r w:rsidR="00A46C46">
        <w:rPr>
          <w:lang w:val="fr-CA"/>
        </w:rPr>
        <w:t xml:space="preserve">porter </w:t>
      </w:r>
      <w:r w:rsidRPr="009C6218">
        <w:rPr>
          <w:lang w:val="fr-CA"/>
        </w:rPr>
        <w:t xml:space="preserve">ses plaintes ou préoccupations </w:t>
      </w:r>
      <w:r w:rsidR="00A46C46">
        <w:rPr>
          <w:lang w:val="fr-CA"/>
        </w:rPr>
        <w:t>à l’attention d</w:t>
      </w:r>
      <w:r w:rsidRPr="009C6218">
        <w:rPr>
          <w:lang w:val="fr-CA"/>
        </w:rPr>
        <w:t>u juge en chef de la Cour de justice de l’Ontario. Comme elle s’était plainte à la juge en chef adjointe et coordonnatrice des juges de paix, elle a présumé que le juge en chef était déjà au courant de la situation. Elle n’a pas envisagé la possibilité de se plaindre au procureur général du comportement présumé des procureurs de la Couronne</w:t>
      </w:r>
      <w:r w:rsidR="005C2288" w:rsidRPr="009C6218">
        <w:rPr>
          <w:lang w:val="fr-CA"/>
        </w:rPr>
        <w:t xml:space="preserve">. </w:t>
      </w:r>
      <w:r w:rsidRPr="009C6218">
        <w:rPr>
          <w:lang w:val="fr-CA"/>
        </w:rPr>
        <w:t xml:space="preserve">La juge de paix a reconnu avoir pensé se plaindre au Barreau du Haut-Canada (maintenant appelé Barreau de l’Ontario) du manque présumé de professionnalisme de certains procureurs </w:t>
      </w:r>
      <w:r w:rsidR="005C2288" w:rsidRPr="009C6218">
        <w:rPr>
          <w:lang w:val="fr-CA"/>
        </w:rPr>
        <w:t>a</w:t>
      </w:r>
      <w:r w:rsidRPr="009C6218">
        <w:rPr>
          <w:lang w:val="fr-CA"/>
        </w:rPr>
        <w:t>djoints de la Couronne qui comparaissaient devant elle, avec l’autorisation du juge en chef, mais elle pensait que le problème était de nature systémique et elle n’a donc pas donné suite à cette option</w:t>
      </w:r>
      <w:r w:rsidR="005C2288" w:rsidRPr="009C6218">
        <w:rPr>
          <w:rStyle w:val="FootnoteReference"/>
          <w:lang w:val="fr-CA"/>
        </w:rPr>
        <w:footnoteReference w:id="50"/>
      </w:r>
      <w:r w:rsidRPr="009C6218">
        <w:rPr>
          <w:lang w:val="fr-CA"/>
        </w:rPr>
        <w:t>.</w:t>
      </w:r>
    </w:p>
    <w:p w14:paraId="394EFAA4" w14:textId="7AFD04A9" w:rsidR="005C2288" w:rsidRPr="009C6218" w:rsidRDefault="002C543E" w:rsidP="00C60398">
      <w:pPr>
        <w:numPr>
          <w:ilvl w:val="0"/>
          <w:numId w:val="1"/>
        </w:numPr>
        <w:spacing w:after="200" w:line="276" w:lineRule="auto"/>
        <w:ind w:left="567" w:hanging="567"/>
        <w:rPr>
          <w:b/>
          <w:lang w:val="fr-CA"/>
        </w:rPr>
      </w:pPr>
      <w:r w:rsidRPr="009C6218">
        <w:rPr>
          <w:lang w:val="fr-CA"/>
        </w:rPr>
        <w:t>Dans son affidavit</w:t>
      </w:r>
      <w:r w:rsidR="005C2288" w:rsidRPr="009C6218">
        <w:rPr>
          <w:lang w:val="fr-CA"/>
        </w:rPr>
        <w:t xml:space="preserve">, </w:t>
      </w:r>
      <w:r w:rsidRPr="009C6218">
        <w:rPr>
          <w:lang w:val="fr-CA"/>
        </w:rPr>
        <w:t xml:space="preserve">la juge de paix a écrit que des collègues d’autres régions de la province lui avaient confié qu’ils vivaient des situations très semblables. Elle a </w:t>
      </w:r>
      <w:r w:rsidRPr="009C6218">
        <w:rPr>
          <w:lang w:val="fr-CA"/>
        </w:rPr>
        <w:lastRenderedPageBreak/>
        <w:t>affirmé qu’à ce stade, elle pensait n’avoir plus personne vers qui se tourner pour trouver une solution au problème</w:t>
      </w:r>
      <w:r w:rsidR="005C2288" w:rsidRPr="009C6218">
        <w:rPr>
          <w:lang w:val="fr-CA"/>
        </w:rPr>
        <w:t>.</w:t>
      </w:r>
    </w:p>
    <w:p w14:paraId="25F233BB" w14:textId="3FAC0E5D" w:rsidR="005C2288" w:rsidRPr="009C6218" w:rsidRDefault="00C81D3B" w:rsidP="00C60398">
      <w:pPr>
        <w:numPr>
          <w:ilvl w:val="0"/>
          <w:numId w:val="1"/>
        </w:numPr>
        <w:spacing w:after="200" w:line="276" w:lineRule="auto"/>
        <w:ind w:left="567" w:hanging="567"/>
        <w:rPr>
          <w:b/>
          <w:lang w:val="fr-CA"/>
        </w:rPr>
      </w:pPr>
      <w:r w:rsidRPr="009C6218">
        <w:rPr>
          <w:lang w:val="fr-CA"/>
        </w:rPr>
        <w:t xml:space="preserve">La juge de paix a dressé une liste des divers </w:t>
      </w:r>
      <w:r w:rsidR="006709E7" w:rsidRPr="009C6218">
        <w:rPr>
          <w:lang w:val="fr-CA"/>
        </w:rPr>
        <w:t xml:space="preserve">officiers de justice </w:t>
      </w:r>
      <w:r w:rsidR="00776713">
        <w:rPr>
          <w:lang w:val="fr-CA"/>
        </w:rPr>
        <w:t xml:space="preserve">et </w:t>
      </w:r>
      <w:r w:rsidR="006709E7" w:rsidRPr="009C6218">
        <w:rPr>
          <w:lang w:val="fr-CA"/>
        </w:rPr>
        <w:t xml:space="preserve">chefs régionaux de l’administration auxquels elle s’est adressée pour trouver une solution à ses préoccupations. Aucune preuve n’a été produite à l’audience </w:t>
      </w:r>
      <w:r w:rsidR="00EA35F1" w:rsidRPr="009C6218">
        <w:rPr>
          <w:lang w:val="fr-CA"/>
        </w:rPr>
        <w:t>qui démontrait que la juge de paix avait même tenté de communiquer à l’</w:t>
      </w:r>
      <w:r w:rsidR="00D11FF2" w:rsidRPr="009C6218">
        <w:rPr>
          <w:lang w:val="fr-CA"/>
        </w:rPr>
        <w:t>AJPO</w:t>
      </w:r>
      <w:r w:rsidR="005C2288" w:rsidRPr="009C6218">
        <w:rPr>
          <w:lang w:val="fr-CA"/>
        </w:rPr>
        <w:t xml:space="preserve">, </w:t>
      </w:r>
      <w:r w:rsidR="00EA35F1" w:rsidRPr="009C6218">
        <w:rPr>
          <w:lang w:val="fr-CA"/>
        </w:rPr>
        <w:t>une intervenante dans l’instance, les préoccupations que partageaient ses collègues d’autres régions afin de pouvoir trouver une solution collective aux problèmes systémiques auxquels faisaient face les juges de paix</w:t>
      </w:r>
      <w:r w:rsidR="009E5EDC" w:rsidRPr="009C6218">
        <w:rPr>
          <w:lang w:val="fr-CA"/>
        </w:rPr>
        <w:t>.</w:t>
      </w:r>
    </w:p>
    <w:p w14:paraId="2689F810" w14:textId="5CDC647D" w:rsidR="00150489" w:rsidRPr="009C6218" w:rsidRDefault="006B05D1" w:rsidP="00780AAA">
      <w:pPr>
        <w:numPr>
          <w:ilvl w:val="0"/>
          <w:numId w:val="1"/>
        </w:numPr>
        <w:spacing w:after="200" w:line="276" w:lineRule="auto"/>
        <w:ind w:left="567" w:hanging="567"/>
        <w:rPr>
          <w:b/>
          <w:lang w:val="fr-CA"/>
        </w:rPr>
      </w:pPr>
      <w:r w:rsidRPr="009C6218">
        <w:rPr>
          <w:lang w:val="fr-CA"/>
        </w:rPr>
        <w:t>Les juges de paix sont encouragés à parler des problèmes systémiques auxquels ils sont confrontés dans l’administration de la justice. Le comité d’audition reconnaît que la juge de paix avait le droit d’exercer son droit d’expression pour critiquer les problèmes systémiques affligeant les tribunaux de mise en liberté sous caution</w:t>
      </w:r>
      <w:r w:rsidR="00832B78" w:rsidRPr="009C6218">
        <w:rPr>
          <w:lang w:val="fr-CA"/>
        </w:rPr>
        <w:t xml:space="preserve">. </w:t>
      </w:r>
      <w:r w:rsidRPr="009C6218">
        <w:rPr>
          <w:lang w:val="fr-CA"/>
        </w:rPr>
        <w:t xml:space="preserve">Comme la Cour l’a précisé dans l’affaire </w:t>
      </w:r>
      <w:r w:rsidR="007C6654" w:rsidRPr="009C6218">
        <w:rPr>
          <w:i/>
          <w:lang w:val="fr-CA"/>
        </w:rPr>
        <w:t>Doré</w:t>
      </w:r>
      <w:r w:rsidR="007C6654" w:rsidRPr="009C6218">
        <w:rPr>
          <w:lang w:val="fr-CA"/>
        </w:rPr>
        <w:t xml:space="preserve">, </w:t>
      </w:r>
      <w:r w:rsidR="00780AAA" w:rsidRPr="009C6218">
        <w:rPr>
          <w:lang w:val="fr-CA"/>
        </w:rPr>
        <w:t>« Une telle critique, même exprimée vigoureusement, peut être constructive »</w:t>
      </w:r>
      <w:r w:rsidR="007C6654" w:rsidRPr="009C6218">
        <w:rPr>
          <w:rStyle w:val="FootnoteReference"/>
          <w:lang w:val="fr-CA"/>
        </w:rPr>
        <w:footnoteReference w:id="51"/>
      </w:r>
      <w:r w:rsidR="00780AAA" w:rsidRPr="009C6218">
        <w:rPr>
          <w:lang w:val="fr-CA"/>
        </w:rPr>
        <w:t>.</w:t>
      </w:r>
      <w:r w:rsidR="007C6654" w:rsidRPr="009C6218">
        <w:rPr>
          <w:lang w:val="fr-CA"/>
        </w:rPr>
        <w:t xml:space="preserve"> </w:t>
      </w:r>
      <w:r w:rsidR="00780AAA" w:rsidRPr="009C6218">
        <w:rPr>
          <w:lang w:val="fr-CA"/>
        </w:rPr>
        <w:t xml:space="preserve">Cependant, comme nous l’avons expliqué </w:t>
      </w:r>
      <w:r w:rsidR="000D569A">
        <w:rPr>
          <w:lang w:val="fr-CA"/>
        </w:rPr>
        <w:t xml:space="preserve">ailleurs </w:t>
      </w:r>
      <w:r w:rsidR="00780AAA" w:rsidRPr="009C6218">
        <w:rPr>
          <w:lang w:val="fr-CA"/>
        </w:rPr>
        <w:t xml:space="preserve">dans les présents motifs, ce droit n’existe pas dans l’abstrait et n’est pas absolu. La charge judiciaire est unique. La société assigne des pouvoirs et des responsabilités importants aux officiers de justice. En conséquence, la juge de paix </w:t>
      </w:r>
      <w:r w:rsidR="00A4216D" w:rsidRPr="009C6218">
        <w:rPr>
          <w:lang w:val="fr-CA"/>
        </w:rPr>
        <w:t xml:space="preserve">Lauzon </w:t>
      </w:r>
      <w:r w:rsidR="00780AAA" w:rsidRPr="009C6218">
        <w:rPr>
          <w:lang w:val="fr-CA"/>
        </w:rPr>
        <w:t xml:space="preserve">avait l’obligation de </w:t>
      </w:r>
      <w:r w:rsidR="002B51CE" w:rsidRPr="009C6218">
        <w:rPr>
          <w:lang w:val="fr-CA"/>
        </w:rPr>
        <w:t>garder à l’esprit son rôle de juge de paix et s</w:t>
      </w:r>
      <w:r w:rsidR="00D94A79" w:rsidRPr="009C6218">
        <w:rPr>
          <w:lang w:val="fr-CA"/>
        </w:rPr>
        <w:t>a</w:t>
      </w:r>
      <w:r w:rsidR="002B51CE" w:rsidRPr="009C6218">
        <w:rPr>
          <w:lang w:val="fr-CA"/>
        </w:rPr>
        <w:t xml:space="preserve"> </w:t>
      </w:r>
      <w:r w:rsidR="00D94A79" w:rsidRPr="009C6218">
        <w:rPr>
          <w:lang w:val="fr-CA"/>
        </w:rPr>
        <w:t>responsabilité d’officier de justice de préserver l’intégrité, l’impartialité et l’indépendance de sa charge tout en exerçant son droit à la liberté d’expression pour critique</w:t>
      </w:r>
      <w:r w:rsidR="000D569A">
        <w:rPr>
          <w:lang w:val="fr-CA"/>
        </w:rPr>
        <w:t>r</w:t>
      </w:r>
      <w:r w:rsidR="00D94A79" w:rsidRPr="009C6218">
        <w:rPr>
          <w:lang w:val="fr-CA"/>
        </w:rPr>
        <w:t xml:space="preserve"> des problèmes dans l’administration de la justice</w:t>
      </w:r>
      <w:r w:rsidR="00A2612A" w:rsidRPr="009C6218">
        <w:rPr>
          <w:lang w:val="fr-CA"/>
        </w:rPr>
        <w:t>.</w:t>
      </w:r>
    </w:p>
    <w:p w14:paraId="14287600" w14:textId="0469A9D7" w:rsidR="00F834CB" w:rsidRPr="009C6218" w:rsidRDefault="004D7B9D" w:rsidP="00BE6325">
      <w:pPr>
        <w:pStyle w:val="Heading2"/>
        <w:spacing w:after="360"/>
        <w:rPr>
          <w:lang w:val="fr-CA"/>
        </w:rPr>
      </w:pPr>
      <w:bookmarkStart w:id="41" w:name="_Toc42946549"/>
      <w:r w:rsidRPr="009C6218">
        <w:rPr>
          <w:rFonts w:asciiTheme="minorHAnsi" w:hAnsiTheme="minorHAnsi" w:cstheme="minorHAnsi"/>
          <w:lang w:val="fr-CA"/>
        </w:rPr>
        <w:t>Le forum choisi pour publier l’Article et le degré de visibilité</w:t>
      </w:r>
      <w:bookmarkEnd w:id="41"/>
    </w:p>
    <w:p w14:paraId="1C243110" w14:textId="2086AA73" w:rsidR="005C2288" w:rsidRPr="009C6218" w:rsidRDefault="00D94A79" w:rsidP="00BE6325">
      <w:pPr>
        <w:numPr>
          <w:ilvl w:val="0"/>
          <w:numId w:val="1"/>
        </w:numPr>
        <w:spacing w:after="360" w:line="276" w:lineRule="auto"/>
        <w:ind w:left="567" w:hanging="567"/>
        <w:rPr>
          <w:b/>
          <w:lang w:val="fr-CA"/>
        </w:rPr>
      </w:pPr>
      <w:r w:rsidRPr="009C6218">
        <w:rPr>
          <w:lang w:val="fr-CA"/>
        </w:rPr>
        <w:t xml:space="preserve">La juge de paix a choisi le journal </w:t>
      </w:r>
      <w:r w:rsidR="005C2288" w:rsidRPr="009C6218">
        <w:rPr>
          <w:i/>
          <w:lang w:val="fr-CA"/>
        </w:rPr>
        <w:t>National Post</w:t>
      </w:r>
      <w:r w:rsidR="005C2288" w:rsidRPr="009C6218">
        <w:rPr>
          <w:lang w:val="fr-CA"/>
        </w:rPr>
        <w:t xml:space="preserve"> </w:t>
      </w:r>
      <w:r w:rsidRPr="009C6218">
        <w:rPr>
          <w:lang w:val="fr-CA"/>
        </w:rPr>
        <w:t xml:space="preserve">pour exprimer son opinion. Dans son témoignage, elle a expliqué qu’après sa réunion avec le juge de paix principal régional et le juge principal régional, elle est arrivée au point qu’elle a décidé </w:t>
      </w:r>
      <w:r w:rsidR="00D66561" w:rsidRPr="009C6218">
        <w:rPr>
          <w:lang w:val="fr-CA"/>
        </w:rPr>
        <w:t xml:space="preserve">qu’elle devait publier quelque chose. Elle se souvient avoir probablement rédigé l’Article avant de contacter le </w:t>
      </w:r>
      <w:r w:rsidR="005C2288" w:rsidRPr="009C6218">
        <w:rPr>
          <w:i/>
          <w:lang w:val="fr-CA"/>
        </w:rPr>
        <w:t>National Post</w:t>
      </w:r>
      <w:r w:rsidR="005C2288" w:rsidRPr="009C6218">
        <w:rPr>
          <w:lang w:val="fr-CA"/>
        </w:rPr>
        <w:t xml:space="preserve">. </w:t>
      </w:r>
      <w:r w:rsidR="00D66561" w:rsidRPr="009C6218">
        <w:rPr>
          <w:lang w:val="fr-CA"/>
        </w:rPr>
        <w:t>Ce n’est pas le journal qui l’a contactée</w:t>
      </w:r>
      <w:r w:rsidR="005C2288" w:rsidRPr="009C6218">
        <w:rPr>
          <w:rStyle w:val="FootnoteReference"/>
          <w:lang w:val="fr-CA"/>
        </w:rPr>
        <w:footnoteReference w:id="52"/>
      </w:r>
      <w:r w:rsidR="00D66561" w:rsidRPr="009C6218">
        <w:rPr>
          <w:lang w:val="fr-CA"/>
        </w:rPr>
        <w:t>.</w:t>
      </w:r>
    </w:p>
    <w:p w14:paraId="337AE47E" w14:textId="1B14C506" w:rsidR="005C2288" w:rsidRPr="009C6218" w:rsidRDefault="005C2288" w:rsidP="00C60398">
      <w:pPr>
        <w:numPr>
          <w:ilvl w:val="0"/>
          <w:numId w:val="1"/>
        </w:numPr>
        <w:spacing w:after="200" w:line="276" w:lineRule="auto"/>
        <w:ind w:left="567" w:hanging="567"/>
        <w:rPr>
          <w:b/>
          <w:lang w:val="fr-CA"/>
        </w:rPr>
      </w:pPr>
      <w:r w:rsidRPr="009C6218">
        <w:rPr>
          <w:lang w:val="fr-CA"/>
        </w:rPr>
        <w:t>I</w:t>
      </w:r>
      <w:r w:rsidR="003D5337" w:rsidRPr="009C6218">
        <w:rPr>
          <w:lang w:val="fr-CA"/>
        </w:rPr>
        <w:t xml:space="preserve">l n’est pas contesté que le </w:t>
      </w:r>
      <w:r w:rsidR="003D5337" w:rsidRPr="000D569A">
        <w:rPr>
          <w:i/>
          <w:lang w:val="fr-CA"/>
        </w:rPr>
        <w:t>National Post</w:t>
      </w:r>
      <w:r w:rsidR="003D5337" w:rsidRPr="009C6218">
        <w:rPr>
          <w:lang w:val="fr-CA"/>
        </w:rPr>
        <w:t>, versions imprimée et en ligne, n’est pas une publication locale ou communautaire. Il s’agit d’un grand journal, diffusé à grand</w:t>
      </w:r>
      <w:r w:rsidR="000D569A">
        <w:rPr>
          <w:lang w:val="fr-CA"/>
        </w:rPr>
        <w:t>e</w:t>
      </w:r>
      <w:r w:rsidR="003D5337" w:rsidRPr="009C6218">
        <w:rPr>
          <w:lang w:val="fr-CA"/>
        </w:rPr>
        <w:t xml:space="preserve"> échelle, bien au-delà de la région d’Ottawa où la juge de paix présidait</w:t>
      </w:r>
      <w:r w:rsidRPr="009C6218">
        <w:rPr>
          <w:rStyle w:val="FootnoteReference"/>
          <w:lang w:val="fr-CA"/>
        </w:rPr>
        <w:footnoteReference w:id="53"/>
      </w:r>
      <w:r w:rsidR="003D5337" w:rsidRPr="009C6218">
        <w:rPr>
          <w:lang w:val="fr-CA"/>
        </w:rPr>
        <w:t>.</w:t>
      </w:r>
      <w:r w:rsidRPr="009C6218">
        <w:rPr>
          <w:lang w:val="fr-CA"/>
        </w:rPr>
        <w:t xml:space="preserve"> </w:t>
      </w:r>
    </w:p>
    <w:p w14:paraId="67363441" w14:textId="61D147D6" w:rsidR="00CC69CE" w:rsidRPr="009C6218" w:rsidRDefault="009E58EB" w:rsidP="00C60398">
      <w:pPr>
        <w:numPr>
          <w:ilvl w:val="0"/>
          <w:numId w:val="1"/>
        </w:numPr>
        <w:spacing w:after="200" w:line="276" w:lineRule="auto"/>
        <w:ind w:left="567" w:hanging="567"/>
        <w:rPr>
          <w:b/>
          <w:lang w:val="fr-CA"/>
        </w:rPr>
      </w:pPr>
      <w:r w:rsidRPr="009C6218">
        <w:rPr>
          <w:lang w:val="fr-CA"/>
        </w:rPr>
        <w:lastRenderedPageBreak/>
        <w:t xml:space="preserve">Nous relevons aussi que l’Article a reçu l’attention d’autres médias dans les jours qui ont suivi la publication dans le </w:t>
      </w:r>
      <w:r w:rsidR="00CC69CE" w:rsidRPr="009C6218">
        <w:rPr>
          <w:i/>
          <w:lang w:val="fr-CA"/>
        </w:rPr>
        <w:t>National Post</w:t>
      </w:r>
      <w:r w:rsidR="00CC69CE" w:rsidRPr="009C6218">
        <w:rPr>
          <w:lang w:val="fr-CA"/>
        </w:rPr>
        <w:t xml:space="preserve">. </w:t>
      </w:r>
      <w:r w:rsidRPr="009C6218">
        <w:rPr>
          <w:lang w:val="fr-CA"/>
        </w:rPr>
        <w:t>À cet égard, l’Article a eu un degré de visibilité relativement élevé</w:t>
      </w:r>
      <w:r w:rsidR="00CC69CE" w:rsidRPr="009C6218">
        <w:rPr>
          <w:lang w:val="fr-CA"/>
        </w:rPr>
        <w:t>.</w:t>
      </w:r>
    </w:p>
    <w:p w14:paraId="2D0556EF" w14:textId="46AFD0A3" w:rsidR="00CC69CE" w:rsidRPr="009C6218" w:rsidRDefault="009E58EB" w:rsidP="00C60398">
      <w:pPr>
        <w:numPr>
          <w:ilvl w:val="0"/>
          <w:numId w:val="1"/>
        </w:numPr>
        <w:spacing w:after="200" w:line="276" w:lineRule="auto"/>
        <w:ind w:left="567" w:hanging="567"/>
        <w:rPr>
          <w:b/>
          <w:lang w:val="fr-CA"/>
        </w:rPr>
      </w:pPr>
      <w:r w:rsidRPr="009C6218">
        <w:rPr>
          <w:lang w:val="fr-CA"/>
        </w:rPr>
        <w:t>La juge de paix a affirmé dans son témoignage qu’il n’était pas possible de dresser un tableau plus complet des problèmes des tribunaux chargés de la mise en liberté sous caution dans un éditorial. Son but était de mettre en lumière les problèmes qui nécessitaient une solution. L</w:t>
      </w:r>
      <w:r w:rsidR="000E3D37" w:rsidRPr="009C6218">
        <w:rPr>
          <w:lang w:val="fr-CA"/>
        </w:rPr>
        <w:t>e caractère opportun du forum choisi pour exprimer son opinion sur un sujet complexe d</w:t>
      </w:r>
      <w:r w:rsidRPr="009C6218">
        <w:rPr>
          <w:lang w:val="fr-CA"/>
        </w:rPr>
        <w:t>’</w:t>
      </w:r>
      <w:r w:rsidR="000E3D37" w:rsidRPr="009C6218">
        <w:rPr>
          <w:lang w:val="fr-CA"/>
        </w:rPr>
        <w:t>une manière équitable et équilibrée est analysé dans une autre section des présents motifs</w:t>
      </w:r>
      <w:r w:rsidR="00CC69CE" w:rsidRPr="009C6218">
        <w:rPr>
          <w:lang w:val="fr-CA"/>
        </w:rPr>
        <w:t>.</w:t>
      </w:r>
    </w:p>
    <w:p w14:paraId="5371E81C" w14:textId="40C119AE" w:rsidR="00F834CB" w:rsidRPr="009C6218" w:rsidRDefault="004D7B9D" w:rsidP="00BE6325">
      <w:pPr>
        <w:pStyle w:val="Heading2"/>
        <w:spacing w:after="360"/>
        <w:rPr>
          <w:lang w:val="fr-CA"/>
        </w:rPr>
      </w:pPr>
      <w:bookmarkStart w:id="42" w:name="_Toc42946550"/>
      <w:r w:rsidRPr="009C6218">
        <w:rPr>
          <w:lang w:val="fr-CA"/>
        </w:rPr>
        <w:t>Deux versions de l’</w:t>
      </w:r>
      <w:r w:rsidR="00AA0E75" w:rsidRPr="009C6218">
        <w:rPr>
          <w:lang w:val="fr-CA"/>
        </w:rPr>
        <w:t>Article</w:t>
      </w:r>
      <w:bookmarkEnd w:id="42"/>
      <w:r w:rsidR="00AA0E75" w:rsidRPr="009C6218">
        <w:rPr>
          <w:lang w:val="fr-CA"/>
        </w:rPr>
        <w:t xml:space="preserve"> </w:t>
      </w:r>
    </w:p>
    <w:p w14:paraId="69556767" w14:textId="73836A5F" w:rsidR="00FB0157" w:rsidRPr="009C6218" w:rsidRDefault="00DC7A9A" w:rsidP="00BE6325">
      <w:pPr>
        <w:numPr>
          <w:ilvl w:val="0"/>
          <w:numId w:val="1"/>
        </w:numPr>
        <w:spacing w:after="360" w:line="276" w:lineRule="auto"/>
        <w:ind w:left="567" w:hanging="567"/>
        <w:rPr>
          <w:b/>
          <w:lang w:val="fr-CA"/>
        </w:rPr>
      </w:pPr>
      <w:r w:rsidRPr="009C6218">
        <w:rPr>
          <w:lang w:val="fr-CA"/>
        </w:rPr>
        <w:t>Le fait qu’une version imprimée de l’article ait circulé le lendemain de la parution de la version en ligne témoigne du degré de visibilité de l’article</w:t>
      </w:r>
      <w:r w:rsidR="00FB0157" w:rsidRPr="009C6218">
        <w:rPr>
          <w:lang w:val="fr-CA"/>
        </w:rPr>
        <w:t>.</w:t>
      </w:r>
    </w:p>
    <w:p w14:paraId="5354062E" w14:textId="1A90A28B" w:rsidR="005C2288" w:rsidRPr="009C6218" w:rsidRDefault="00DC7A9A" w:rsidP="00C60398">
      <w:pPr>
        <w:numPr>
          <w:ilvl w:val="0"/>
          <w:numId w:val="1"/>
        </w:numPr>
        <w:spacing w:after="200" w:line="276" w:lineRule="auto"/>
        <w:ind w:left="567" w:hanging="567"/>
        <w:rPr>
          <w:b/>
          <w:lang w:val="fr-CA"/>
        </w:rPr>
      </w:pPr>
      <w:r w:rsidRPr="009C6218">
        <w:rPr>
          <w:lang w:val="fr-CA"/>
        </w:rPr>
        <w:t>Dans son témoignage, la juge de paix a précisé que même si elle n’avait pas autorisé la version imprimée de l’Article, elle « n’avait rien à redire au format », c’est-à-dire le fait que ce soit un format imprimé. Son problème était plutôt le contenu</w:t>
      </w:r>
      <w:r w:rsidR="005C2288" w:rsidRPr="009C6218">
        <w:rPr>
          <w:rStyle w:val="FootnoteReference"/>
          <w:lang w:val="fr-CA"/>
        </w:rPr>
        <w:footnoteReference w:id="54"/>
      </w:r>
      <w:r w:rsidRPr="009C6218">
        <w:rPr>
          <w:lang w:val="fr-CA"/>
        </w:rPr>
        <w:t>.</w:t>
      </w:r>
    </w:p>
    <w:p w14:paraId="4DF739C2" w14:textId="19DF1E31" w:rsidR="005C2288" w:rsidRPr="009C6218" w:rsidRDefault="00DC7A9A" w:rsidP="003D2873">
      <w:pPr>
        <w:numPr>
          <w:ilvl w:val="0"/>
          <w:numId w:val="1"/>
        </w:numPr>
        <w:spacing w:after="200" w:line="276" w:lineRule="auto"/>
        <w:ind w:left="567" w:hanging="567"/>
        <w:rPr>
          <w:b/>
          <w:lang w:val="fr-CA"/>
        </w:rPr>
      </w:pPr>
      <w:r w:rsidRPr="009C6218">
        <w:rPr>
          <w:lang w:val="fr-CA"/>
        </w:rPr>
        <w:t>Initialement, elle a déclaré qu’elle ne pouvait pas faire de commentaires sur une version non autorisée de son Article au motif qu’elle ne l’avait pas autorisée</w:t>
      </w:r>
      <w:r w:rsidR="005C2288" w:rsidRPr="009C6218">
        <w:rPr>
          <w:rStyle w:val="FootnoteReference"/>
          <w:lang w:val="fr-CA"/>
        </w:rPr>
        <w:footnoteReference w:id="55"/>
      </w:r>
      <w:r w:rsidRPr="009C6218">
        <w:rPr>
          <w:lang w:val="fr-CA"/>
        </w:rPr>
        <w:t>.</w:t>
      </w:r>
    </w:p>
    <w:p w14:paraId="759DB152" w14:textId="25ADA27A" w:rsidR="005C2288" w:rsidRPr="009C6218" w:rsidRDefault="00FA1117" w:rsidP="003D2873">
      <w:pPr>
        <w:numPr>
          <w:ilvl w:val="0"/>
          <w:numId w:val="1"/>
        </w:numPr>
        <w:spacing w:after="200" w:line="276" w:lineRule="auto"/>
        <w:ind w:left="567" w:hanging="567"/>
        <w:rPr>
          <w:b/>
          <w:lang w:val="fr-CA"/>
        </w:rPr>
      </w:pPr>
      <w:r w:rsidRPr="009C6218">
        <w:rPr>
          <w:lang w:val="fr-CA"/>
        </w:rPr>
        <w:t xml:space="preserve">L’avocat chargé </w:t>
      </w:r>
      <w:r w:rsidR="002C390C" w:rsidRPr="009C6218">
        <w:rPr>
          <w:rFonts w:eastAsia="Arial" w:cs="Times New Roman"/>
          <w:szCs w:val="22"/>
          <w:lang w:val="fr-CA"/>
        </w:rPr>
        <w:t xml:space="preserve">de la présentation </w:t>
      </w:r>
      <w:r w:rsidRPr="009C6218">
        <w:rPr>
          <w:lang w:val="fr-CA"/>
        </w:rPr>
        <w:t xml:space="preserve">a comparé les deux versions </w:t>
      </w:r>
      <w:r w:rsidR="00997062" w:rsidRPr="009C6218">
        <w:rPr>
          <w:lang w:val="fr-CA"/>
        </w:rPr>
        <w:t xml:space="preserve">(anglaises) </w:t>
      </w:r>
      <w:r w:rsidRPr="009C6218">
        <w:rPr>
          <w:lang w:val="fr-CA"/>
        </w:rPr>
        <w:t xml:space="preserve">de l’Article et cette version comparée est la pièce </w:t>
      </w:r>
      <w:r w:rsidR="005C2288" w:rsidRPr="009C6218">
        <w:rPr>
          <w:lang w:val="fr-CA"/>
        </w:rPr>
        <w:t>11</w:t>
      </w:r>
      <w:r w:rsidRPr="009C6218">
        <w:rPr>
          <w:lang w:val="fr-CA"/>
        </w:rPr>
        <w:t>, qu’il a mentionnée dans ses observations. La comparaison juxtaposée est jointe à l’Annexe D des présents motifs</w:t>
      </w:r>
      <w:r w:rsidR="005C2288" w:rsidRPr="009C6218">
        <w:rPr>
          <w:lang w:val="fr-CA"/>
        </w:rPr>
        <w:t>.</w:t>
      </w:r>
    </w:p>
    <w:p w14:paraId="564A2F62" w14:textId="3474FD1F" w:rsidR="00AA0E75" w:rsidRPr="009C6218" w:rsidRDefault="00FA1117" w:rsidP="003D2873">
      <w:pPr>
        <w:numPr>
          <w:ilvl w:val="0"/>
          <w:numId w:val="1"/>
        </w:numPr>
        <w:spacing w:after="200" w:line="276" w:lineRule="auto"/>
        <w:ind w:left="567" w:hanging="567"/>
        <w:rPr>
          <w:b/>
          <w:lang w:val="fr-CA"/>
        </w:rPr>
      </w:pPr>
      <w:r w:rsidRPr="009C6218">
        <w:rPr>
          <w:lang w:val="fr-CA"/>
        </w:rPr>
        <w:t xml:space="preserve">Sur les quinze différences soulignées, la majorité concerne un mot supprimé ou changé sans que, à notre avis, le contenu, le ton ou </w:t>
      </w:r>
      <w:r w:rsidR="005D40C4" w:rsidRPr="009C6218">
        <w:rPr>
          <w:lang w:val="fr-CA"/>
        </w:rPr>
        <w:t>le style</w:t>
      </w:r>
      <w:r w:rsidRPr="009C6218">
        <w:rPr>
          <w:lang w:val="fr-CA"/>
        </w:rPr>
        <w:t xml:space="preserve"> de l’Article ne soient modifiés de façon importante</w:t>
      </w:r>
      <w:r w:rsidR="005C2288" w:rsidRPr="009C6218">
        <w:rPr>
          <w:lang w:val="fr-CA"/>
        </w:rPr>
        <w:t xml:space="preserve">. </w:t>
      </w:r>
      <w:r w:rsidRPr="009C6218">
        <w:rPr>
          <w:lang w:val="fr-CA"/>
        </w:rPr>
        <w:t>Par exemple, le mot « </w:t>
      </w:r>
      <w:r w:rsidR="00997062" w:rsidRPr="009C6218">
        <w:rPr>
          <w:lang w:val="fr-CA"/>
        </w:rPr>
        <w:t>bail</w:t>
      </w:r>
      <w:r w:rsidRPr="009C6218">
        <w:rPr>
          <w:lang w:val="fr-CA"/>
        </w:rPr>
        <w:t> » a été supprimé de la version imprimée de sorte que la première phrase est devenue « </w:t>
      </w:r>
      <w:proofErr w:type="spellStart"/>
      <w:r w:rsidR="005C2288" w:rsidRPr="009C6218">
        <w:rPr>
          <w:lang w:val="fr-CA"/>
        </w:rPr>
        <w:t>When</w:t>
      </w:r>
      <w:proofErr w:type="spellEnd"/>
      <w:r w:rsidR="005C2288" w:rsidRPr="009C6218">
        <w:rPr>
          <w:lang w:val="fr-CA"/>
        </w:rPr>
        <w:t xml:space="preserve"> courts </w:t>
      </w:r>
      <w:proofErr w:type="spellStart"/>
      <w:r w:rsidR="005C2288" w:rsidRPr="009C6218">
        <w:rPr>
          <w:lang w:val="fr-CA"/>
        </w:rPr>
        <w:t>don’t</w:t>
      </w:r>
      <w:proofErr w:type="spellEnd"/>
      <w:r w:rsidR="005C2288" w:rsidRPr="009C6218">
        <w:rPr>
          <w:lang w:val="fr-CA"/>
        </w:rPr>
        <w:t xml:space="preserve"> follow the </w:t>
      </w:r>
      <w:proofErr w:type="spellStart"/>
      <w:r w:rsidR="005C2288" w:rsidRPr="009C6218">
        <w:rPr>
          <w:lang w:val="fr-CA"/>
        </w:rPr>
        <w:t>law</w:t>
      </w:r>
      <w:proofErr w:type="spellEnd"/>
      <w:r w:rsidRPr="009C6218">
        <w:rPr>
          <w:lang w:val="fr-CA"/>
        </w:rPr>
        <w:t> »</w:t>
      </w:r>
      <w:r w:rsidR="00997062" w:rsidRPr="009C6218">
        <w:rPr>
          <w:lang w:val="fr-CA"/>
        </w:rPr>
        <w:t xml:space="preserve"> au lieu de « </w:t>
      </w:r>
      <w:proofErr w:type="spellStart"/>
      <w:r w:rsidR="005C2288" w:rsidRPr="009C6218">
        <w:rPr>
          <w:lang w:val="fr-CA"/>
        </w:rPr>
        <w:t>When</w:t>
      </w:r>
      <w:proofErr w:type="spellEnd"/>
      <w:r w:rsidR="005C2288" w:rsidRPr="009C6218">
        <w:rPr>
          <w:lang w:val="fr-CA"/>
        </w:rPr>
        <w:t xml:space="preserve"> bail courts </w:t>
      </w:r>
      <w:proofErr w:type="spellStart"/>
      <w:r w:rsidR="005C2288" w:rsidRPr="009C6218">
        <w:rPr>
          <w:lang w:val="fr-CA"/>
        </w:rPr>
        <w:t>don’t</w:t>
      </w:r>
      <w:proofErr w:type="spellEnd"/>
      <w:r w:rsidR="005C2288" w:rsidRPr="009C6218">
        <w:rPr>
          <w:lang w:val="fr-CA"/>
        </w:rPr>
        <w:t xml:space="preserve"> follow the </w:t>
      </w:r>
      <w:proofErr w:type="spellStart"/>
      <w:r w:rsidR="005C2288" w:rsidRPr="009C6218">
        <w:rPr>
          <w:lang w:val="fr-CA"/>
        </w:rPr>
        <w:t>law</w:t>
      </w:r>
      <w:proofErr w:type="spellEnd"/>
      <w:r w:rsidR="00997062" w:rsidRPr="009C6218">
        <w:rPr>
          <w:lang w:val="fr-CA"/>
        </w:rPr>
        <w:t> »</w:t>
      </w:r>
      <w:r w:rsidR="005C2288" w:rsidRPr="009C6218">
        <w:rPr>
          <w:lang w:val="fr-CA"/>
        </w:rPr>
        <w:t>.</w:t>
      </w:r>
    </w:p>
    <w:p w14:paraId="35E5C453" w14:textId="354C9C7A" w:rsidR="005C2288" w:rsidRPr="009C6218" w:rsidRDefault="00243E66" w:rsidP="003D2873">
      <w:pPr>
        <w:numPr>
          <w:ilvl w:val="0"/>
          <w:numId w:val="1"/>
        </w:numPr>
        <w:spacing w:after="200" w:line="276" w:lineRule="auto"/>
        <w:ind w:left="567" w:hanging="567"/>
        <w:rPr>
          <w:b/>
          <w:lang w:val="fr-CA"/>
        </w:rPr>
      </w:pPr>
      <w:r w:rsidRPr="009C6218">
        <w:rPr>
          <w:lang w:val="fr-CA"/>
        </w:rPr>
        <w:t>N’importe quel lecteur aurait compris que dans l’Article la juge de paix décrit des événements qui représentent sa propre expérience en tant que juge de paix. La deuxième phrase de l’article en ligne dit : « </w:t>
      </w:r>
      <w:r w:rsidR="005C2288" w:rsidRPr="009C6218">
        <w:rPr>
          <w:lang w:val="fr-CA"/>
        </w:rPr>
        <w:t xml:space="preserve">A justice of the </w:t>
      </w:r>
      <w:proofErr w:type="spellStart"/>
      <w:r w:rsidR="005C2288" w:rsidRPr="009C6218">
        <w:rPr>
          <w:lang w:val="fr-CA"/>
        </w:rPr>
        <w:t>peace</w:t>
      </w:r>
      <w:proofErr w:type="spellEnd"/>
      <w:r w:rsidR="005C2288" w:rsidRPr="009C6218">
        <w:rPr>
          <w:lang w:val="fr-CA"/>
        </w:rPr>
        <w:t xml:space="preserve"> in </w:t>
      </w:r>
      <w:proofErr w:type="spellStart"/>
      <w:r w:rsidR="005C2288" w:rsidRPr="009C6218">
        <w:rPr>
          <w:lang w:val="fr-CA"/>
        </w:rPr>
        <w:t>Ottawa’s</w:t>
      </w:r>
      <w:proofErr w:type="spellEnd"/>
      <w:r w:rsidR="005C2288" w:rsidRPr="009C6218">
        <w:rPr>
          <w:lang w:val="fr-CA"/>
        </w:rPr>
        <w:t xml:space="preserve"> mai</w:t>
      </w:r>
      <w:r w:rsidR="00DC5323" w:rsidRPr="009C6218">
        <w:rPr>
          <w:lang w:val="fr-CA"/>
        </w:rPr>
        <w:t>n</w:t>
      </w:r>
      <w:r w:rsidR="005C2288" w:rsidRPr="009C6218">
        <w:rPr>
          <w:lang w:val="fr-CA"/>
        </w:rPr>
        <w:t xml:space="preserve"> bail court </w:t>
      </w:r>
      <w:proofErr w:type="spellStart"/>
      <w:r w:rsidR="005C2288" w:rsidRPr="009C6218">
        <w:rPr>
          <w:lang w:val="fr-CA"/>
        </w:rPr>
        <w:t>explains</w:t>
      </w:r>
      <w:proofErr w:type="spellEnd"/>
      <w:r w:rsidR="005C2288" w:rsidRPr="009C6218">
        <w:rPr>
          <w:lang w:val="fr-CA"/>
        </w:rPr>
        <w:t xml:space="preserve"> how </w:t>
      </w:r>
      <w:proofErr w:type="spellStart"/>
      <w:r w:rsidR="005C2288" w:rsidRPr="009C6218">
        <w:rPr>
          <w:lang w:val="fr-CA"/>
        </w:rPr>
        <w:t>Canada’s</w:t>
      </w:r>
      <w:proofErr w:type="spellEnd"/>
      <w:r w:rsidR="005C2288" w:rsidRPr="009C6218">
        <w:rPr>
          <w:lang w:val="fr-CA"/>
        </w:rPr>
        <w:t xml:space="preserve"> bail court </w:t>
      </w:r>
      <w:proofErr w:type="spellStart"/>
      <w:r w:rsidR="005C2288" w:rsidRPr="009C6218">
        <w:rPr>
          <w:lang w:val="fr-CA"/>
        </w:rPr>
        <w:t>is</w:t>
      </w:r>
      <w:proofErr w:type="spellEnd"/>
      <w:r w:rsidR="005C2288" w:rsidRPr="009C6218">
        <w:rPr>
          <w:lang w:val="fr-CA"/>
        </w:rPr>
        <w:t xml:space="preserve"> </w:t>
      </w:r>
      <w:proofErr w:type="spellStart"/>
      <w:r w:rsidR="005C2288" w:rsidRPr="009C6218">
        <w:rPr>
          <w:lang w:val="fr-CA"/>
        </w:rPr>
        <w:t>broken</w:t>
      </w:r>
      <w:proofErr w:type="spellEnd"/>
      <w:r w:rsidR="005C2288" w:rsidRPr="009C6218">
        <w:rPr>
          <w:lang w:val="fr-CA"/>
        </w:rPr>
        <w:t>.</w:t>
      </w:r>
      <w:r w:rsidRPr="009C6218">
        <w:rPr>
          <w:lang w:val="fr-CA"/>
        </w:rPr>
        <w:t xml:space="preserve"> » Dans la version imprimée, la deuxième phrase est devenue un gros titre en plus petits caractères, sous le gros </w:t>
      </w:r>
      <w:r w:rsidRPr="009C6218">
        <w:rPr>
          <w:lang w:val="fr-CA"/>
        </w:rPr>
        <w:lastRenderedPageBreak/>
        <w:t xml:space="preserve">titre principal. Elle désignait l’auteur comme « a </w:t>
      </w:r>
      <w:proofErr w:type="spellStart"/>
      <w:r w:rsidRPr="009C6218">
        <w:rPr>
          <w:lang w:val="fr-CA"/>
        </w:rPr>
        <w:t>sitting</w:t>
      </w:r>
      <w:proofErr w:type="spellEnd"/>
      <w:r w:rsidRPr="009C6218">
        <w:rPr>
          <w:lang w:val="fr-CA"/>
        </w:rPr>
        <w:t xml:space="preserve"> justice of the </w:t>
      </w:r>
      <w:proofErr w:type="spellStart"/>
      <w:r w:rsidRPr="009C6218">
        <w:rPr>
          <w:lang w:val="fr-CA"/>
        </w:rPr>
        <w:t>peace</w:t>
      </w:r>
      <w:proofErr w:type="spellEnd"/>
      <w:r w:rsidRPr="009C6218">
        <w:rPr>
          <w:lang w:val="fr-CA"/>
        </w:rPr>
        <w:t xml:space="preserve"> in Ottawa » en utilisant ces mêmes termes et l’identifiant par son nom.</w:t>
      </w:r>
    </w:p>
    <w:p w14:paraId="605F4CF5" w14:textId="7DCF7B22" w:rsidR="005C2288" w:rsidRPr="009C6218" w:rsidRDefault="00243E66" w:rsidP="003D2873">
      <w:pPr>
        <w:numPr>
          <w:ilvl w:val="0"/>
          <w:numId w:val="1"/>
        </w:numPr>
        <w:spacing w:after="200" w:line="276" w:lineRule="auto"/>
        <w:ind w:left="567" w:hanging="567"/>
        <w:rPr>
          <w:b/>
          <w:lang w:val="fr-CA"/>
        </w:rPr>
      </w:pPr>
      <w:r w:rsidRPr="009C6218">
        <w:rPr>
          <w:lang w:val="fr-CA"/>
        </w:rPr>
        <w:t>Les mots différents entre les deux versions sont : « </w:t>
      </w:r>
      <w:proofErr w:type="spellStart"/>
      <w:r w:rsidR="005C2288" w:rsidRPr="009C6218">
        <w:rPr>
          <w:lang w:val="fr-CA"/>
        </w:rPr>
        <w:t>serving</w:t>
      </w:r>
      <w:proofErr w:type="spellEnd"/>
      <w:r w:rsidRPr="009C6218">
        <w:rPr>
          <w:lang w:val="fr-CA"/>
        </w:rPr>
        <w:t> »</w:t>
      </w:r>
      <w:r w:rsidR="005C2288" w:rsidRPr="009C6218">
        <w:rPr>
          <w:lang w:val="fr-CA"/>
        </w:rPr>
        <w:t xml:space="preserve"> (</w:t>
      </w:r>
      <w:r w:rsidRPr="009C6218">
        <w:rPr>
          <w:lang w:val="fr-CA"/>
        </w:rPr>
        <w:t>version imprimée</w:t>
      </w:r>
      <w:r w:rsidR="005C2288" w:rsidRPr="009C6218">
        <w:rPr>
          <w:lang w:val="fr-CA"/>
        </w:rPr>
        <w:t xml:space="preserve">) </w:t>
      </w:r>
      <w:r w:rsidRPr="009C6218">
        <w:rPr>
          <w:lang w:val="fr-CA"/>
        </w:rPr>
        <w:t>au lieu de « </w:t>
      </w:r>
      <w:proofErr w:type="spellStart"/>
      <w:r w:rsidR="005C2288" w:rsidRPr="009C6218">
        <w:rPr>
          <w:lang w:val="fr-CA"/>
        </w:rPr>
        <w:t>sitting</w:t>
      </w:r>
      <w:proofErr w:type="spellEnd"/>
      <w:r w:rsidRPr="009C6218">
        <w:rPr>
          <w:lang w:val="fr-CA"/>
        </w:rPr>
        <w:t> »</w:t>
      </w:r>
      <w:r w:rsidR="005C2288" w:rsidRPr="009C6218">
        <w:rPr>
          <w:lang w:val="fr-CA"/>
        </w:rPr>
        <w:t xml:space="preserve"> (</w:t>
      </w:r>
      <w:r w:rsidRPr="009C6218">
        <w:rPr>
          <w:lang w:val="fr-CA"/>
        </w:rPr>
        <w:t>version en ligne</w:t>
      </w:r>
      <w:r w:rsidR="005C2288" w:rsidRPr="009C6218">
        <w:rPr>
          <w:lang w:val="fr-CA"/>
        </w:rPr>
        <w:t xml:space="preserve">); </w:t>
      </w:r>
      <w:r w:rsidRPr="009C6218">
        <w:rPr>
          <w:lang w:val="fr-CA"/>
        </w:rPr>
        <w:t>« </w:t>
      </w:r>
      <w:proofErr w:type="spellStart"/>
      <w:r w:rsidRPr="009C6218">
        <w:rPr>
          <w:lang w:val="fr-CA"/>
        </w:rPr>
        <w:t>t</w:t>
      </w:r>
      <w:r w:rsidR="005C2288" w:rsidRPr="009C6218">
        <w:rPr>
          <w:lang w:val="fr-CA"/>
        </w:rPr>
        <w:t>his</w:t>
      </w:r>
      <w:proofErr w:type="spellEnd"/>
      <w:r w:rsidR="005C2288" w:rsidRPr="009C6218">
        <w:rPr>
          <w:lang w:val="fr-CA"/>
        </w:rPr>
        <w:t xml:space="preserve"> court</w:t>
      </w:r>
      <w:r w:rsidRPr="009C6218">
        <w:rPr>
          <w:lang w:val="fr-CA"/>
        </w:rPr>
        <w:t> »</w:t>
      </w:r>
      <w:r w:rsidR="005C2288" w:rsidRPr="009C6218">
        <w:rPr>
          <w:lang w:val="fr-CA"/>
        </w:rPr>
        <w:t xml:space="preserve"> (</w:t>
      </w:r>
      <w:r w:rsidRPr="009C6218">
        <w:rPr>
          <w:lang w:val="fr-CA"/>
        </w:rPr>
        <w:t>version en ligne</w:t>
      </w:r>
      <w:r w:rsidR="005C2288" w:rsidRPr="009C6218">
        <w:rPr>
          <w:lang w:val="fr-CA"/>
        </w:rPr>
        <w:t xml:space="preserve">) </w:t>
      </w:r>
      <w:r w:rsidRPr="009C6218">
        <w:rPr>
          <w:lang w:val="fr-CA"/>
        </w:rPr>
        <w:t>au lieu de « </w:t>
      </w:r>
      <w:proofErr w:type="spellStart"/>
      <w:r w:rsidR="005C2288" w:rsidRPr="009C6218">
        <w:rPr>
          <w:lang w:val="fr-CA"/>
        </w:rPr>
        <w:t>my</w:t>
      </w:r>
      <w:proofErr w:type="spellEnd"/>
      <w:r w:rsidR="005C2288" w:rsidRPr="009C6218">
        <w:rPr>
          <w:lang w:val="fr-CA"/>
        </w:rPr>
        <w:t xml:space="preserve"> court</w:t>
      </w:r>
      <w:r w:rsidRPr="009C6218">
        <w:rPr>
          <w:lang w:val="fr-CA"/>
        </w:rPr>
        <w:t> »</w:t>
      </w:r>
      <w:r w:rsidR="005C2288" w:rsidRPr="009C6218">
        <w:rPr>
          <w:lang w:val="fr-CA"/>
        </w:rPr>
        <w:t xml:space="preserve">; </w:t>
      </w:r>
      <w:r w:rsidRPr="009C6218">
        <w:rPr>
          <w:lang w:val="fr-CA"/>
        </w:rPr>
        <w:t>« </w:t>
      </w:r>
      <w:proofErr w:type="spellStart"/>
      <w:r w:rsidR="005C2288" w:rsidRPr="009C6218">
        <w:rPr>
          <w:lang w:val="fr-CA"/>
        </w:rPr>
        <w:t>this</w:t>
      </w:r>
      <w:proofErr w:type="spellEnd"/>
      <w:r w:rsidR="005C2288" w:rsidRPr="009C6218">
        <w:rPr>
          <w:lang w:val="fr-CA"/>
        </w:rPr>
        <w:t xml:space="preserve"> </w:t>
      </w:r>
      <w:proofErr w:type="spellStart"/>
      <w:r w:rsidR="005C2288" w:rsidRPr="009C6218">
        <w:rPr>
          <w:lang w:val="fr-CA"/>
        </w:rPr>
        <w:t>courthouse</w:t>
      </w:r>
      <w:proofErr w:type="spellEnd"/>
      <w:r w:rsidRPr="009C6218">
        <w:rPr>
          <w:lang w:val="fr-CA"/>
        </w:rPr>
        <w:t> » au lieu de « </w:t>
      </w:r>
      <w:r w:rsidR="005C2288" w:rsidRPr="009C6218">
        <w:rPr>
          <w:lang w:val="fr-CA"/>
        </w:rPr>
        <w:t xml:space="preserve">the </w:t>
      </w:r>
      <w:proofErr w:type="spellStart"/>
      <w:r w:rsidR="005C2288" w:rsidRPr="009C6218">
        <w:rPr>
          <w:lang w:val="fr-CA"/>
        </w:rPr>
        <w:t>courthouse</w:t>
      </w:r>
      <w:proofErr w:type="spellEnd"/>
      <w:r w:rsidRPr="009C6218">
        <w:rPr>
          <w:lang w:val="fr-CA"/>
        </w:rPr>
        <w:t> »</w:t>
      </w:r>
      <w:r w:rsidR="005C2288" w:rsidRPr="009C6218">
        <w:rPr>
          <w:lang w:val="fr-CA"/>
        </w:rPr>
        <w:t xml:space="preserve">. </w:t>
      </w:r>
      <w:r w:rsidRPr="009C6218">
        <w:rPr>
          <w:lang w:val="fr-CA"/>
        </w:rPr>
        <w:t>À un endroit, deux phrases ont été jointes dans la version imprimée et reliées par le mot « et »</w:t>
      </w:r>
      <w:r w:rsidR="005C2288" w:rsidRPr="009C6218">
        <w:rPr>
          <w:lang w:val="fr-CA"/>
        </w:rPr>
        <w:t>.</w:t>
      </w:r>
    </w:p>
    <w:p w14:paraId="12DEBC3D" w14:textId="61E3E8A9" w:rsidR="005C2288" w:rsidRPr="009C6218" w:rsidRDefault="004B658C" w:rsidP="003D2873">
      <w:pPr>
        <w:numPr>
          <w:ilvl w:val="0"/>
          <w:numId w:val="1"/>
        </w:numPr>
        <w:spacing w:after="200" w:line="276" w:lineRule="auto"/>
        <w:ind w:left="567" w:hanging="567"/>
        <w:rPr>
          <w:b/>
          <w:lang w:val="fr-CA"/>
        </w:rPr>
      </w:pPr>
      <w:r w:rsidRPr="009C6218">
        <w:rPr>
          <w:lang w:val="fr-CA"/>
        </w:rPr>
        <w:t>La version imprimée, que la juge de paix dé</w:t>
      </w:r>
      <w:r w:rsidR="00776713">
        <w:rPr>
          <w:lang w:val="fr-CA"/>
        </w:rPr>
        <w:t>s</w:t>
      </w:r>
      <w:r w:rsidRPr="009C6218">
        <w:rPr>
          <w:lang w:val="fr-CA"/>
        </w:rPr>
        <w:t xml:space="preserve">avoue, contient deux phrases de plus qui ne figuraient pas dans la version en ligne qu’elle a approuvée : « The JP </w:t>
      </w:r>
      <w:proofErr w:type="spellStart"/>
      <w:r w:rsidRPr="009C6218">
        <w:rPr>
          <w:lang w:val="fr-CA"/>
        </w:rPr>
        <w:t>bench</w:t>
      </w:r>
      <w:proofErr w:type="spellEnd"/>
      <w:r w:rsidRPr="009C6218">
        <w:rPr>
          <w:lang w:val="fr-CA"/>
        </w:rPr>
        <w:t xml:space="preserve"> </w:t>
      </w:r>
      <w:proofErr w:type="spellStart"/>
      <w:r w:rsidRPr="009C6218">
        <w:rPr>
          <w:lang w:val="fr-CA"/>
        </w:rPr>
        <w:t>is</w:t>
      </w:r>
      <w:proofErr w:type="spellEnd"/>
      <w:r w:rsidRPr="009C6218">
        <w:rPr>
          <w:lang w:val="fr-CA"/>
        </w:rPr>
        <w:t xml:space="preserve"> </w:t>
      </w:r>
      <w:proofErr w:type="spellStart"/>
      <w:r w:rsidRPr="009C6218">
        <w:rPr>
          <w:lang w:val="fr-CA"/>
        </w:rPr>
        <w:t>regularly</w:t>
      </w:r>
      <w:proofErr w:type="spellEnd"/>
      <w:r w:rsidRPr="009C6218">
        <w:rPr>
          <w:lang w:val="fr-CA"/>
        </w:rPr>
        <w:t xml:space="preserve"> </w:t>
      </w:r>
      <w:proofErr w:type="spellStart"/>
      <w:r w:rsidRPr="009C6218">
        <w:rPr>
          <w:lang w:val="fr-CA"/>
        </w:rPr>
        <w:t>criticized</w:t>
      </w:r>
      <w:proofErr w:type="spellEnd"/>
      <w:r w:rsidRPr="009C6218">
        <w:rPr>
          <w:lang w:val="fr-CA"/>
        </w:rPr>
        <w:t xml:space="preserve"> </w:t>
      </w:r>
      <w:proofErr w:type="spellStart"/>
      <w:r w:rsidRPr="009C6218">
        <w:rPr>
          <w:lang w:val="fr-CA"/>
        </w:rPr>
        <w:t>because</w:t>
      </w:r>
      <w:proofErr w:type="spellEnd"/>
      <w:r w:rsidRPr="009C6218">
        <w:rPr>
          <w:lang w:val="fr-CA"/>
        </w:rPr>
        <w:t xml:space="preserve"> </w:t>
      </w:r>
      <w:proofErr w:type="spellStart"/>
      <w:r w:rsidRPr="009C6218">
        <w:rPr>
          <w:lang w:val="fr-CA"/>
        </w:rPr>
        <w:t>its</w:t>
      </w:r>
      <w:proofErr w:type="spellEnd"/>
      <w:r w:rsidRPr="009C6218">
        <w:rPr>
          <w:lang w:val="fr-CA"/>
        </w:rPr>
        <w:t xml:space="preserve"> </w:t>
      </w:r>
      <w:proofErr w:type="spellStart"/>
      <w:r w:rsidRPr="009C6218">
        <w:rPr>
          <w:lang w:val="fr-CA"/>
        </w:rPr>
        <w:t>members</w:t>
      </w:r>
      <w:proofErr w:type="spellEnd"/>
      <w:r w:rsidRPr="009C6218">
        <w:rPr>
          <w:lang w:val="fr-CA"/>
        </w:rPr>
        <w:t xml:space="preserve"> are not </w:t>
      </w:r>
      <w:proofErr w:type="spellStart"/>
      <w:r w:rsidRPr="009C6218">
        <w:rPr>
          <w:lang w:val="fr-CA"/>
        </w:rPr>
        <w:t>required</w:t>
      </w:r>
      <w:proofErr w:type="spellEnd"/>
      <w:r w:rsidRPr="009C6218">
        <w:rPr>
          <w:lang w:val="fr-CA"/>
        </w:rPr>
        <w:t xml:space="preserve"> to </w:t>
      </w:r>
      <w:proofErr w:type="spellStart"/>
      <w:r w:rsidRPr="009C6218">
        <w:rPr>
          <w:lang w:val="fr-CA"/>
        </w:rPr>
        <w:t>be</w:t>
      </w:r>
      <w:proofErr w:type="spellEnd"/>
      <w:r w:rsidRPr="009C6218">
        <w:rPr>
          <w:lang w:val="fr-CA"/>
        </w:rPr>
        <w:t xml:space="preserve"> </w:t>
      </w:r>
      <w:proofErr w:type="spellStart"/>
      <w:r w:rsidRPr="009C6218">
        <w:rPr>
          <w:lang w:val="fr-CA"/>
        </w:rPr>
        <w:t>lawyers</w:t>
      </w:r>
      <w:proofErr w:type="spellEnd"/>
      <w:r w:rsidRPr="009C6218">
        <w:rPr>
          <w:lang w:val="fr-CA"/>
        </w:rPr>
        <w:t xml:space="preserve">. I </w:t>
      </w:r>
      <w:proofErr w:type="spellStart"/>
      <w:r w:rsidRPr="009C6218">
        <w:rPr>
          <w:lang w:val="fr-CA"/>
        </w:rPr>
        <w:t>suggest</w:t>
      </w:r>
      <w:proofErr w:type="spellEnd"/>
      <w:r w:rsidRPr="009C6218">
        <w:rPr>
          <w:lang w:val="fr-CA"/>
        </w:rPr>
        <w:t xml:space="preserve"> </w:t>
      </w:r>
      <w:proofErr w:type="spellStart"/>
      <w:r w:rsidRPr="009C6218">
        <w:rPr>
          <w:lang w:val="fr-CA"/>
        </w:rPr>
        <w:t>that</w:t>
      </w:r>
      <w:proofErr w:type="spellEnd"/>
      <w:r w:rsidRPr="009C6218">
        <w:rPr>
          <w:lang w:val="fr-CA"/>
        </w:rPr>
        <w:t xml:space="preserve"> </w:t>
      </w:r>
      <w:proofErr w:type="spellStart"/>
      <w:r w:rsidRPr="009C6218">
        <w:rPr>
          <w:lang w:val="fr-CA"/>
        </w:rPr>
        <w:t>this</w:t>
      </w:r>
      <w:proofErr w:type="spellEnd"/>
      <w:r w:rsidRPr="009C6218">
        <w:rPr>
          <w:lang w:val="fr-CA"/>
        </w:rPr>
        <w:t xml:space="preserve"> </w:t>
      </w:r>
      <w:proofErr w:type="spellStart"/>
      <w:r w:rsidRPr="009C6218">
        <w:rPr>
          <w:lang w:val="fr-CA"/>
        </w:rPr>
        <w:t>actually</w:t>
      </w:r>
      <w:proofErr w:type="spellEnd"/>
      <w:r w:rsidRPr="009C6218">
        <w:rPr>
          <w:lang w:val="fr-CA"/>
        </w:rPr>
        <w:t xml:space="preserve"> </w:t>
      </w:r>
      <w:proofErr w:type="spellStart"/>
      <w:r w:rsidRPr="009C6218">
        <w:rPr>
          <w:lang w:val="fr-CA"/>
        </w:rPr>
        <w:t>suits</w:t>
      </w:r>
      <w:proofErr w:type="spellEnd"/>
      <w:r w:rsidRPr="009C6218">
        <w:rPr>
          <w:lang w:val="fr-CA"/>
        </w:rPr>
        <w:t xml:space="preserve"> </w:t>
      </w:r>
      <w:proofErr w:type="spellStart"/>
      <w:r w:rsidRPr="009C6218">
        <w:rPr>
          <w:lang w:val="fr-CA"/>
        </w:rPr>
        <w:t>some</w:t>
      </w:r>
      <w:proofErr w:type="spellEnd"/>
      <w:r w:rsidRPr="009C6218">
        <w:rPr>
          <w:lang w:val="fr-CA"/>
        </w:rPr>
        <w:t xml:space="preserve"> parties » et « </w:t>
      </w:r>
      <w:r w:rsidR="009E5EDC" w:rsidRPr="009C6218">
        <w:rPr>
          <w:lang w:val="fr-CA"/>
        </w:rPr>
        <w:t>[t]</w:t>
      </w:r>
      <w:proofErr w:type="spellStart"/>
      <w:r w:rsidR="005C2288" w:rsidRPr="009C6218">
        <w:rPr>
          <w:lang w:val="fr-CA"/>
        </w:rPr>
        <w:t>he</w:t>
      </w:r>
      <w:proofErr w:type="spellEnd"/>
      <w:r w:rsidR="005C2288" w:rsidRPr="009C6218">
        <w:rPr>
          <w:lang w:val="fr-CA"/>
        </w:rPr>
        <w:t xml:space="preserve"> courts </w:t>
      </w:r>
      <w:proofErr w:type="spellStart"/>
      <w:r w:rsidR="005C2288" w:rsidRPr="009C6218">
        <w:rPr>
          <w:lang w:val="fr-CA"/>
        </w:rPr>
        <w:t>should</w:t>
      </w:r>
      <w:proofErr w:type="spellEnd"/>
      <w:r w:rsidR="005C2288" w:rsidRPr="009C6218">
        <w:rPr>
          <w:lang w:val="fr-CA"/>
        </w:rPr>
        <w:t xml:space="preserve"> </w:t>
      </w:r>
      <w:proofErr w:type="spellStart"/>
      <w:r w:rsidR="005C2288" w:rsidRPr="009C6218">
        <w:rPr>
          <w:lang w:val="fr-CA"/>
        </w:rPr>
        <w:t>be</w:t>
      </w:r>
      <w:proofErr w:type="spellEnd"/>
      <w:r w:rsidR="005C2288" w:rsidRPr="009C6218">
        <w:rPr>
          <w:lang w:val="fr-CA"/>
        </w:rPr>
        <w:t xml:space="preserve"> the first </w:t>
      </w:r>
      <w:proofErr w:type="spellStart"/>
      <w:r w:rsidR="005C2288" w:rsidRPr="009C6218">
        <w:rPr>
          <w:lang w:val="fr-CA"/>
        </w:rPr>
        <w:t>ones</w:t>
      </w:r>
      <w:proofErr w:type="spellEnd"/>
      <w:r w:rsidR="005C2288" w:rsidRPr="009C6218">
        <w:rPr>
          <w:lang w:val="fr-CA"/>
        </w:rPr>
        <w:t xml:space="preserve"> to </w:t>
      </w:r>
      <w:proofErr w:type="spellStart"/>
      <w:r w:rsidR="005C2288" w:rsidRPr="009C6218">
        <w:rPr>
          <w:lang w:val="fr-CA"/>
        </w:rPr>
        <w:t>recognize</w:t>
      </w:r>
      <w:proofErr w:type="spellEnd"/>
      <w:r w:rsidR="005C2288" w:rsidRPr="009C6218">
        <w:rPr>
          <w:lang w:val="fr-CA"/>
        </w:rPr>
        <w:t xml:space="preserve"> </w:t>
      </w:r>
      <w:proofErr w:type="spellStart"/>
      <w:r w:rsidR="005C2288" w:rsidRPr="009C6218">
        <w:rPr>
          <w:lang w:val="fr-CA"/>
        </w:rPr>
        <w:t>this</w:t>
      </w:r>
      <w:proofErr w:type="spellEnd"/>
      <w:r w:rsidR="005C2288" w:rsidRPr="009C6218">
        <w:rPr>
          <w:lang w:val="fr-CA"/>
        </w:rPr>
        <w:t xml:space="preserve"> and follow the </w:t>
      </w:r>
      <w:proofErr w:type="spellStart"/>
      <w:r w:rsidR="005C2288" w:rsidRPr="009C6218">
        <w:rPr>
          <w:lang w:val="fr-CA"/>
        </w:rPr>
        <w:t>law</w:t>
      </w:r>
      <w:proofErr w:type="spellEnd"/>
      <w:r w:rsidRPr="009C6218">
        <w:rPr>
          <w:lang w:val="fr-CA"/>
        </w:rPr>
        <w:t> »</w:t>
      </w:r>
      <w:r w:rsidR="005C2288" w:rsidRPr="009C6218">
        <w:rPr>
          <w:lang w:val="fr-CA"/>
        </w:rPr>
        <w:t xml:space="preserve">. </w:t>
      </w:r>
      <w:r w:rsidRPr="009C6218">
        <w:rPr>
          <w:lang w:val="fr-CA"/>
        </w:rPr>
        <w:t>La juge de paix a affirmé dans son témoignage qu’elle ne se souvenait pas si elle avait écrit la première phrase ajoutée concernant les critiques à l’endroit des juges de paix. De même, elle a déclaré qu’elle ne savait pas si elle avait écrit la deuxième phrase ajoutée</w:t>
      </w:r>
      <w:r w:rsidR="005C2288" w:rsidRPr="009C6218">
        <w:rPr>
          <w:rStyle w:val="FootnoteReference"/>
          <w:lang w:val="fr-CA"/>
        </w:rPr>
        <w:footnoteReference w:id="56"/>
      </w:r>
      <w:r w:rsidRPr="009C6218">
        <w:rPr>
          <w:lang w:val="fr-CA"/>
        </w:rPr>
        <w:t>.</w:t>
      </w:r>
    </w:p>
    <w:p w14:paraId="346164C3" w14:textId="7D0AC09D" w:rsidR="005C2288" w:rsidRPr="009C6218" w:rsidRDefault="00134252" w:rsidP="003D2873">
      <w:pPr>
        <w:numPr>
          <w:ilvl w:val="0"/>
          <w:numId w:val="1"/>
        </w:numPr>
        <w:spacing w:after="200" w:line="276" w:lineRule="auto"/>
        <w:ind w:left="567" w:hanging="567"/>
        <w:rPr>
          <w:b/>
          <w:lang w:val="fr-CA"/>
        </w:rPr>
      </w:pPr>
      <w:r w:rsidRPr="009C6218">
        <w:rPr>
          <w:lang w:val="fr-CA"/>
        </w:rPr>
        <w:t xml:space="preserve">Lors de son </w:t>
      </w:r>
      <w:r w:rsidR="004B658C" w:rsidRPr="009C6218">
        <w:rPr>
          <w:lang w:val="fr-CA"/>
        </w:rPr>
        <w:t>contre-interrogatoire, à la question de savoir si la version imprimée reflète fidèlement ses opinions, la juge de paix a répondu par la négative, mais elle n’a pas pu expliquer pourquoi. Elle a déclaré :</w:t>
      </w:r>
      <w:r w:rsidR="005C2288" w:rsidRPr="009C6218">
        <w:rPr>
          <w:lang w:val="fr-CA"/>
        </w:rPr>
        <w:t xml:space="preserve"> </w:t>
      </w:r>
    </w:p>
    <w:p w14:paraId="6DC659E2" w14:textId="7C5EC9E2" w:rsidR="00AA0E75" w:rsidRPr="009C6218" w:rsidRDefault="004B658C" w:rsidP="00F834CB">
      <w:pPr>
        <w:pStyle w:val="ListParagraph"/>
        <w:ind w:left="851" w:right="851"/>
        <w:rPr>
          <w:lang w:val="fr-CA"/>
        </w:rPr>
      </w:pPr>
      <w:r w:rsidRPr="009C6218">
        <w:rPr>
          <w:lang w:val="fr-CA"/>
        </w:rPr>
        <w:t>Je ne peux pas vous le dire. Comme je l’ai dit, je n’ai pas approuvé la version imprimée. Ce n’est pas ma version. Vous ou n’importe qui pouvez bien me demander de les comparer, mais ce n’est pas ma version. Ce n’est pas ce que j’ai autorisé. Ce n’est pas ce que j’ai envoyé au journal pour être imprimé</w:t>
      </w:r>
      <w:r w:rsidR="00AA0E75" w:rsidRPr="009C6218">
        <w:rPr>
          <w:rStyle w:val="FootnoteReference"/>
          <w:lang w:val="fr-CA"/>
        </w:rPr>
        <w:footnoteReference w:id="57"/>
      </w:r>
      <w:r w:rsidRPr="009C6218">
        <w:rPr>
          <w:lang w:val="fr-CA"/>
        </w:rPr>
        <w:t xml:space="preserve"> [traduction].</w:t>
      </w:r>
    </w:p>
    <w:p w14:paraId="024B6C16" w14:textId="77777777" w:rsidR="00F06DF0" w:rsidRPr="009C6218" w:rsidRDefault="00F06DF0" w:rsidP="00F834CB">
      <w:pPr>
        <w:pStyle w:val="ListParagraph"/>
        <w:ind w:left="851" w:right="851"/>
        <w:rPr>
          <w:lang w:val="fr-CA"/>
        </w:rPr>
      </w:pPr>
    </w:p>
    <w:p w14:paraId="44662474" w14:textId="417316E0" w:rsidR="00505D33" w:rsidRPr="009C6218" w:rsidRDefault="004B658C" w:rsidP="00F06DF0">
      <w:pPr>
        <w:numPr>
          <w:ilvl w:val="0"/>
          <w:numId w:val="1"/>
        </w:numPr>
        <w:spacing w:after="200" w:line="276" w:lineRule="auto"/>
        <w:ind w:left="567" w:hanging="567"/>
        <w:rPr>
          <w:b/>
          <w:lang w:val="fr-CA"/>
        </w:rPr>
      </w:pPr>
      <w:r w:rsidRPr="009C6218">
        <w:rPr>
          <w:lang w:val="fr-CA"/>
        </w:rPr>
        <w:t xml:space="preserve">Pendant tout son contre-interrogatoire, la juge de paix a nié que la version imprimée reflétait fidèlement ses opinions. À la question de savoir ce qui la dérangeait dans la version imprimée, quel fait ou quelle déclaration était incorrect, </w:t>
      </w:r>
      <w:r w:rsidR="005F7FC9" w:rsidRPr="009C6218">
        <w:rPr>
          <w:lang w:val="fr-CA"/>
        </w:rPr>
        <w:t>en quoi elle ne reflétait pas ses op</w:t>
      </w:r>
      <w:r w:rsidR="00D55E96">
        <w:rPr>
          <w:lang w:val="fr-CA"/>
        </w:rPr>
        <w:t>i</w:t>
      </w:r>
      <w:r w:rsidR="005F7FC9" w:rsidRPr="009C6218">
        <w:rPr>
          <w:lang w:val="fr-CA"/>
        </w:rPr>
        <w:t>nions, elle a répondu : « ce n’est pas ma version. Ce n’est pas ma version</w:t>
      </w:r>
      <w:r w:rsidR="00505D33" w:rsidRPr="009C6218">
        <w:rPr>
          <w:lang w:val="fr-CA"/>
        </w:rPr>
        <w:t xml:space="preserve"> //…// </w:t>
      </w:r>
      <w:r w:rsidR="005F7FC9" w:rsidRPr="009C6218">
        <w:rPr>
          <w:lang w:val="fr-CA"/>
        </w:rPr>
        <w:t>voilà ce qui me dérange</w:t>
      </w:r>
      <w:r w:rsidR="00505D33" w:rsidRPr="009C6218">
        <w:rPr>
          <w:lang w:val="fr-CA"/>
        </w:rPr>
        <w:t xml:space="preserve">. //…// </w:t>
      </w:r>
      <w:r w:rsidR="005F7FC9" w:rsidRPr="009C6218">
        <w:rPr>
          <w:lang w:val="fr-CA"/>
        </w:rPr>
        <w:t>Tout ce qui est dans la version imprimée qui n’est pas dans la version en ligne ne reflète pas mes opinions</w:t>
      </w:r>
      <w:r w:rsidR="00505D33" w:rsidRPr="009C6218">
        <w:rPr>
          <w:lang w:val="fr-CA"/>
        </w:rPr>
        <w:t>.</w:t>
      </w:r>
      <w:r w:rsidR="005F7FC9" w:rsidRPr="009C6218">
        <w:rPr>
          <w:lang w:val="fr-CA"/>
        </w:rPr>
        <w:t> »</w:t>
      </w:r>
      <w:r w:rsidR="00505D33" w:rsidRPr="009C6218">
        <w:rPr>
          <w:rStyle w:val="FootnoteReference"/>
          <w:lang w:val="fr-CA"/>
        </w:rPr>
        <w:footnoteReference w:id="58"/>
      </w:r>
    </w:p>
    <w:p w14:paraId="2D72987E" w14:textId="77208BCC" w:rsidR="005C2288" w:rsidRPr="009C6218" w:rsidRDefault="005F7FC9" w:rsidP="003D2873">
      <w:pPr>
        <w:numPr>
          <w:ilvl w:val="0"/>
          <w:numId w:val="1"/>
        </w:numPr>
        <w:spacing w:after="200" w:line="276" w:lineRule="auto"/>
        <w:ind w:left="567" w:hanging="567"/>
        <w:rPr>
          <w:b/>
          <w:lang w:val="fr-CA"/>
        </w:rPr>
      </w:pPr>
      <w:r w:rsidRPr="009C6218">
        <w:rPr>
          <w:lang w:val="fr-CA"/>
        </w:rPr>
        <w:t xml:space="preserve">Plus tard dans son témoignage, la juge de paix a reconnu qu’elle avait en fait lu les </w:t>
      </w:r>
      <w:r w:rsidR="002500CB">
        <w:rPr>
          <w:lang w:val="fr-CA"/>
        </w:rPr>
        <w:t>deux versions de l’</w:t>
      </w:r>
      <w:r w:rsidRPr="009C6218">
        <w:rPr>
          <w:lang w:val="fr-CA"/>
        </w:rPr>
        <w:t>article</w:t>
      </w:r>
      <w:r w:rsidR="002500CB">
        <w:rPr>
          <w:lang w:val="fr-CA"/>
        </w:rPr>
        <w:t>,</w:t>
      </w:r>
      <w:r w:rsidRPr="009C6218">
        <w:rPr>
          <w:lang w:val="fr-CA"/>
        </w:rPr>
        <w:t xml:space="preserve"> en ligne et imprimé</w:t>
      </w:r>
      <w:r w:rsidR="002500CB">
        <w:rPr>
          <w:lang w:val="fr-CA"/>
        </w:rPr>
        <w:t>e,</w:t>
      </w:r>
      <w:r w:rsidRPr="009C6218">
        <w:rPr>
          <w:lang w:val="fr-CA"/>
        </w:rPr>
        <w:t xml:space="preserve"> à peu près au moment de leur </w:t>
      </w:r>
      <w:r w:rsidRPr="009C6218">
        <w:rPr>
          <w:lang w:val="fr-CA"/>
        </w:rPr>
        <w:lastRenderedPageBreak/>
        <w:t>publication et e</w:t>
      </w:r>
      <w:r w:rsidR="002500CB">
        <w:rPr>
          <w:lang w:val="fr-CA"/>
        </w:rPr>
        <w:t>ll</w:t>
      </w:r>
      <w:r w:rsidRPr="009C6218">
        <w:rPr>
          <w:lang w:val="fr-CA"/>
        </w:rPr>
        <w:t>e a affirmé avoir immédiatement remarqué qu’il y avait des différences importantes entre les deux versions</w:t>
      </w:r>
      <w:r w:rsidR="005C2288" w:rsidRPr="009C6218">
        <w:rPr>
          <w:rStyle w:val="FootnoteReference"/>
          <w:lang w:val="fr-CA"/>
        </w:rPr>
        <w:footnoteReference w:id="59"/>
      </w:r>
      <w:r w:rsidRPr="009C6218">
        <w:rPr>
          <w:lang w:val="fr-CA"/>
        </w:rPr>
        <w:t>.</w:t>
      </w:r>
      <w:r w:rsidR="005C2288" w:rsidRPr="009C6218">
        <w:rPr>
          <w:lang w:val="fr-CA"/>
        </w:rPr>
        <w:t xml:space="preserve"> </w:t>
      </w:r>
    </w:p>
    <w:p w14:paraId="5A76B889" w14:textId="68CEC7F7" w:rsidR="005C2288" w:rsidRPr="009C6218" w:rsidRDefault="00134252" w:rsidP="003D2873">
      <w:pPr>
        <w:numPr>
          <w:ilvl w:val="0"/>
          <w:numId w:val="1"/>
        </w:numPr>
        <w:spacing w:after="200" w:line="276" w:lineRule="auto"/>
        <w:ind w:left="567" w:hanging="567"/>
        <w:rPr>
          <w:b/>
          <w:lang w:val="fr-CA"/>
        </w:rPr>
      </w:pPr>
      <w:r w:rsidRPr="009C6218">
        <w:rPr>
          <w:lang w:val="fr-CA"/>
        </w:rPr>
        <w:t xml:space="preserve">Comme la juge de paix n’a pas reconnu la version imprimée de l’Article comme étant la sienne, on lui a demandé, dans son contre-interrogatoire, si avec le recul, elle comprenait que lorsqu’un juriste s’exprime publiquement, il court le risque de perdre le contrôle de ses propos. Elle a répondu « non » et que « le </w:t>
      </w:r>
      <w:r w:rsidR="005C2288" w:rsidRPr="009C6218">
        <w:rPr>
          <w:i/>
          <w:lang w:val="fr-CA"/>
        </w:rPr>
        <w:t>National Post</w:t>
      </w:r>
      <w:r w:rsidR="005C2288" w:rsidRPr="009C6218">
        <w:rPr>
          <w:lang w:val="fr-CA"/>
        </w:rPr>
        <w:t xml:space="preserve"> </w:t>
      </w:r>
      <w:r w:rsidRPr="009C6218">
        <w:rPr>
          <w:lang w:val="fr-CA"/>
        </w:rPr>
        <w:t xml:space="preserve">peut imprimer ce qu’il veut </w:t>
      </w:r>
      <w:r w:rsidR="005C2288" w:rsidRPr="009C6218">
        <w:rPr>
          <w:lang w:val="fr-CA"/>
        </w:rPr>
        <w:t>…</w:t>
      </w:r>
      <w:r w:rsidRPr="009C6218">
        <w:rPr>
          <w:lang w:val="fr-CA"/>
        </w:rPr>
        <w:t>Ce n’est pas ma responsabilité »</w:t>
      </w:r>
      <w:r w:rsidR="005C2288" w:rsidRPr="009C6218">
        <w:rPr>
          <w:rStyle w:val="FootnoteReference"/>
          <w:lang w:val="fr-CA"/>
        </w:rPr>
        <w:footnoteReference w:id="60"/>
      </w:r>
      <w:r w:rsidRPr="009C6218">
        <w:rPr>
          <w:lang w:val="fr-CA"/>
        </w:rPr>
        <w:t>.</w:t>
      </w:r>
    </w:p>
    <w:p w14:paraId="633F7EBC" w14:textId="773B7575" w:rsidR="005C2288" w:rsidRPr="009C6218" w:rsidRDefault="00134252" w:rsidP="0005557C">
      <w:pPr>
        <w:numPr>
          <w:ilvl w:val="0"/>
          <w:numId w:val="1"/>
        </w:numPr>
        <w:spacing w:after="200" w:line="276" w:lineRule="auto"/>
        <w:ind w:left="567" w:hanging="567"/>
        <w:rPr>
          <w:lang w:val="fr-CA"/>
        </w:rPr>
      </w:pPr>
      <w:r w:rsidRPr="009C6218">
        <w:rPr>
          <w:lang w:val="fr-CA"/>
        </w:rPr>
        <w:t xml:space="preserve">Après avoir examiné de près les deux versions de l’Article à l’aide de la pièce 11, le comité d’audition conclut qu’à part les deux phrases additionnelles figurant dans la version imprimée, il n’y a aucune différence importante entre les deux versions de l’Article. </w:t>
      </w:r>
    </w:p>
    <w:p w14:paraId="562B2CB1" w14:textId="36A0173B" w:rsidR="00E51280" w:rsidRPr="009C6218" w:rsidRDefault="00134252" w:rsidP="0005557C">
      <w:pPr>
        <w:numPr>
          <w:ilvl w:val="0"/>
          <w:numId w:val="1"/>
        </w:numPr>
        <w:spacing w:after="200" w:line="276" w:lineRule="auto"/>
        <w:ind w:left="567" w:hanging="567"/>
        <w:rPr>
          <w:b/>
          <w:lang w:val="fr-CA"/>
        </w:rPr>
      </w:pPr>
      <w:r w:rsidRPr="009C6218">
        <w:rPr>
          <w:lang w:val="fr-CA"/>
        </w:rPr>
        <w:t xml:space="preserve">Nous relevons aussi que les deux phrases additionnelles dans la version imprimée apparaissent aux mêmes endroits que les deux « corrections » surlignées que la juge de paix a mentionnées dans son courriel à </w:t>
      </w:r>
      <w:r w:rsidR="00E51280" w:rsidRPr="009C6218">
        <w:rPr>
          <w:lang w:val="fr-CA"/>
        </w:rPr>
        <w:t xml:space="preserve">Jesse Kline </w:t>
      </w:r>
      <w:r w:rsidRPr="009C6218">
        <w:rPr>
          <w:lang w:val="fr-CA"/>
        </w:rPr>
        <w:t xml:space="preserve">du </w:t>
      </w:r>
      <w:r w:rsidR="00E51280" w:rsidRPr="009C6218">
        <w:rPr>
          <w:i/>
          <w:lang w:val="fr-CA"/>
        </w:rPr>
        <w:t>National Post</w:t>
      </w:r>
      <w:r w:rsidR="00E51280" w:rsidRPr="009C6218">
        <w:rPr>
          <w:lang w:val="fr-CA"/>
        </w:rPr>
        <w:t xml:space="preserve"> </w:t>
      </w:r>
      <w:r w:rsidRPr="009C6218">
        <w:rPr>
          <w:lang w:val="fr-CA"/>
        </w:rPr>
        <w:t>dont la ligne de l’objet disait : « </w:t>
      </w:r>
      <w:r w:rsidR="00E51280" w:rsidRPr="009C6218">
        <w:rPr>
          <w:lang w:val="fr-CA"/>
        </w:rPr>
        <w:t xml:space="preserve">Re: </w:t>
      </w:r>
      <w:proofErr w:type="spellStart"/>
      <w:r w:rsidR="00E51280" w:rsidRPr="009C6218">
        <w:rPr>
          <w:lang w:val="fr-CA"/>
        </w:rPr>
        <w:t>Edit</w:t>
      </w:r>
      <w:proofErr w:type="spellEnd"/>
      <w:r w:rsidR="00E51280" w:rsidRPr="009C6218">
        <w:rPr>
          <w:lang w:val="fr-CA"/>
        </w:rPr>
        <w:t xml:space="preserve"> on </w:t>
      </w:r>
      <w:proofErr w:type="spellStart"/>
      <w:r w:rsidR="00E51280" w:rsidRPr="009C6218">
        <w:rPr>
          <w:lang w:val="fr-CA"/>
        </w:rPr>
        <w:t>your</w:t>
      </w:r>
      <w:proofErr w:type="spellEnd"/>
      <w:r w:rsidR="00E51280" w:rsidRPr="009C6218">
        <w:rPr>
          <w:lang w:val="fr-CA"/>
        </w:rPr>
        <w:t xml:space="preserve"> </w:t>
      </w:r>
      <w:proofErr w:type="spellStart"/>
      <w:r w:rsidR="00E51280" w:rsidRPr="009C6218">
        <w:rPr>
          <w:lang w:val="fr-CA"/>
        </w:rPr>
        <w:t>column</w:t>
      </w:r>
      <w:proofErr w:type="spellEnd"/>
      <w:r w:rsidRPr="009C6218">
        <w:rPr>
          <w:lang w:val="fr-CA"/>
        </w:rPr>
        <w:t> » (Objet : modifications de votre article »)</w:t>
      </w:r>
      <w:r w:rsidR="00E51280" w:rsidRPr="009C6218">
        <w:rPr>
          <w:lang w:val="fr-CA"/>
        </w:rPr>
        <w:t>.</w:t>
      </w:r>
      <w:r w:rsidR="00F02EA7" w:rsidRPr="009C6218">
        <w:rPr>
          <w:lang w:val="fr-CA"/>
        </w:rPr>
        <w:t xml:space="preserve"> </w:t>
      </w:r>
      <w:r w:rsidRPr="009C6218">
        <w:rPr>
          <w:lang w:val="fr-CA"/>
        </w:rPr>
        <w:t>À chaque endroit, il y a une note « </w:t>
      </w:r>
      <w:r w:rsidR="00FA4879" w:rsidRPr="009C6218">
        <w:rPr>
          <w:lang w:val="fr-CA"/>
        </w:rPr>
        <w:t>(</w:t>
      </w:r>
      <w:r w:rsidR="00092AE9" w:rsidRPr="009C6218">
        <w:rPr>
          <w:lang w:val="fr-CA"/>
        </w:rPr>
        <w:t xml:space="preserve">One sentence </w:t>
      </w:r>
      <w:proofErr w:type="spellStart"/>
      <w:r w:rsidR="00092AE9" w:rsidRPr="009C6218">
        <w:rPr>
          <w:lang w:val="fr-CA"/>
        </w:rPr>
        <w:t>removed</w:t>
      </w:r>
      <w:proofErr w:type="spellEnd"/>
      <w:r w:rsidR="00092AE9" w:rsidRPr="009C6218">
        <w:rPr>
          <w:lang w:val="fr-CA"/>
        </w:rPr>
        <w:t xml:space="preserve"> </w:t>
      </w:r>
      <w:proofErr w:type="spellStart"/>
      <w:r w:rsidR="00092AE9" w:rsidRPr="009C6218">
        <w:rPr>
          <w:lang w:val="fr-CA"/>
        </w:rPr>
        <w:t>here</w:t>
      </w:r>
      <w:proofErr w:type="spellEnd"/>
      <w:r w:rsidR="00092AE9" w:rsidRPr="009C6218">
        <w:rPr>
          <w:lang w:val="fr-CA"/>
        </w:rPr>
        <w:t>)</w:t>
      </w:r>
      <w:r w:rsidRPr="009C6218">
        <w:rPr>
          <w:lang w:val="fr-CA"/>
        </w:rPr>
        <w:t> » (« Une phrase supprimée ici »)</w:t>
      </w:r>
      <w:r w:rsidR="00092AE9" w:rsidRPr="009C6218">
        <w:rPr>
          <w:rStyle w:val="FootnoteReference"/>
          <w:lang w:val="fr-CA"/>
        </w:rPr>
        <w:footnoteReference w:id="61"/>
      </w:r>
      <w:r w:rsidRPr="009C6218">
        <w:rPr>
          <w:lang w:val="fr-CA"/>
        </w:rPr>
        <w:t>.</w:t>
      </w:r>
    </w:p>
    <w:p w14:paraId="60389B50" w14:textId="497D0556" w:rsidR="005C2288" w:rsidRPr="009C6218" w:rsidRDefault="00134252" w:rsidP="0005557C">
      <w:pPr>
        <w:numPr>
          <w:ilvl w:val="0"/>
          <w:numId w:val="1"/>
        </w:numPr>
        <w:spacing w:after="200" w:line="276" w:lineRule="auto"/>
        <w:ind w:left="567" w:hanging="567"/>
        <w:rPr>
          <w:b/>
          <w:lang w:val="fr-CA"/>
        </w:rPr>
      </w:pPr>
      <w:r w:rsidRPr="009C6218">
        <w:rPr>
          <w:lang w:val="fr-CA"/>
        </w:rPr>
        <w:t>Dans tous les cas, dans la mesure où il y a d’autres différences qu’on pourrait caractériser d’importante</w:t>
      </w:r>
      <w:r w:rsidR="002500CB">
        <w:rPr>
          <w:lang w:val="fr-CA"/>
        </w:rPr>
        <w:t>s</w:t>
      </w:r>
      <w:r w:rsidRPr="009C6218">
        <w:rPr>
          <w:lang w:val="fr-CA"/>
        </w:rPr>
        <w:t xml:space="preserve"> et que la juge de paix conteste, son témoignage démontre qu’elle n’a pris aucune mesure pour corriger les inexactitudes figurant dans la version imprimée de son Article, qu’elle affirme n’avoir pas autorisée</w:t>
      </w:r>
      <w:r w:rsidR="005C2288" w:rsidRPr="009C6218">
        <w:rPr>
          <w:lang w:val="fr-CA"/>
        </w:rPr>
        <w:t xml:space="preserve">. </w:t>
      </w:r>
      <w:r w:rsidRPr="009C6218">
        <w:rPr>
          <w:lang w:val="fr-CA"/>
        </w:rPr>
        <w:t>Elle s’est expliquée dans l’échange suivant </w:t>
      </w:r>
      <w:r w:rsidR="005C2288" w:rsidRPr="009C6218">
        <w:rPr>
          <w:lang w:val="fr-CA"/>
        </w:rPr>
        <w:t>:</w:t>
      </w:r>
    </w:p>
    <w:p w14:paraId="215607C3" w14:textId="6F13BED2" w:rsidR="00AA0E75" w:rsidRPr="009C6218" w:rsidRDefault="00AA0E75" w:rsidP="00B871D2">
      <w:pPr>
        <w:pStyle w:val="ListParagraph"/>
        <w:ind w:left="851" w:right="851"/>
        <w:rPr>
          <w:lang w:val="fr-CA"/>
        </w:rPr>
      </w:pPr>
      <w:r w:rsidRPr="009C6218">
        <w:rPr>
          <w:lang w:val="fr-CA"/>
        </w:rPr>
        <w:t xml:space="preserve">Q. </w:t>
      </w:r>
      <w:r w:rsidR="003715B7" w:rsidRPr="009C6218">
        <w:rPr>
          <w:lang w:val="fr-CA"/>
        </w:rPr>
        <w:t xml:space="preserve">Vous n’avez pas demandé au </w:t>
      </w:r>
      <w:r w:rsidRPr="009C6218">
        <w:rPr>
          <w:i/>
          <w:lang w:val="fr-CA"/>
        </w:rPr>
        <w:t>Post</w:t>
      </w:r>
      <w:r w:rsidRPr="009C6218">
        <w:rPr>
          <w:lang w:val="fr-CA"/>
        </w:rPr>
        <w:t xml:space="preserve"> </w:t>
      </w:r>
      <w:r w:rsidR="003715B7" w:rsidRPr="009C6218">
        <w:rPr>
          <w:lang w:val="fr-CA"/>
        </w:rPr>
        <w:t>de publier une correction</w:t>
      </w:r>
      <w:r w:rsidRPr="009C6218">
        <w:rPr>
          <w:lang w:val="fr-CA"/>
        </w:rPr>
        <w:t>?</w:t>
      </w:r>
    </w:p>
    <w:p w14:paraId="5D23B9B4" w14:textId="77777777" w:rsidR="00B871D2" w:rsidRPr="009C6218" w:rsidRDefault="00B871D2" w:rsidP="00B871D2">
      <w:pPr>
        <w:pStyle w:val="ListParagraph"/>
        <w:ind w:left="851" w:right="851"/>
        <w:rPr>
          <w:lang w:val="fr-CA"/>
        </w:rPr>
      </w:pPr>
    </w:p>
    <w:p w14:paraId="7C7483D3" w14:textId="638C6A42" w:rsidR="00AA0E75" w:rsidRPr="009C6218" w:rsidRDefault="003715B7" w:rsidP="00B871D2">
      <w:pPr>
        <w:pStyle w:val="ListParagraph"/>
        <w:ind w:left="851" w:right="851"/>
        <w:rPr>
          <w:lang w:val="fr-CA"/>
        </w:rPr>
      </w:pPr>
      <w:r w:rsidRPr="009C6218">
        <w:rPr>
          <w:lang w:val="fr-CA"/>
        </w:rPr>
        <w:t>R</w:t>
      </w:r>
      <w:r w:rsidR="00AA0E75" w:rsidRPr="009C6218">
        <w:rPr>
          <w:lang w:val="fr-CA"/>
        </w:rPr>
        <w:t>. No</w:t>
      </w:r>
      <w:r w:rsidRPr="009C6218">
        <w:rPr>
          <w:lang w:val="fr-CA"/>
        </w:rPr>
        <w:t>n.</w:t>
      </w:r>
    </w:p>
    <w:p w14:paraId="1F687F86" w14:textId="77777777" w:rsidR="00B871D2" w:rsidRPr="009C6218" w:rsidRDefault="00B871D2" w:rsidP="00B871D2">
      <w:pPr>
        <w:pStyle w:val="ListParagraph"/>
        <w:ind w:left="851" w:right="851"/>
        <w:rPr>
          <w:lang w:val="fr-CA"/>
        </w:rPr>
      </w:pPr>
    </w:p>
    <w:p w14:paraId="1CF23A81" w14:textId="760F1611" w:rsidR="00AA0E75" w:rsidRPr="009C6218" w:rsidRDefault="00AA0E75" w:rsidP="00B871D2">
      <w:pPr>
        <w:pStyle w:val="ListParagraph"/>
        <w:ind w:left="851" w:right="851"/>
        <w:rPr>
          <w:lang w:val="fr-CA"/>
        </w:rPr>
      </w:pPr>
      <w:r w:rsidRPr="009C6218">
        <w:rPr>
          <w:lang w:val="fr-CA"/>
        </w:rPr>
        <w:t xml:space="preserve">Q. </w:t>
      </w:r>
      <w:r w:rsidR="003715B7" w:rsidRPr="009C6218">
        <w:rPr>
          <w:lang w:val="fr-CA"/>
        </w:rPr>
        <w:t>Vous n’avez pas appel</w:t>
      </w:r>
      <w:r w:rsidR="00CD5FC6" w:rsidRPr="009C6218">
        <w:rPr>
          <w:lang w:val="fr-CA"/>
        </w:rPr>
        <w:t>é</w:t>
      </w:r>
      <w:r w:rsidR="003715B7" w:rsidRPr="009C6218">
        <w:rPr>
          <w:lang w:val="fr-CA"/>
        </w:rPr>
        <w:t xml:space="preserve"> M. Kline pour vous plaindre</w:t>
      </w:r>
      <w:r w:rsidRPr="009C6218">
        <w:rPr>
          <w:lang w:val="fr-CA"/>
        </w:rPr>
        <w:t>?</w:t>
      </w:r>
    </w:p>
    <w:p w14:paraId="63F2E9C5" w14:textId="77777777" w:rsidR="00B871D2" w:rsidRPr="009C6218" w:rsidRDefault="00B871D2" w:rsidP="00B871D2">
      <w:pPr>
        <w:pStyle w:val="ListParagraph"/>
        <w:ind w:left="851" w:right="851"/>
        <w:rPr>
          <w:lang w:val="fr-CA"/>
        </w:rPr>
      </w:pPr>
    </w:p>
    <w:p w14:paraId="13BB1C4A" w14:textId="7F127BA7" w:rsidR="00AA0E75" w:rsidRPr="009C6218" w:rsidRDefault="003715B7" w:rsidP="00B871D2">
      <w:pPr>
        <w:pStyle w:val="ListParagraph"/>
        <w:ind w:left="851" w:right="851"/>
        <w:rPr>
          <w:lang w:val="fr-CA"/>
        </w:rPr>
      </w:pPr>
      <w:r w:rsidRPr="009C6218">
        <w:rPr>
          <w:lang w:val="fr-CA"/>
        </w:rPr>
        <w:t>R</w:t>
      </w:r>
      <w:r w:rsidR="00AA0E75" w:rsidRPr="009C6218">
        <w:rPr>
          <w:lang w:val="fr-CA"/>
        </w:rPr>
        <w:t>. No</w:t>
      </w:r>
      <w:r w:rsidRPr="009C6218">
        <w:rPr>
          <w:lang w:val="fr-CA"/>
        </w:rPr>
        <w:t>n</w:t>
      </w:r>
      <w:r w:rsidR="00AA0E75" w:rsidRPr="009C6218">
        <w:rPr>
          <w:lang w:val="fr-CA"/>
        </w:rPr>
        <w:t>.</w:t>
      </w:r>
    </w:p>
    <w:p w14:paraId="6D163BE5" w14:textId="77777777" w:rsidR="00B871D2" w:rsidRPr="009C6218" w:rsidRDefault="00B871D2" w:rsidP="00B871D2">
      <w:pPr>
        <w:pStyle w:val="ListParagraph"/>
        <w:ind w:left="851" w:right="851"/>
        <w:rPr>
          <w:lang w:val="fr-CA"/>
        </w:rPr>
      </w:pPr>
    </w:p>
    <w:p w14:paraId="0C3909EB" w14:textId="70516252" w:rsidR="00AA0E75" w:rsidRPr="009C6218" w:rsidRDefault="00AA0E75" w:rsidP="00B871D2">
      <w:pPr>
        <w:pStyle w:val="ListParagraph"/>
        <w:ind w:left="851" w:right="851"/>
        <w:rPr>
          <w:lang w:val="fr-CA"/>
        </w:rPr>
      </w:pPr>
      <w:r w:rsidRPr="009C6218">
        <w:rPr>
          <w:lang w:val="fr-CA"/>
        </w:rPr>
        <w:t xml:space="preserve">Q. </w:t>
      </w:r>
      <w:r w:rsidR="003715B7" w:rsidRPr="009C6218">
        <w:rPr>
          <w:lang w:val="fr-CA"/>
        </w:rPr>
        <w:t xml:space="preserve">Vous étiez </w:t>
      </w:r>
      <w:r w:rsidR="002500CB">
        <w:rPr>
          <w:lang w:val="fr-CA"/>
        </w:rPr>
        <w:t>satisfaite</w:t>
      </w:r>
      <w:r w:rsidR="003715B7" w:rsidRPr="009C6218">
        <w:rPr>
          <w:lang w:val="fr-CA"/>
        </w:rPr>
        <w:t xml:space="preserve"> de laisser des propos qui vous étaient attribués tels quels, sans les corriger, même s’ils ne représentaient pas vos opinions</w:t>
      </w:r>
      <w:r w:rsidRPr="009C6218">
        <w:rPr>
          <w:lang w:val="fr-CA"/>
        </w:rPr>
        <w:t>?</w:t>
      </w:r>
    </w:p>
    <w:p w14:paraId="1513C2ED" w14:textId="77777777" w:rsidR="00B871D2" w:rsidRPr="009C6218" w:rsidRDefault="00B871D2" w:rsidP="00B871D2">
      <w:pPr>
        <w:pStyle w:val="ListParagraph"/>
        <w:ind w:left="851" w:right="851"/>
        <w:rPr>
          <w:lang w:val="fr-CA"/>
        </w:rPr>
      </w:pPr>
    </w:p>
    <w:p w14:paraId="033E3758" w14:textId="16E41093" w:rsidR="00AA0E75" w:rsidRPr="009C6218" w:rsidRDefault="003715B7" w:rsidP="00B871D2">
      <w:pPr>
        <w:pStyle w:val="ListParagraph"/>
        <w:ind w:left="851" w:right="851"/>
        <w:rPr>
          <w:lang w:val="fr-CA"/>
        </w:rPr>
      </w:pPr>
      <w:r w:rsidRPr="009C6218">
        <w:rPr>
          <w:lang w:val="fr-CA"/>
        </w:rPr>
        <w:t>R</w:t>
      </w:r>
      <w:r w:rsidR="00AA0E75" w:rsidRPr="009C6218">
        <w:rPr>
          <w:lang w:val="fr-CA"/>
        </w:rPr>
        <w:t>.</w:t>
      </w:r>
      <w:r w:rsidRPr="009C6218">
        <w:rPr>
          <w:lang w:val="fr-CA"/>
        </w:rPr>
        <w:t xml:space="preserve"> Je ne pensais pas qu’il y avait quelque chose à faire à ce sujet. </w:t>
      </w:r>
    </w:p>
    <w:p w14:paraId="05B638C2" w14:textId="77777777" w:rsidR="00B871D2" w:rsidRPr="009C6218" w:rsidRDefault="00B871D2" w:rsidP="00B871D2">
      <w:pPr>
        <w:pStyle w:val="ListParagraph"/>
        <w:ind w:left="851" w:right="851"/>
        <w:rPr>
          <w:lang w:val="fr-CA"/>
        </w:rPr>
      </w:pPr>
    </w:p>
    <w:p w14:paraId="04DDDC93" w14:textId="51A7AB33" w:rsidR="00AA0E75" w:rsidRPr="009C6218" w:rsidRDefault="00AA0E75" w:rsidP="00B871D2">
      <w:pPr>
        <w:pStyle w:val="ListParagraph"/>
        <w:ind w:left="851" w:right="851"/>
        <w:rPr>
          <w:lang w:val="fr-CA"/>
        </w:rPr>
      </w:pPr>
      <w:r w:rsidRPr="009C6218">
        <w:rPr>
          <w:lang w:val="fr-CA"/>
        </w:rPr>
        <w:t xml:space="preserve">Q. </w:t>
      </w:r>
      <w:r w:rsidR="003715B7" w:rsidRPr="009C6218">
        <w:rPr>
          <w:lang w:val="fr-CA"/>
        </w:rPr>
        <w:t>Donc, vous n’avez rien fait. C’est bien ça?</w:t>
      </w:r>
    </w:p>
    <w:p w14:paraId="7795D05A" w14:textId="77777777" w:rsidR="00B871D2" w:rsidRPr="009C6218" w:rsidRDefault="00B871D2" w:rsidP="00B871D2">
      <w:pPr>
        <w:pStyle w:val="ListParagraph"/>
        <w:ind w:left="851" w:right="851"/>
        <w:rPr>
          <w:lang w:val="fr-CA"/>
        </w:rPr>
      </w:pPr>
    </w:p>
    <w:p w14:paraId="4E63B052" w14:textId="0345912D" w:rsidR="00AA0E75" w:rsidRPr="009C6218" w:rsidRDefault="003715B7" w:rsidP="00B871D2">
      <w:pPr>
        <w:pStyle w:val="ListParagraph"/>
        <w:ind w:left="851" w:right="851"/>
        <w:rPr>
          <w:lang w:val="fr-CA"/>
        </w:rPr>
      </w:pPr>
      <w:r w:rsidRPr="009C6218">
        <w:rPr>
          <w:lang w:val="fr-CA"/>
        </w:rPr>
        <w:t>R</w:t>
      </w:r>
      <w:r w:rsidR="00AA0E75" w:rsidRPr="009C6218">
        <w:rPr>
          <w:lang w:val="fr-CA"/>
        </w:rPr>
        <w:t>. Appar</w:t>
      </w:r>
      <w:r w:rsidRPr="009C6218">
        <w:rPr>
          <w:lang w:val="fr-CA"/>
        </w:rPr>
        <w:t>emment</w:t>
      </w:r>
      <w:r w:rsidR="00AA0E75" w:rsidRPr="009C6218">
        <w:rPr>
          <w:rStyle w:val="FootnoteReference"/>
          <w:lang w:val="fr-CA"/>
        </w:rPr>
        <w:footnoteReference w:id="62"/>
      </w:r>
      <w:r w:rsidRPr="009C6218">
        <w:rPr>
          <w:lang w:val="fr-CA"/>
        </w:rPr>
        <w:t>. [</w:t>
      </w:r>
      <w:proofErr w:type="gramStart"/>
      <w:r w:rsidRPr="009C6218">
        <w:rPr>
          <w:lang w:val="fr-CA"/>
        </w:rPr>
        <w:t>traduction</w:t>
      </w:r>
      <w:proofErr w:type="gramEnd"/>
      <w:r w:rsidRPr="009C6218">
        <w:rPr>
          <w:lang w:val="fr-CA"/>
        </w:rPr>
        <w:t>]</w:t>
      </w:r>
    </w:p>
    <w:p w14:paraId="126C399C" w14:textId="77777777" w:rsidR="00B871D2" w:rsidRPr="009C6218" w:rsidRDefault="00B871D2" w:rsidP="00B871D2">
      <w:pPr>
        <w:pStyle w:val="ListParagraph"/>
        <w:ind w:left="851" w:right="851"/>
        <w:rPr>
          <w:lang w:val="fr-CA"/>
        </w:rPr>
      </w:pPr>
    </w:p>
    <w:p w14:paraId="554D190F" w14:textId="1B2E08AA" w:rsidR="00505D33" w:rsidRPr="009C6218" w:rsidRDefault="003715B7" w:rsidP="0005557C">
      <w:pPr>
        <w:numPr>
          <w:ilvl w:val="0"/>
          <w:numId w:val="1"/>
        </w:numPr>
        <w:spacing w:after="200" w:line="276" w:lineRule="auto"/>
        <w:ind w:left="567" w:hanging="567"/>
        <w:rPr>
          <w:b/>
          <w:lang w:val="fr-CA"/>
        </w:rPr>
      </w:pPr>
      <w:r w:rsidRPr="009C6218">
        <w:rPr>
          <w:lang w:val="fr-CA"/>
        </w:rPr>
        <w:t xml:space="preserve">Le comité d’audition est d’avis que le fait que la juge de paix n’ait fait aucun effort pour faire corriger les inexactitudes qu’elle a observées dans la version imprimée démontre le manque de </w:t>
      </w:r>
      <w:r w:rsidR="002500CB">
        <w:rPr>
          <w:lang w:val="fr-CA"/>
        </w:rPr>
        <w:t>diligence</w:t>
      </w:r>
      <w:r w:rsidRPr="009C6218">
        <w:rPr>
          <w:lang w:val="fr-CA"/>
        </w:rPr>
        <w:t xml:space="preserve"> dont elle a fait preuve dans la publication de ses opinions dans le journal </w:t>
      </w:r>
      <w:r w:rsidRPr="009C6218">
        <w:rPr>
          <w:i/>
          <w:lang w:val="fr-CA"/>
        </w:rPr>
        <w:t>National Post</w:t>
      </w:r>
      <w:r w:rsidRPr="009C6218">
        <w:rPr>
          <w:lang w:val="fr-CA"/>
        </w:rPr>
        <w:t xml:space="preserve">. </w:t>
      </w:r>
    </w:p>
    <w:p w14:paraId="3838F696" w14:textId="1DD084D5" w:rsidR="00AA0E75" w:rsidRPr="009C6218" w:rsidRDefault="00BB319B" w:rsidP="00BE6325">
      <w:pPr>
        <w:pStyle w:val="Heading2"/>
        <w:rPr>
          <w:lang w:val="fr-CA"/>
        </w:rPr>
      </w:pPr>
      <w:r w:rsidRPr="009C6218">
        <w:rPr>
          <w:b w:val="0"/>
          <w:lang w:val="fr-CA"/>
        </w:rPr>
        <w:br/>
      </w:r>
      <w:bookmarkStart w:id="45" w:name="_Toc42946551"/>
      <w:r w:rsidR="004D7B9D" w:rsidRPr="009C6218">
        <w:rPr>
          <w:rFonts w:asciiTheme="minorHAnsi" w:hAnsiTheme="minorHAnsi" w:cstheme="minorHAnsi"/>
          <w:lang w:val="fr-CA"/>
        </w:rPr>
        <w:t xml:space="preserve">La manière dont l’Article est rédigé, en particulier </w:t>
      </w:r>
      <w:r w:rsidR="00A12AD0" w:rsidRPr="009C6218">
        <w:rPr>
          <w:rFonts w:asciiTheme="minorHAnsi" w:hAnsiTheme="minorHAnsi" w:cstheme="minorHAnsi"/>
          <w:lang w:val="fr-CA"/>
        </w:rPr>
        <w:t>l’</w:t>
      </w:r>
      <w:r w:rsidR="00D61E64" w:rsidRPr="009C6218">
        <w:rPr>
          <w:rFonts w:asciiTheme="minorHAnsi" w:hAnsiTheme="minorHAnsi" w:cstheme="minorHAnsi"/>
          <w:lang w:val="fr-CA"/>
        </w:rPr>
        <w:t>intensité</w:t>
      </w:r>
      <w:r w:rsidR="004D7B9D" w:rsidRPr="009C6218">
        <w:rPr>
          <w:rFonts w:asciiTheme="minorHAnsi" w:hAnsiTheme="minorHAnsi" w:cstheme="minorHAnsi"/>
          <w:lang w:val="fr-CA"/>
        </w:rPr>
        <w:t xml:space="preserve"> </w:t>
      </w:r>
      <w:r w:rsidR="00A12AD0" w:rsidRPr="009C6218">
        <w:rPr>
          <w:rFonts w:asciiTheme="minorHAnsi" w:hAnsiTheme="minorHAnsi" w:cstheme="minorHAnsi"/>
          <w:lang w:val="fr-CA"/>
        </w:rPr>
        <w:t xml:space="preserve">de l’intervention </w:t>
      </w:r>
      <w:r w:rsidR="004D7B9D" w:rsidRPr="009C6218">
        <w:rPr>
          <w:rFonts w:asciiTheme="minorHAnsi" w:hAnsiTheme="minorHAnsi" w:cstheme="minorHAnsi"/>
          <w:lang w:val="fr-CA"/>
        </w:rPr>
        <w:t>ou son ton</w:t>
      </w:r>
      <w:bookmarkEnd w:id="45"/>
    </w:p>
    <w:p w14:paraId="03E82180" w14:textId="7E575777" w:rsidR="005C2288" w:rsidRPr="009C6218" w:rsidRDefault="003715B7" w:rsidP="0005557C">
      <w:pPr>
        <w:numPr>
          <w:ilvl w:val="0"/>
          <w:numId w:val="1"/>
        </w:numPr>
        <w:spacing w:after="200" w:line="276" w:lineRule="auto"/>
        <w:ind w:left="567" w:hanging="567"/>
        <w:rPr>
          <w:b/>
          <w:lang w:val="fr-CA"/>
        </w:rPr>
      </w:pPr>
      <w:r w:rsidRPr="009C6218">
        <w:rPr>
          <w:lang w:val="fr-CA"/>
        </w:rPr>
        <w:t xml:space="preserve">Les facteurs liés à la </w:t>
      </w:r>
      <w:r w:rsidR="00D61E64" w:rsidRPr="009C6218">
        <w:rPr>
          <w:lang w:val="fr-CA"/>
        </w:rPr>
        <w:t>manière de faire et à l’intensité de l’intervention</w:t>
      </w:r>
      <w:r w:rsidRPr="009C6218">
        <w:rPr>
          <w:lang w:val="fr-CA"/>
        </w:rPr>
        <w:t xml:space="preserve">, que mentionne </w:t>
      </w:r>
      <w:proofErr w:type="spellStart"/>
      <w:r w:rsidR="009E5EDC" w:rsidRPr="009C6218">
        <w:rPr>
          <w:i/>
          <w:lang w:val="fr-CA"/>
        </w:rPr>
        <w:t>Ruffo</w:t>
      </w:r>
      <w:proofErr w:type="spellEnd"/>
      <w:r w:rsidR="000C53FF" w:rsidRPr="009C6218">
        <w:rPr>
          <w:i/>
          <w:lang w:val="fr-CA"/>
        </w:rPr>
        <w:t xml:space="preserve"> </w:t>
      </w:r>
      <w:r w:rsidR="00853FD0" w:rsidRPr="009C6218">
        <w:rPr>
          <w:i/>
          <w:lang w:val="fr-CA"/>
        </w:rPr>
        <w:t>(2005)</w:t>
      </w:r>
      <w:r w:rsidRPr="009C6218">
        <w:rPr>
          <w:i/>
          <w:lang w:val="fr-CA"/>
        </w:rPr>
        <w:t>,</w:t>
      </w:r>
      <w:r w:rsidR="009E5EDC" w:rsidRPr="009C6218">
        <w:rPr>
          <w:lang w:val="fr-CA"/>
        </w:rPr>
        <w:t xml:space="preserve"> </w:t>
      </w:r>
      <w:r w:rsidRPr="009C6218">
        <w:rPr>
          <w:lang w:val="fr-CA"/>
        </w:rPr>
        <w:t xml:space="preserve">concernent le contenu de l’Article ainsi que le ton et </w:t>
      </w:r>
      <w:r w:rsidR="005D40C4" w:rsidRPr="009C6218">
        <w:rPr>
          <w:lang w:val="fr-CA"/>
        </w:rPr>
        <w:t>le style</w:t>
      </w:r>
      <w:r w:rsidRPr="009C6218">
        <w:rPr>
          <w:lang w:val="fr-CA"/>
        </w:rPr>
        <w:t xml:space="preserve"> en général du texte. Ces facteurs sont indispensables pour déterminer si la conduite était incompatible avec la charge judiciaire et en fin de compte si l’Article représentait une inconduite. </w:t>
      </w:r>
    </w:p>
    <w:p w14:paraId="41C06F02" w14:textId="42286BDA" w:rsidR="005C2288" w:rsidRPr="009C6218" w:rsidRDefault="003715B7" w:rsidP="00D61E64">
      <w:pPr>
        <w:numPr>
          <w:ilvl w:val="0"/>
          <w:numId w:val="1"/>
        </w:numPr>
        <w:spacing w:after="200" w:line="276" w:lineRule="auto"/>
        <w:ind w:left="567" w:hanging="567"/>
        <w:rPr>
          <w:b/>
          <w:lang w:val="fr-CA"/>
        </w:rPr>
      </w:pPr>
      <w:r w:rsidRPr="009C6218">
        <w:rPr>
          <w:lang w:val="fr-CA"/>
        </w:rPr>
        <w:t>Dans l’affaire</w:t>
      </w:r>
      <w:r w:rsidR="005C2288" w:rsidRPr="009C6218">
        <w:rPr>
          <w:lang w:val="fr-CA"/>
        </w:rPr>
        <w:t xml:space="preserve"> </w:t>
      </w:r>
      <w:proofErr w:type="spellStart"/>
      <w:r w:rsidR="005C2288" w:rsidRPr="009C6218">
        <w:rPr>
          <w:i/>
          <w:lang w:val="fr-CA"/>
        </w:rPr>
        <w:t>Ruffo</w:t>
      </w:r>
      <w:proofErr w:type="spellEnd"/>
      <w:r w:rsidRPr="009C6218">
        <w:rPr>
          <w:i/>
          <w:lang w:val="fr-CA"/>
        </w:rPr>
        <w:t xml:space="preserve"> </w:t>
      </w:r>
      <w:r w:rsidR="00853FD0" w:rsidRPr="009C6218">
        <w:rPr>
          <w:i/>
          <w:lang w:val="fr-CA"/>
        </w:rPr>
        <w:t>(2005)</w:t>
      </w:r>
      <w:r w:rsidR="005C2288" w:rsidRPr="009C6218">
        <w:rPr>
          <w:b/>
          <w:lang w:val="fr-CA"/>
        </w:rPr>
        <w:t xml:space="preserve">, </w:t>
      </w:r>
      <w:r w:rsidR="005C2288" w:rsidRPr="009C6218">
        <w:rPr>
          <w:i/>
          <w:lang w:val="fr-CA"/>
        </w:rPr>
        <w:t>supra</w:t>
      </w:r>
      <w:r w:rsidR="005C2288" w:rsidRPr="009C6218">
        <w:rPr>
          <w:lang w:val="fr-CA"/>
        </w:rPr>
        <w:t>,</w:t>
      </w:r>
      <w:r w:rsidRPr="009C6218">
        <w:rPr>
          <w:lang w:val="fr-CA"/>
        </w:rPr>
        <w:t xml:space="preserve"> au</w:t>
      </w:r>
      <w:r w:rsidR="00094F4F" w:rsidRPr="009C6218">
        <w:rPr>
          <w:lang w:val="fr-CA"/>
        </w:rPr>
        <w:t xml:space="preserve"> para. </w:t>
      </w:r>
      <w:r w:rsidR="00853FD0" w:rsidRPr="009C6218">
        <w:rPr>
          <w:lang w:val="fr-CA"/>
        </w:rPr>
        <w:t>62,</w:t>
      </w:r>
      <w:r w:rsidR="005C2288" w:rsidRPr="009C6218">
        <w:rPr>
          <w:lang w:val="fr-CA"/>
        </w:rPr>
        <w:t xml:space="preserve"> </w:t>
      </w:r>
      <w:r w:rsidRPr="009C6218">
        <w:rPr>
          <w:lang w:val="fr-CA"/>
        </w:rPr>
        <w:t xml:space="preserve">la Cour </w:t>
      </w:r>
      <w:r w:rsidR="00D61E64" w:rsidRPr="009C6218">
        <w:rPr>
          <w:lang w:val="fr-CA"/>
        </w:rPr>
        <w:t>a fait le commentaire suivant à l’égard des officiers de justice qui font des déclarations publiques hors de la salle d’audience : « En matière de liberté d'expression, tout est affaire de degré et, en toutes circonstances, le juge doit faire preuve d'une grande retenue. »</w:t>
      </w:r>
      <w:r w:rsidR="00505D33" w:rsidRPr="009C6218">
        <w:rPr>
          <w:lang w:val="fr-CA"/>
        </w:rPr>
        <w:t>.</w:t>
      </w:r>
      <w:r w:rsidR="00A556EE" w:rsidRPr="009C6218">
        <w:rPr>
          <w:lang w:val="fr-CA"/>
        </w:rPr>
        <w:t xml:space="preserve"> </w:t>
      </w:r>
      <w:r w:rsidR="00D61E64" w:rsidRPr="009C6218">
        <w:rPr>
          <w:lang w:val="fr-CA"/>
        </w:rPr>
        <w:t>Dans l’arrêt</w:t>
      </w:r>
      <w:r w:rsidR="00A556EE" w:rsidRPr="009C6218">
        <w:rPr>
          <w:lang w:val="fr-CA"/>
        </w:rPr>
        <w:t xml:space="preserve"> </w:t>
      </w:r>
      <w:r w:rsidR="00A556EE" w:rsidRPr="009C6218">
        <w:rPr>
          <w:i/>
          <w:lang w:val="fr-CA"/>
        </w:rPr>
        <w:t>Doré</w:t>
      </w:r>
      <w:r w:rsidR="00A556EE" w:rsidRPr="009C6218">
        <w:rPr>
          <w:lang w:val="fr-CA"/>
        </w:rPr>
        <w:t>, a</w:t>
      </w:r>
      <w:r w:rsidR="00D61E64" w:rsidRPr="009C6218">
        <w:rPr>
          <w:lang w:val="fr-CA"/>
        </w:rPr>
        <w:t>u</w:t>
      </w:r>
      <w:r w:rsidR="00A556EE" w:rsidRPr="009C6218">
        <w:rPr>
          <w:lang w:val="fr-CA"/>
        </w:rPr>
        <w:t xml:space="preserve"> para. 68, </w:t>
      </w:r>
      <w:r w:rsidR="00D61E64" w:rsidRPr="009C6218">
        <w:rPr>
          <w:lang w:val="fr-CA"/>
        </w:rPr>
        <w:t>la juge</w:t>
      </w:r>
      <w:r w:rsidR="00A556EE" w:rsidRPr="009C6218">
        <w:rPr>
          <w:lang w:val="fr-CA"/>
        </w:rPr>
        <w:t xml:space="preserve"> Abella</w:t>
      </w:r>
      <w:r w:rsidR="00D61E64" w:rsidRPr="009C6218">
        <w:rPr>
          <w:lang w:val="fr-CA"/>
        </w:rPr>
        <w:t xml:space="preserve"> l’a décrit comme une « retenue pleine de dignité »</w:t>
      </w:r>
      <w:r w:rsidR="00A556EE" w:rsidRPr="009C6218">
        <w:rPr>
          <w:lang w:val="fr-CA"/>
        </w:rPr>
        <w:t>.</w:t>
      </w:r>
    </w:p>
    <w:p w14:paraId="68046569" w14:textId="70D62C20" w:rsidR="005C2288" w:rsidRPr="009C6218" w:rsidRDefault="00A12AD0" w:rsidP="0005557C">
      <w:pPr>
        <w:numPr>
          <w:ilvl w:val="0"/>
          <w:numId w:val="1"/>
        </w:numPr>
        <w:spacing w:after="200" w:line="276" w:lineRule="auto"/>
        <w:ind w:left="567" w:hanging="567"/>
        <w:rPr>
          <w:b/>
          <w:lang w:val="fr-CA"/>
        </w:rPr>
      </w:pPr>
      <w:r w:rsidRPr="009C6218">
        <w:rPr>
          <w:lang w:val="fr-CA"/>
        </w:rPr>
        <w:t>Le comité d’audition doit examiner la manière dont la juge de paix a exprimé son opinion dans l’Article</w:t>
      </w:r>
      <w:r w:rsidR="00DD4925" w:rsidRPr="009C6218">
        <w:rPr>
          <w:lang w:val="fr-CA"/>
        </w:rPr>
        <w:t>, ainsi que s</w:t>
      </w:r>
      <w:r w:rsidRPr="009C6218">
        <w:rPr>
          <w:lang w:val="fr-CA"/>
        </w:rPr>
        <w:t xml:space="preserve">on choix de </w:t>
      </w:r>
      <w:r w:rsidR="00DD4925" w:rsidRPr="009C6218">
        <w:rPr>
          <w:lang w:val="fr-CA"/>
        </w:rPr>
        <w:t>mots</w:t>
      </w:r>
      <w:r w:rsidRPr="009C6218">
        <w:rPr>
          <w:lang w:val="fr-CA"/>
        </w:rPr>
        <w:t xml:space="preserve"> et le ton généra</w:t>
      </w:r>
      <w:r w:rsidR="002500CB">
        <w:rPr>
          <w:lang w:val="fr-CA"/>
        </w:rPr>
        <w:t>l</w:t>
      </w:r>
      <w:r w:rsidRPr="009C6218">
        <w:rPr>
          <w:lang w:val="fr-CA"/>
        </w:rPr>
        <w:t xml:space="preserve"> de l’article</w:t>
      </w:r>
      <w:r w:rsidR="005C2288" w:rsidRPr="009C6218">
        <w:rPr>
          <w:lang w:val="fr-CA"/>
        </w:rPr>
        <w:t xml:space="preserve">. </w:t>
      </w:r>
      <w:r w:rsidR="00DD4925" w:rsidRPr="009C6218">
        <w:rPr>
          <w:lang w:val="fr-CA"/>
        </w:rPr>
        <w:t xml:space="preserve">Les questions que nous devons nous poser sont </w:t>
      </w:r>
      <w:r w:rsidR="005C2288" w:rsidRPr="009C6218">
        <w:rPr>
          <w:lang w:val="fr-CA"/>
        </w:rPr>
        <w:t xml:space="preserve">: </w:t>
      </w:r>
      <w:r w:rsidR="00DD4925" w:rsidRPr="009C6218">
        <w:rPr>
          <w:lang w:val="fr-CA"/>
        </w:rPr>
        <w:t>le style choisi était-il plein de dignité</w:t>
      </w:r>
      <w:r w:rsidR="005C2288" w:rsidRPr="009C6218">
        <w:rPr>
          <w:lang w:val="fr-CA"/>
        </w:rPr>
        <w:t xml:space="preserve">? </w:t>
      </w:r>
      <w:r w:rsidR="00DD4925" w:rsidRPr="009C6218">
        <w:rPr>
          <w:lang w:val="fr-CA"/>
        </w:rPr>
        <w:t>civil</w:t>
      </w:r>
      <w:r w:rsidR="005C2288" w:rsidRPr="009C6218">
        <w:rPr>
          <w:lang w:val="fr-CA"/>
        </w:rPr>
        <w:t xml:space="preserve">? </w:t>
      </w:r>
      <w:r w:rsidR="00DD4925" w:rsidRPr="009C6218">
        <w:rPr>
          <w:lang w:val="fr-CA"/>
        </w:rPr>
        <w:t>juste et équilibré</w:t>
      </w:r>
      <w:r w:rsidR="005C2288" w:rsidRPr="009C6218">
        <w:rPr>
          <w:lang w:val="fr-CA"/>
        </w:rPr>
        <w:t>?</w:t>
      </w:r>
      <w:r w:rsidR="00A556EE" w:rsidRPr="009C6218">
        <w:rPr>
          <w:lang w:val="fr-CA"/>
        </w:rPr>
        <w:t xml:space="preserve"> </w:t>
      </w:r>
      <w:r w:rsidR="00DD4925" w:rsidRPr="009C6218">
        <w:rPr>
          <w:lang w:val="fr-CA"/>
        </w:rPr>
        <w:t>Nuisait-il à la perception d’impartialité ou d’intégrité de la magistrature</w:t>
      </w:r>
      <w:r w:rsidR="00A556EE" w:rsidRPr="009C6218">
        <w:rPr>
          <w:lang w:val="fr-CA"/>
        </w:rPr>
        <w:t>?</w:t>
      </w:r>
    </w:p>
    <w:p w14:paraId="0BB3651C" w14:textId="30CADB0A" w:rsidR="005C2288" w:rsidRPr="009C6218" w:rsidRDefault="00DD4925" w:rsidP="0005557C">
      <w:pPr>
        <w:numPr>
          <w:ilvl w:val="0"/>
          <w:numId w:val="1"/>
        </w:numPr>
        <w:spacing w:after="200" w:line="276" w:lineRule="auto"/>
        <w:ind w:left="567" w:hanging="567"/>
        <w:rPr>
          <w:b/>
          <w:lang w:val="fr-CA"/>
        </w:rPr>
      </w:pPr>
      <w:r w:rsidRPr="009C6218">
        <w:rPr>
          <w:lang w:val="fr-CA"/>
        </w:rPr>
        <w:t>Le titre de l’Article est « </w:t>
      </w:r>
      <w:r w:rsidR="000A45E8" w:rsidRPr="009C6218">
        <w:rPr>
          <w:lang w:val="fr-CA"/>
        </w:rPr>
        <w:t>Julie Lauzon</w:t>
      </w:r>
      <w:r w:rsidR="005C2288" w:rsidRPr="009C6218">
        <w:rPr>
          <w:lang w:val="fr-CA"/>
        </w:rPr>
        <w:t xml:space="preserve">: </w:t>
      </w:r>
      <w:proofErr w:type="spellStart"/>
      <w:r w:rsidR="005C2288" w:rsidRPr="009C6218">
        <w:rPr>
          <w:lang w:val="fr-CA"/>
        </w:rPr>
        <w:t>When</w:t>
      </w:r>
      <w:proofErr w:type="spellEnd"/>
      <w:r w:rsidR="005C2288" w:rsidRPr="009C6218">
        <w:rPr>
          <w:lang w:val="fr-CA"/>
        </w:rPr>
        <w:t xml:space="preserve"> bail courts </w:t>
      </w:r>
      <w:proofErr w:type="spellStart"/>
      <w:r w:rsidR="005C2288" w:rsidRPr="009C6218">
        <w:rPr>
          <w:lang w:val="fr-CA"/>
        </w:rPr>
        <w:t>don’t</w:t>
      </w:r>
      <w:proofErr w:type="spellEnd"/>
      <w:r w:rsidR="005C2288" w:rsidRPr="009C6218">
        <w:rPr>
          <w:lang w:val="fr-CA"/>
        </w:rPr>
        <w:t xml:space="preserve"> follow the </w:t>
      </w:r>
      <w:proofErr w:type="spellStart"/>
      <w:r w:rsidR="005C2288" w:rsidRPr="009C6218">
        <w:rPr>
          <w:lang w:val="fr-CA"/>
        </w:rPr>
        <w:t>law</w:t>
      </w:r>
      <w:proofErr w:type="spellEnd"/>
      <w:r w:rsidR="005C2288" w:rsidRPr="009C6218">
        <w:rPr>
          <w:lang w:val="fr-CA"/>
        </w:rPr>
        <w:t xml:space="preserve"> – A justice of the </w:t>
      </w:r>
      <w:proofErr w:type="spellStart"/>
      <w:r w:rsidR="005C2288" w:rsidRPr="009C6218">
        <w:rPr>
          <w:lang w:val="fr-CA"/>
        </w:rPr>
        <w:t>peace</w:t>
      </w:r>
      <w:proofErr w:type="spellEnd"/>
      <w:r w:rsidR="005C2288" w:rsidRPr="009C6218">
        <w:rPr>
          <w:lang w:val="fr-CA"/>
        </w:rPr>
        <w:t xml:space="preserve"> in </w:t>
      </w:r>
      <w:proofErr w:type="spellStart"/>
      <w:r w:rsidR="005C2288" w:rsidRPr="009C6218">
        <w:rPr>
          <w:lang w:val="fr-CA"/>
        </w:rPr>
        <w:t>Ottawa’s</w:t>
      </w:r>
      <w:proofErr w:type="spellEnd"/>
      <w:r w:rsidR="005C2288" w:rsidRPr="009C6218">
        <w:rPr>
          <w:lang w:val="fr-CA"/>
        </w:rPr>
        <w:t xml:space="preserve"> main bail court </w:t>
      </w:r>
      <w:proofErr w:type="spellStart"/>
      <w:r w:rsidR="005C2288" w:rsidRPr="009C6218">
        <w:rPr>
          <w:lang w:val="fr-CA"/>
        </w:rPr>
        <w:t>explains</w:t>
      </w:r>
      <w:proofErr w:type="spellEnd"/>
      <w:r w:rsidR="005C2288" w:rsidRPr="009C6218">
        <w:rPr>
          <w:lang w:val="fr-CA"/>
        </w:rPr>
        <w:t xml:space="preserve"> how </w:t>
      </w:r>
      <w:proofErr w:type="spellStart"/>
      <w:r w:rsidR="005C2288" w:rsidRPr="009C6218">
        <w:rPr>
          <w:lang w:val="fr-CA"/>
        </w:rPr>
        <w:t>Canada’s</w:t>
      </w:r>
      <w:proofErr w:type="spellEnd"/>
      <w:r w:rsidR="005C2288" w:rsidRPr="009C6218">
        <w:rPr>
          <w:lang w:val="fr-CA"/>
        </w:rPr>
        <w:t xml:space="preserve"> bail system </w:t>
      </w:r>
      <w:proofErr w:type="spellStart"/>
      <w:r w:rsidR="005C2288" w:rsidRPr="009C6218">
        <w:rPr>
          <w:lang w:val="fr-CA"/>
        </w:rPr>
        <w:t>is</w:t>
      </w:r>
      <w:proofErr w:type="spellEnd"/>
      <w:r w:rsidR="005C2288" w:rsidRPr="009C6218">
        <w:rPr>
          <w:lang w:val="fr-CA"/>
        </w:rPr>
        <w:t xml:space="preserve"> </w:t>
      </w:r>
      <w:proofErr w:type="spellStart"/>
      <w:r w:rsidR="005C2288" w:rsidRPr="009C6218">
        <w:rPr>
          <w:lang w:val="fr-CA"/>
        </w:rPr>
        <w:t>broken</w:t>
      </w:r>
      <w:proofErr w:type="spellEnd"/>
      <w:r w:rsidRPr="009C6218">
        <w:rPr>
          <w:lang w:val="fr-CA"/>
        </w:rPr>
        <w:t> »</w:t>
      </w:r>
      <w:r w:rsidR="00150489" w:rsidRPr="009C6218">
        <w:rPr>
          <w:lang w:val="fr-CA"/>
        </w:rPr>
        <w:t>.</w:t>
      </w:r>
    </w:p>
    <w:p w14:paraId="7C3A8F3A" w14:textId="5F805F2B" w:rsidR="005C2288" w:rsidRPr="009C6218" w:rsidRDefault="00DD4925" w:rsidP="0005557C">
      <w:pPr>
        <w:numPr>
          <w:ilvl w:val="0"/>
          <w:numId w:val="1"/>
        </w:numPr>
        <w:spacing w:after="200" w:line="276" w:lineRule="auto"/>
        <w:ind w:left="567" w:hanging="567"/>
        <w:rPr>
          <w:b/>
          <w:lang w:val="fr-CA"/>
        </w:rPr>
      </w:pPr>
      <w:r w:rsidRPr="009C6218">
        <w:rPr>
          <w:lang w:val="fr-CA"/>
        </w:rPr>
        <w:t>Nous commencerons notre analyse par la structure de l’Article. Il contient douze paragraphes pas numérotés. Bien que l’Article doive être lu et évalué dans son ensemble, notre analyse mettra l’accent sur les cinq paragraphes o</w:t>
      </w:r>
      <w:r w:rsidR="00A52EE8" w:rsidRPr="009C6218">
        <w:rPr>
          <w:lang w:val="fr-CA"/>
        </w:rPr>
        <w:t xml:space="preserve">ù la juge de paix a employé </w:t>
      </w:r>
      <w:r w:rsidRPr="009C6218">
        <w:rPr>
          <w:lang w:val="fr-CA"/>
        </w:rPr>
        <w:t xml:space="preserve">un langage « fort », </w:t>
      </w:r>
      <w:r w:rsidR="00A52EE8" w:rsidRPr="009C6218">
        <w:rPr>
          <w:lang w:val="fr-CA"/>
        </w:rPr>
        <w:t>selon sa description</w:t>
      </w:r>
      <w:r w:rsidRPr="009C6218">
        <w:rPr>
          <w:lang w:val="fr-CA"/>
        </w:rPr>
        <w:t xml:space="preserve">, pour faire passer le message </w:t>
      </w:r>
      <w:r w:rsidRPr="009C6218">
        <w:rPr>
          <w:lang w:val="fr-CA"/>
        </w:rPr>
        <w:lastRenderedPageBreak/>
        <w:t>que le système de mise en liberté sous caution est déf</w:t>
      </w:r>
      <w:r w:rsidR="002500CB">
        <w:rPr>
          <w:lang w:val="fr-CA"/>
        </w:rPr>
        <w:t>aillant</w:t>
      </w:r>
      <w:r w:rsidRPr="009C6218">
        <w:rPr>
          <w:lang w:val="fr-CA"/>
        </w:rPr>
        <w:t xml:space="preserve"> : </w:t>
      </w:r>
      <w:r w:rsidR="005C2288" w:rsidRPr="009C6218">
        <w:rPr>
          <w:lang w:val="fr-CA"/>
        </w:rPr>
        <w:t>paragraph</w:t>
      </w:r>
      <w:r w:rsidRPr="009C6218">
        <w:rPr>
          <w:lang w:val="fr-CA"/>
        </w:rPr>
        <w:t>e</w:t>
      </w:r>
      <w:r w:rsidR="005C2288" w:rsidRPr="009C6218">
        <w:rPr>
          <w:lang w:val="fr-CA"/>
        </w:rPr>
        <w:t xml:space="preserve">s 4-9-10-11 </w:t>
      </w:r>
      <w:r w:rsidRPr="009C6218">
        <w:rPr>
          <w:lang w:val="fr-CA"/>
        </w:rPr>
        <w:t>et</w:t>
      </w:r>
      <w:r w:rsidR="005C2288" w:rsidRPr="009C6218">
        <w:rPr>
          <w:lang w:val="fr-CA"/>
        </w:rPr>
        <w:t xml:space="preserve"> 12.</w:t>
      </w:r>
    </w:p>
    <w:p w14:paraId="0B036F38" w14:textId="3A3C2F5F" w:rsidR="00AA0E75" w:rsidRPr="009C6218" w:rsidRDefault="00AA0E75" w:rsidP="00BE6325">
      <w:pPr>
        <w:pStyle w:val="Heading2"/>
        <w:rPr>
          <w:lang w:val="fr-CA"/>
        </w:rPr>
      </w:pPr>
      <w:bookmarkStart w:id="46" w:name="_Toc42946552"/>
      <w:r w:rsidRPr="009C6218">
        <w:rPr>
          <w:lang w:val="fr-CA"/>
        </w:rPr>
        <w:t>Paragraph</w:t>
      </w:r>
      <w:r w:rsidR="00DD4925" w:rsidRPr="009C6218">
        <w:rPr>
          <w:lang w:val="fr-CA"/>
        </w:rPr>
        <w:t>e</w:t>
      </w:r>
      <w:r w:rsidRPr="009C6218">
        <w:rPr>
          <w:lang w:val="fr-CA"/>
        </w:rPr>
        <w:t xml:space="preserve"> 1 – </w:t>
      </w:r>
      <w:r w:rsidR="00DD4925" w:rsidRPr="009C6218">
        <w:rPr>
          <w:lang w:val="fr-CA"/>
        </w:rPr>
        <w:t>Système de mise en liberté sous caution déf</w:t>
      </w:r>
      <w:bookmarkEnd w:id="46"/>
      <w:r w:rsidR="002500CB">
        <w:rPr>
          <w:lang w:val="fr-CA"/>
        </w:rPr>
        <w:t>aillant</w:t>
      </w:r>
      <w:r w:rsidR="00DD4925" w:rsidRPr="009C6218">
        <w:rPr>
          <w:lang w:val="fr-CA"/>
        </w:rPr>
        <w:t xml:space="preserve"> </w:t>
      </w:r>
    </w:p>
    <w:p w14:paraId="3555B8B7" w14:textId="790A2564" w:rsidR="005C2288" w:rsidRPr="009C6218" w:rsidRDefault="00A52EE8" w:rsidP="0005557C">
      <w:pPr>
        <w:numPr>
          <w:ilvl w:val="0"/>
          <w:numId w:val="1"/>
        </w:numPr>
        <w:spacing w:after="200" w:line="276" w:lineRule="auto"/>
        <w:ind w:left="567" w:hanging="567"/>
        <w:rPr>
          <w:b/>
          <w:lang w:val="fr-CA"/>
        </w:rPr>
      </w:pPr>
      <w:r w:rsidRPr="009C6218">
        <w:rPr>
          <w:lang w:val="fr-CA"/>
        </w:rPr>
        <w:t>Au premier paragraphe, la juge de paix fait observer que deux rapports ont révélé « à quel point le système de mise en liberté sous caution est défaillant au Canada » et que cela ne l’a pas surprise du tout à titre de « juge de paix siégeant au principal tribunal chargé de la mise en liberté sous caution d’Ottawa »</w:t>
      </w:r>
      <w:r w:rsidR="005C2288" w:rsidRPr="009C6218">
        <w:rPr>
          <w:lang w:val="fr-CA"/>
        </w:rPr>
        <w:t>.</w:t>
      </w:r>
    </w:p>
    <w:p w14:paraId="349C1674" w14:textId="5D055675" w:rsidR="005C2288" w:rsidRPr="009C6218" w:rsidRDefault="00A52EE8" w:rsidP="0005557C">
      <w:pPr>
        <w:numPr>
          <w:ilvl w:val="0"/>
          <w:numId w:val="1"/>
        </w:numPr>
        <w:spacing w:after="200" w:line="276" w:lineRule="auto"/>
        <w:ind w:left="567" w:hanging="567"/>
        <w:rPr>
          <w:b/>
          <w:lang w:val="fr-CA"/>
        </w:rPr>
      </w:pPr>
      <w:r w:rsidRPr="009C6218">
        <w:rPr>
          <w:lang w:val="fr-CA"/>
        </w:rPr>
        <w:t xml:space="preserve">Dans ce paragraphe, la juge de paix présente une opinion qui </w:t>
      </w:r>
      <w:r w:rsidR="002500CB">
        <w:rPr>
          <w:lang w:val="fr-CA"/>
        </w:rPr>
        <w:t xml:space="preserve">est partagée par </w:t>
      </w:r>
      <w:r w:rsidRPr="009C6218">
        <w:rPr>
          <w:lang w:val="fr-CA"/>
        </w:rPr>
        <w:t>des rapports formels critiquant le système de mise en liberté sous caution qui ont été rédigés avant et après la parution de l’Article.</w:t>
      </w:r>
      <w:r w:rsidR="002500CB">
        <w:rPr>
          <w:lang w:val="fr-CA"/>
        </w:rPr>
        <w:t xml:space="preserve"> </w:t>
      </w:r>
      <w:r w:rsidRPr="009C6218">
        <w:rPr>
          <w:lang w:val="fr-CA"/>
        </w:rPr>
        <w:t xml:space="preserve">Ce sont des faits et il n’y a </w:t>
      </w:r>
      <w:r w:rsidR="002500CB">
        <w:rPr>
          <w:lang w:val="fr-CA"/>
        </w:rPr>
        <w:t>rien à dire à ce sujet</w:t>
      </w:r>
      <w:r w:rsidRPr="009C6218">
        <w:rPr>
          <w:lang w:val="fr-CA"/>
        </w:rPr>
        <w:t>.</w:t>
      </w:r>
    </w:p>
    <w:p w14:paraId="0B0DB26A" w14:textId="5A270B01" w:rsidR="008B3DD8" w:rsidRPr="009C6218" w:rsidRDefault="00AA0E75" w:rsidP="00BE6325">
      <w:pPr>
        <w:pStyle w:val="Heading2"/>
        <w:spacing w:after="360"/>
        <w:rPr>
          <w:lang w:val="fr-CA"/>
        </w:rPr>
      </w:pPr>
      <w:bookmarkStart w:id="47" w:name="_Toc42946553"/>
      <w:r w:rsidRPr="009C6218">
        <w:rPr>
          <w:lang w:val="fr-CA"/>
        </w:rPr>
        <w:t>Paragraph</w:t>
      </w:r>
      <w:r w:rsidR="00DD4925" w:rsidRPr="009C6218">
        <w:rPr>
          <w:lang w:val="fr-CA"/>
        </w:rPr>
        <w:t xml:space="preserve">e </w:t>
      </w:r>
      <w:r w:rsidRPr="009C6218">
        <w:rPr>
          <w:lang w:val="fr-CA"/>
        </w:rPr>
        <w:t xml:space="preserve">2 – </w:t>
      </w:r>
      <w:r w:rsidR="00A52EE8" w:rsidRPr="009C6218">
        <w:rPr>
          <w:lang w:val="fr-CA"/>
        </w:rPr>
        <w:t>Droit à la mise en liberté sous caution et à la première comparution par vidéo</w:t>
      </w:r>
      <w:bookmarkEnd w:id="47"/>
      <w:r w:rsidR="00A52EE8" w:rsidRPr="009C6218">
        <w:rPr>
          <w:lang w:val="fr-CA"/>
        </w:rPr>
        <w:t xml:space="preserve"> </w:t>
      </w:r>
    </w:p>
    <w:p w14:paraId="4F43B7E6" w14:textId="1C7E5DE4" w:rsidR="005C2288" w:rsidRPr="009C6218" w:rsidRDefault="00A52EE8" w:rsidP="00BE6325">
      <w:pPr>
        <w:numPr>
          <w:ilvl w:val="0"/>
          <w:numId w:val="1"/>
        </w:numPr>
        <w:spacing w:after="360" w:line="276" w:lineRule="auto"/>
        <w:ind w:left="567" w:hanging="567"/>
        <w:rPr>
          <w:b/>
          <w:lang w:val="fr-CA"/>
        </w:rPr>
      </w:pPr>
      <w:r w:rsidRPr="009C6218">
        <w:rPr>
          <w:lang w:val="fr-CA"/>
        </w:rPr>
        <w:t xml:space="preserve">Au deuxième paragraphe, </w:t>
      </w:r>
      <w:r w:rsidR="002A4364" w:rsidRPr="009C6218">
        <w:rPr>
          <w:lang w:val="fr-CA"/>
        </w:rPr>
        <w:t>la juge de paix aborde le sujet de la présomption d’innocence et du droit à une mise en liberté sous caution raisonnable. Elle mentionne aussi que lors de la première comparution, les détenus sont paradés devant une caméra, en menottes et entraves aux pieds, pour comparaître devant un juge de paix</w:t>
      </w:r>
      <w:r w:rsidR="005C2288" w:rsidRPr="009C6218">
        <w:rPr>
          <w:lang w:val="fr-CA"/>
        </w:rPr>
        <w:t xml:space="preserve">. </w:t>
      </w:r>
      <w:r w:rsidR="002A4364" w:rsidRPr="009C6218">
        <w:rPr>
          <w:lang w:val="fr-CA"/>
        </w:rPr>
        <w:t>La juge de paix fait observer qu’on est censé demander au détenu s’il veut comparaître par vidéo ou en personne « mais que personne ne le fait en général »</w:t>
      </w:r>
      <w:r w:rsidR="005C2288" w:rsidRPr="009C6218">
        <w:rPr>
          <w:lang w:val="fr-CA"/>
        </w:rPr>
        <w:t>.</w:t>
      </w:r>
    </w:p>
    <w:p w14:paraId="44CBCE09" w14:textId="7F61875D" w:rsidR="005C2288" w:rsidRPr="009C6218" w:rsidRDefault="002A4364" w:rsidP="0005557C">
      <w:pPr>
        <w:numPr>
          <w:ilvl w:val="0"/>
          <w:numId w:val="1"/>
        </w:numPr>
        <w:spacing w:after="200" w:line="276" w:lineRule="auto"/>
        <w:ind w:left="567" w:hanging="567"/>
        <w:rPr>
          <w:b/>
          <w:lang w:val="fr-CA"/>
        </w:rPr>
      </w:pPr>
      <w:r w:rsidRPr="009C6218">
        <w:rPr>
          <w:lang w:val="fr-CA"/>
        </w:rPr>
        <w:t>La première phrase de ce paragraphe est neutre et factuelle dans sa description de la présomption d’innocence et du droit à une mise en liberté sous caution raisonnable. Dans la deuxième partie du paragraphe, la juge de paix mentionne pour la première fois les comparutions par vidéo. Dans son témoignage, elle a aussi appelé la vidéo le « </w:t>
      </w:r>
      <w:proofErr w:type="spellStart"/>
      <w:r w:rsidRPr="009C6218">
        <w:rPr>
          <w:lang w:val="fr-CA"/>
        </w:rPr>
        <w:t>polycom</w:t>
      </w:r>
      <w:proofErr w:type="spellEnd"/>
      <w:r w:rsidRPr="009C6218">
        <w:rPr>
          <w:lang w:val="fr-CA"/>
        </w:rPr>
        <w:t> ».</w:t>
      </w:r>
      <w:r w:rsidR="005C2288" w:rsidRPr="009C6218">
        <w:rPr>
          <w:lang w:val="fr-CA"/>
        </w:rPr>
        <w:t xml:space="preserve"> </w:t>
      </w:r>
      <w:r w:rsidRPr="009C6218">
        <w:rPr>
          <w:lang w:val="fr-CA"/>
        </w:rPr>
        <w:t>La juge de paix revient sur les comparutions par vidéo au paragraphe 10 où elle les décrit comme « </w:t>
      </w:r>
      <w:r w:rsidR="00606E2C" w:rsidRPr="009C6218">
        <w:rPr>
          <w:lang w:val="fr-CA"/>
        </w:rPr>
        <w:t>forcées » et « précipitées »</w:t>
      </w:r>
      <w:r w:rsidR="005C2288" w:rsidRPr="009C6218">
        <w:rPr>
          <w:lang w:val="fr-CA"/>
        </w:rPr>
        <w:t xml:space="preserve">. </w:t>
      </w:r>
      <w:r w:rsidR="00606E2C" w:rsidRPr="009C6218">
        <w:rPr>
          <w:lang w:val="fr-CA"/>
        </w:rPr>
        <w:t xml:space="preserve">Notre analyse du caractère juste et équilibré des renvois à l’emploi de la vidéo sera présentée dans notre examen du paragraphe </w:t>
      </w:r>
      <w:r w:rsidR="005C2288" w:rsidRPr="009C6218">
        <w:rPr>
          <w:lang w:val="fr-CA"/>
        </w:rPr>
        <w:t>10.</w:t>
      </w:r>
    </w:p>
    <w:p w14:paraId="29DEBACA" w14:textId="5B92F12C" w:rsidR="008B3DD8" w:rsidRPr="009C6218" w:rsidRDefault="00AA0E75" w:rsidP="00BE6325">
      <w:pPr>
        <w:pStyle w:val="Heading2"/>
        <w:rPr>
          <w:lang w:val="fr-CA"/>
        </w:rPr>
      </w:pPr>
      <w:bookmarkStart w:id="48" w:name="_Toc42946554"/>
      <w:r w:rsidRPr="009C6218">
        <w:rPr>
          <w:lang w:val="fr-CA"/>
        </w:rPr>
        <w:t>Paragraph</w:t>
      </w:r>
      <w:r w:rsidR="00606E2C" w:rsidRPr="009C6218">
        <w:rPr>
          <w:lang w:val="fr-CA"/>
        </w:rPr>
        <w:t>e</w:t>
      </w:r>
      <w:r w:rsidRPr="009C6218">
        <w:rPr>
          <w:lang w:val="fr-CA"/>
        </w:rPr>
        <w:t xml:space="preserve"> 3 –</w:t>
      </w:r>
      <w:r w:rsidR="007D1722" w:rsidRPr="009C6218">
        <w:rPr>
          <w:lang w:val="fr-CA"/>
        </w:rPr>
        <w:t xml:space="preserve"> </w:t>
      </w:r>
      <w:r w:rsidR="00226E89" w:rsidRPr="009C6218">
        <w:rPr>
          <w:lang w:val="fr-CA"/>
        </w:rPr>
        <w:t>Renvois et libérations sur consentement</w:t>
      </w:r>
      <w:r w:rsidR="00776713">
        <w:rPr>
          <w:lang w:val="fr-CA"/>
        </w:rPr>
        <w:t>,</w:t>
      </w:r>
      <w:r w:rsidR="00226E89" w:rsidRPr="009C6218">
        <w:rPr>
          <w:lang w:val="fr-CA"/>
        </w:rPr>
        <w:t xml:space="preserve"> </w:t>
      </w:r>
      <w:r w:rsidRPr="009C6218">
        <w:rPr>
          <w:lang w:val="fr-CA"/>
        </w:rPr>
        <w:t>etc.</w:t>
      </w:r>
      <w:bookmarkEnd w:id="48"/>
    </w:p>
    <w:p w14:paraId="2838F4CC" w14:textId="269ECBEE" w:rsidR="005C2288" w:rsidRPr="009C6218" w:rsidRDefault="00226E89" w:rsidP="0005557C">
      <w:pPr>
        <w:numPr>
          <w:ilvl w:val="0"/>
          <w:numId w:val="1"/>
        </w:numPr>
        <w:spacing w:after="200" w:line="276" w:lineRule="auto"/>
        <w:ind w:left="567" w:hanging="567"/>
        <w:rPr>
          <w:b/>
          <w:lang w:val="fr-CA"/>
        </w:rPr>
      </w:pPr>
      <w:r w:rsidRPr="009C6218">
        <w:rPr>
          <w:lang w:val="fr-CA"/>
        </w:rPr>
        <w:t>Il n’y a rien à signaler au sujet de ce paragraphe. Il décrit dans un langage neutre ce qui se produit s</w:t>
      </w:r>
      <w:r w:rsidR="00A46B2E">
        <w:rPr>
          <w:lang w:val="fr-CA"/>
        </w:rPr>
        <w:t>ouve</w:t>
      </w:r>
      <w:r w:rsidRPr="009C6218">
        <w:rPr>
          <w:lang w:val="fr-CA"/>
        </w:rPr>
        <w:t>nt lors de la première comparution</w:t>
      </w:r>
      <w:r w:rsidR="005C2288" w:rsidRPr="009C6218">
        <w:rPr>
          <w:lang w:val="fr-CA"/>
        </w:rPr>
        <w:t xml:space="preserve">. </w:t>
      </w:r>
    </w:p>
    <w:p w14:paraId="08360A46" w14:textId="6789A8D5" w:rsidR="008B3DD8" w:rsidRPr="009C6218" w:rsidRDefault="00AA0E75" w:rsidP="00BE6325">
      <w:pPr>
        <w:pStyle w:val="Heading2"/>
        <w:rPr>
          <w:lang w:val="fr-CA"/>
        </w:rPr>
      </w:pPr>
      <w:bookmarkStart w:id="49" w:name="_Toc42946555"/>
      <w:r w:rsidRPr="009C6218">
        <w:rPr>
          <w:lang w:val="fr-CA"/>
        </w:rPr>
        <w:t>Paragraph</w:t>
      </w:r>
      <w:r w:rsidR="00606E2C" w:rsidRPr="009C6218">
        <w:rPr>
          <w:lang w:val="fr-CA"/>
        </w:rPr>
        <w:t>e</w:t>
      </w:r>
      <w:r w:rsidRPr="009C6218">
        <w:rPr>
          <w:lang w:val="fr-CA"/>
        </w:rPr>
        <w:t xml:space="preserve"> 4 – </w:t>
      </w:r>
      <w:r w:rsidR="00226E89" w:rsidRPr="009C6218">
        <w:rPr>
          <w:lang w:val="fr-CA"/>
        </w:rPr>
        <w:t>La loi s</w:t>
      </w:r>
      <w:r w:rsidR="003D3F46" w:rsidRPr="009C6218">
        <w:rPr>
          <w:lang w:val="fr-CA"/>
        </w:rPr>
        <w:t>’est</w:t>
      </w:r>
      <w:r w:rsidR="00226E89" w:rsidRPr="009C6218">
        <w:rPr>
          <w:lang w:val="fr-CA"/>
        </w:rPr>
        <w:t xml:space="preserve"> volatilis</w:t>
      </w:r>
      <w:r w:rsidR="003D3F46" w:rsidRPr="009C6218">
        <w:rPr>
          <w:lang w:val="fr-CA"/>
        </w:rPr>
        <w:t>é</w:t>
      </w:r>
      <w:r w:rsidR="00226E89" w:rsidRPr="009C6218">
        <w:rPr>
          <w:lang w:val="fr-CA"/>
        </w:rPr>
        <w:t xml:space="preserve">e; le cynisme et l’intimidation </w:t>
      </w:r>
      <w:bookmarkEnd w:id="49"/>
      <w:r w:rsidR="00A46B2E">
        <w:rPr>
          <w:lang w:val="fr-CA"/>
        </w:rPr>
        <w:t>règnent</w:t>
      </w:r>
      <w:r w:rsidR="00226E89" w:rsidRPr="009C6218">
        <w:rPr>
          <w:lang w:val="fr-CA"/>
        </w:rPr>
        <w:t xml:space="preserve"> </w:t>
      </w:r>
    </w:p>
    <w:p w14:paraId="36D7B04E" w14:textId="23A8DB27" w:rsidR="005C2288" w:rsidRPr="009C6218" w:rsidRDefault="00226E89" w:rsidP="0005557C">
      <w:pPr>
        <w:numPr>
          <w:ilvl w:val="0"/>
          <w:numId w:val="1"/>
        </w:numPr>
        <w:spacing w:after="200" w:line="276" w:lineRule="auto"/>
        <w:ind w:left="567" w:hanging="567"/>
        <w:rPr>
          <w:b/>
          <w:lang w:val="fr-CA"/>
        </w:rPr>
      </w:pPr>
      <w:r w:rsidRPr="009C6218">
        <w:rPr>
          <w:lang w:val="fr-CA"/>
        </w:rPr>
        <w:lastRenderedPageBreak/>
        <w:t>Dans ce paragraphe, la juge de paix déclare : « </w:t>
      </w:r>
      <w:r w:rsidR="003D3F46" w:rsidRPr="009C6218">
        <w:rPr>
          <w:lang w:val="fr-CA"/>
        </w:rPr>
        <w:t>À</w:t>
      </w:r>
      <w:r w:rsidRPr="009C6218">
        <w:rPr>
          <w:lang w:val="fr-CA"/>
        </w:rPr>
        <w:t xml:space="preserve"> </w:t>
      </w:r>
      <w:r w:rsidR="003D3F46" w:rsidRPr="009C6218">
        <w:rPr>
          <w:lang w:val="fr-CA"/>
        </w:rPr>
        <w:t xml:space="preserve">partir de </w:t>
      </w:r>
      <w:r w:rsidRPr="009C6218">
        <w:rPr>
          <w:lang w:val="fr-CA"/>
        </w:rPr>
        <w:t>ce moment-là</w:t>
      </w:r>
      <w:r w:rsidR="003D3F46" w:rsidRPr="009C6218">
        <w:rPr>
          <w:lang w:val="fr-CA"/>
        </w:rPr>
        <w:t>,</w:t>
      </w:r>
      <w:r w:rsidRPr="009C6218">
        <w:rPr>
          <w:lang w:val="fr-CA"/>
        </w:rPr>
        <w:t xml:space="preserve"> la loi s</w:t>
      </w:r>
      <w:r w:rsidR="003D3F46" w:rsidRPr="009C6218">
        <w:rPr>
          <w:lang w:val="fr-CA"/>
        </w:rPr>
        <w:t>’est</w:t>
      </w:r>
      <w:r w:rsidRPr="009C6218">
        <w:rPr>
          <w:lang w:val="fr-CA"/>
        </w:rPr>
        <w:t xml:space="preserve"> volatilis</w:t>
      </w:r>
      <w:r w:rsidR="003D3F46" w:rsidRPr="009C6218">
        <w:rPr>
          <w:lang w:val="fr-CA"/>
        </w:rPr>
        <w:t>é</w:t>
      </w:r>
      <w:r w:rsidRPr="009C6218">
        <w:rPr>
          <w:lang w:val="fr-CA"/>
        </w:rPr>
        <w:t xml:space="preserve">e et le cynisme et l’intimidation </w:t>
      </w:r>
      <w:r w:rsidR="00A46B2E">
        <w:rPr>
          <w:lang w:val="fr-CA"/>
        </w:rPr>
        <w:t>règnent</w:t>
      </w:r>
      <w:r w:rsidRPr="009C6218">
        <w:rPr>
          <w:lang w:val="fr-CA"/>
        </w:rPr>
        <w:t>. Ici, à Ottawa, la plupart du temps, le juge de paix est informé que la personne est libérée et on lui communique les conditions de la mise en liberté qui ont déjà été enregistrées dans le système. »</w:t>
      </w:r>
      <w:r w:rsidR="00594239" w:rsidRPr="009C6218">
        <w:rPr>
          <w:lang w:val="fr-CA"/>
        </w:rPr>
        <w:t xml:space="preserve"> </w:t>
      </w:r>
    </w:p>
    <w:p w14:paraId="128184BA" w14:textId="6499A6B6" w:rsidR="00594239" w:rsidRPr="009C6218" w:rsidRDefault="00226E89" w:rsidP="0005557C">
      <w:pPr>
        <w:numPr>
          <w:ilvl w:val="0"/>
          <w:numId w:val="1"/>
        </w:numPr>
        <w:spacing w:after="200" w:line="276" w:lineRule="auto"/>
        <w:ind w:left="567" w:hanging="567"/>
        <w:rPr>
          <w:b/>
          <w:lang w:val="fr-CA"/>
        </w:rPr>
      </w:pPr>
      <w:r w:rsidRPr="009C6218">
        <w:rPr>
          <w:lang w:val="fr-CA"/>
        </w:rPr>
        <w:t>Dans ce paragraphe</w:t>
      </w:r>
      <w:r w:rsidR="00CA3EB1" w:rsidRPr="009C6218">
        <w:rPr>
          <w:lang w:val="fr-CA"/>
        </w:rPr>
        <w:t>,</w:t>
      </w:r>
      <w:r w:rsidR="00594239" w:rsidRPr="009C6218">
        <w:rPr>
          <w:lang w:val="fr-CA"/>
        </w:rPr>
        <w:t xml:space="preserve"> </w:t>
      </w:r>
      <w:r w:rsidRPr="009C6218">
        <w:rPr>
          <w:lang w:val="fr-CA"/>
        </w:rPr>
        <w:t xml:space="preserve">ainsi qu’aux paragraphes </w:t>
      </w:r>
      <w:r w:rsidR="00594239" w:rsidRPr="009C6218">
        <w:rPr>
          <w:lang w:val="fr-CA"/>
        </w:rPr>
        <w:t>5</w:t>
      </w:r>
      <w:r w:rsidRPr="009C6218">
        <w:rPr>
          <w:lang w:val="fr-CA"/>
        </w:rPr>
        <w:t xml:space="preserve"> à </w:t>
      </w:r>
      <w:r w:rsidR="00594239" w:rsidRPr="009C6218">
        <w:rPr>
          <w:lang w:val="fr-CA"/>
        </w:rPr>
        <w:t xml:space="preserve">8, </w:t>
      </w:r>
      <w:r w:rsidRPr="009C6218">
        <w:rPr>
          <w:lang w:val="fr-CA"/>
        </w:rPr>
        <w:t>la juge de paix parle des conditions assortissant la mise en liberté sous caution et du rôle réduit que jouent les juges de paix à son avis</w:t>
      </w:r>
      <w:r w:rsidR="00D16808" w:rsidRPr="009C6218">
        <w:rPr>
          <w:lang w:val="fr-CA"/>
        </w:rPr>
        <w:t>.</w:t>
      </w:r>
      <w:r w:rsidR="00594239" w:rsidRPr="009C6218">
        <w:rPr>
          <w:lang w:val="fr-CA"/>
        </w:rPr>
        <w:t xml:space="preserve"> </w:t>
      </w:r>
      <w:r w:rsidRPr="009C6218">
        <w:rPr>
          <w:lang w:val="fr-CA"/>
        </w:rPr>
        <w:t>La juge de paix fait aussi observer que cette étape du processus est déséquilibrée et injuste, en précisant que c’est à cause de la conduite intimidante et du cynisme des procureurs de la Couronne</w:t>
      </w:r>
      <w:r w:rsidR="00D16808" w:rsidRPr="009C6218">
        <w:rPr>
          <w:lang w:val="fr-CA"/>
        </w:rPr>
        <w:t>.</w:t>
      </w:r>
    </w:p>
    <w:p w14:paraId="0B937AA1" w14:textId="590A4175" w:rsidR="005C2288" w:rsidRPr="009C6218" w:rsidRDefault="00D238FF" w:rsidP="0005557C">
      <w:pPr>
        <w:numPr>
          <w:ilvl w:val="0"/>
          <w:numId w:val="1"/>
        </w:numPr>
        <w:spacing w:after="200" w:line="276" w:lineRule="auto"/>
        <w:ind w:left="567" w:hanging="567"/>
        <w:rPr>
          <w:b/>
          <w:lang w:val="fr-CA"/>
        </w:rPr>
      </w:pPr>
      <w:r w:rsidRPr="009C6218">
        <w:rPr>
          <w:bCs/>
          <w:lang w:val="fr-CA"/>
        </w:rPr>
        <w:t xml:space="preserve">Au paragraphe </w:t>
      </w:r>
      <w:r w:rsidR="005C2288" w:rsidRPr="009C6218">
        <w:rPr>
          <w:lang w:val="fr-CA"/>
        </w:rPr>
        <w:t>5</w:t>
      </w:r>
      <w:r w:rsidR="00CA3EB1" w:rsidRPr="009C6218">
        <w:rPr>
          <w:lang w:val="fr-CA"/>
        </w:rPr>
        <w:t>,</w:t>
      </w:r>
      <w:r w:rsidR="005C2288" w:rsidRPr="009C6218">
        <w:rPr>
          <w:lang w:val="fr-CA"/>
        </w:rPr>
        <w:t xml:space="preserve"> </w:t>
      </w:r>
      <w:r w:rsidRPr="009C6218">
        <w:rPr>
          <w:lang w:val="fr-CA"/>
        </w:rPr>
        <w:t xml:space="preserve">la juge de paix déclare : « Malheur au juge de paix qui oserait demander la justification de ces conditions. » Elle explique ensuite que c’est le juge de paix qui a la responsabilité de s’assurer que les conditions sont raisonnables, légales et adéquates, et que les conditions doivent être justifiées. Dans son témoignage, elle a précisé ce qu’elle </w:t>
      </w:r>
      <w:r w:rsidR="007A57C5" w:rsidRPr="009C6218">
        <w:rPr>
          <w:lang w:val="fr-CA"/>
        </w:rPr>
        <w:t>voulait dire par « Malheur » (« </w:t>
      </w:r>
      <w:proofErr w:type="spellStart"/>
      <w:r w:rsidR="007A57C5" w:rsidRPr="009C6218">
        <w:rPr>
          <w:lang w:val="fr-CA"/>
        </w:rPr>
        <w:t>pity</w:t>
      </w:r>
      <w:proofErr w:type="spellEnd"/>
      <w:r w:rsidR="007A57C5" w:rsidRPr="009C6218">
        <w:rPr>
          <w:lang w:val="fr-CA"/>
        </w:rPr>
        <w:t> » dans la version anglaise). Elle faisait référence à la réaction qu’elle a reçue lorsqu’elle a remis en question l’opportunité de certaines conditions proposées, même si la défense était d’accord avec le procureur de la Couronne d’imposer ces conditions. La juge de paix exprime</w:t>
      </w:r>
      <w:r w:rsidR="006E24A7">
        <w:rPr>
          <w:lang w:val="fr-CA"/>
        </w:rPr>
        <w:t>,</w:t>
      </w:r>
      <w:r w:rsidR="007A57C5" w:rsidRPr="009C6218">
        <w:rPr>
          <w:lang w:val="fr-CA"/>
        </w:rPr>
        <w:t xml:space="preserve"> dans le prochain paragraphe</w:t>
      </w:r>
      <w:r w:rsidR="006E24A7">
        <w:rPr>
          <w:lang w:val="fr-CA"/>
        </w:rPr>
        <w:t>,</w:t>
      </w:r>
      <w:r w:rsidR="007A57C5" w:rsidRPr="009C6218">
        <w:rPr>
          <w:lang w:val="fr-CA"/>
        </w:rPr>
        <w:t xml:space="preserve"> </w:t>
      </w:r>
      <w:r w:rsidR="006E24A7" w:rsidRPr="009C6218">
        <w:rPr>
          <w:lang w:val="fr-CA"/>
        </w:rPr>
        <w:t xml:space="preserve">son opinion </w:t>
      </w:r>
      <w:r w:rsidR="006E24A7">
        <w:rPr>
          <w:lang w:val="fr-CA"/>
        </w:rPr>
        <w:t>sur</w:t>
      </w:r>
      <w:r w:rsidR="007A57C5" w:rsidRPr="009C6218">
        <w:rPr>
          <w:lang w:val="fr-CA"/>
        </w:rPr>
        <w:t xml:space="preserve"> la raison de la réaction qu’elle prétend avoir suscitée</w:t>
      </w:r>
      <w:r w:rsidR="00342D07" w:rsidRPr="009C6218">
        <w:rPr>
          <w:lang w:val="fr-CA"/>
        </w:rPr>
        <w:t>.</w:t>
      </w:r>
    </w:p>
    <w:p w14:paraId="566A5E84" w14:textId="236E3808" w:rsidR="00AA0E75" w:rsidRPr="009C6218" w:rsidRDefault="007A57C5" w:rsidP="0005557C">
      <w:pPr>
        <w:numPr>
          <w:ilvl w:val="0"/>
          <w:numId w:val="1"/>
        </w:numPr>
        <w:spacing w:after="200" w:line="276" w:lineRule="auto"/>
        <w:ind w:left="567" w:hanging="567"/>
        <w:rPr>
          <w:b/>
          <w:lang w:val="fr-CA"/>
        </w:rPr>
      </w:pPr>
      <w:r w:rsidRPr="009C6218">
        <w:rPr>
          <w:lang w:val="fr-CA"/>
        </w:rPr>
        <w:t xml:space="preserve">Au paragraphe </w:t>
      </w:r>
      <w:r w:rsidR="005C2288" w:rsidRPr="009C6218">
        <w:rPr>
          <w:lang w:val="fr-CA"/>
        </w:rPr>
        <w:t>6</w:t>
      </w:r>
      <w:r w:rsidR="00490E7C" w:rsidRPr="009C6218">
        <w:rPr>
          <w:lang w:val="fr-CA"/>
        </w:rPr>
        <w:t>,</w:t>
      </w:r>
      <w:r w:rsidR="005C2288" w:rsidRPr="009C6218">
        <w:rPr>
          <w:lang w:val="fr-CA"/>
        </w:rPr>
        <w:t xml:space="preserve"> </w:t>
      </w:r>
      <w:r w:rsidRPr="009C6218">
        <w:rPr>
          <w:lang w:val="fr-CA"/>
        </w:rPr>
        <w:t>la juge de paix indique que certains avocats croient que comme ils consentent aux conditions de la mise en liberté, ces dernières constituent des observations conjointes au sujet de la peine et que le tribunal devrait les accepter.</w:t>
      </w:r>
    </w:p>
    <w:p w14:paraId="6C0C2E8C" w14:textId="126FE22C" w:rsidR="005C2288" w:rsidRPr="009C6218" w:rsidRDefault="007A57C5" w:rsidP="0005557C">
      <w:pPr>
        <w:numPr>
          <w:ilvl w:val="0"/>
          <w:numId w:val="1"/>
        </w:numPr>
        <w:spacing w:after="200" w:line="276" w:lineRule="auto"/>
        <w:ind w:left="567" w:hanging="567"/>
        <w:rPr>
          <w:b/>
          <w:lang w:val="fr-CA"/>
        </w:rPr>
      </w:pPr>
      <w:r w:rsidRPr="009C6218">
        <w:rPr>
          <w:lang w:val="fr-CA"/>
        </w:rPr>
        <w:t xml:space="preserve">Au paragraphe </w:t>
      </w:r>
      <w:r w:rsidR="005C2288" w:rsidRPr="009C6218">
        <w:rPr>
          <w:lang w:val="fr-CA"/>
        </w:rPr>
        <w:t>7</w:t>
      </w:r>
      <w:r w:rsidR="002434F0" w:rsidRPr="009C6218">
        <w:rPr>
          <w:lang w:val="fr-CA"/>
        </w:rPr>
        <w:t>,</w:t>
      </w:r>
      <w:r w:rsidR="005C2288" w:rsidRPr="009C6218">
        <w:rPr>
          <w:lang w:val="fr-CA"/>
        </w:rPr>
        <w:t xml:space="preserve"> </w:t>
      </w:r>
      <w:r w:rsidRPr="009C6218">
        <w:rPr>
          <w:lang w:val="fr-CA"/>
        </w:rPr>
        <w:t>la juge de paix explique les différences « monumentales » entre les étapes de la mise en liberté sous caution et du prononcé de la peine. La première, explique-t-elle, repose sur la présomption d’innocence à l’étape du cautionnement, alors que la deuxième repose sur un effort d’équité dans la négociation de la peine</w:t>
      </w:r>
      <w:r w:rsidR="005C2288" w:rsidRPr="009C6218">
        <w:rPr>
          <w:lang w:val="fr-CA"/>
        </w:rPr>
        <w:t xml:space="preserve">. </w:t>
      </w:r>
      <w:r w:rsidRPr="009C6218">
        <w:rPr>
          <w:lang w:val="fr-CA"/>
        </w:rPr>
        <w:t xml:space="preserve">À l’étape de la mise en liberté sous caution, seul le procureur de la Couronne peut accepter la mise en liberté. Si les conditions que propose la défense ne sont pas acceptées par le procureur de la Couronne, le détenu risque de devoir demeurer en détention et attendre une </w:t>
      </w:r>
      <w:r w:rsidR="006E24A7">
        <w:rPr>
          <w:lang w:val="fr-CA"/>
        </w:rPr>
        <w:t>audience de mise en liberté sous caution</w:t>
      </w:r>
      <w:r w:rsidRPr="009C6218">
        <w:rPr>
          <w:lang w:val="fr-CA"/>
        </w:rPr>
        <w:t xml:space="preserve">. </w:t>
      </w:r>
    </w:p>
    <w:p w14:paraId="5787650E" w14:textId="054336D8" w:rsidR="00AA0E75" w:rsidRPr="009C6218" w:rsidRDefault="009B58B4" w:rsidP="0005557C">
      <w:pPr>
        <w:numPr>
          <w:ilvl w:val="0"/>
          <w:numId w:val="1"/>
        </w:numPr>
        <w:spacing w:after="200" w:line="276" w:lineRule="auto"/>
        <w:ind w:left="567" w:hanging="567"/>
        <w:rPr>
          <w:b/>
          <w:lang w:val="fr-CA"/>
        </w:rPr>
      </w:pPr>
      <w:r w:rsidRPr="009C6218">
        <w:rPr>
          <w:lang w:val="fr-CA"/>
        </w:rPr>
        <w:t xml:space="preserve">Au paragraphe </w:t>
      </w:r>
      <w:r w:rsidR="005C2288" w:rsidRPr="009C6218">
        <w:rPr>
          <w:lang w:val="fr-CA"/>
        </w:rPr>
        <w:t xml:space="preserve">8, </w:t>
      </w:r>
      <w:r w:rsidRPr="009C6218">
        <w:rPr>
          <w:lang w:val="fr-CA"/>
        </w:rPr>
        <w:t>la juge de paix cite quelques-unes des conditions que des détenus ont acceptées, selon elle, pour la seule raison qu’ils voulaient être remis en liberté. Par exemple, un alcoolique acceptant de s’abstenir de boire ou un sans</w:t>
      </w:r>
      <w:r w:rsidR="00776713">
        <w:rPr>
          <w:lang w:val="fr-CA"/>
        </w:rPr>
        <w:t>-</w:t>
      </w:r>
      <w:r w:rsidRPr="009C6218">
        <w:rPr>
          <w:lang w:val="fr-CA"/>
        </w:rPr>
        <w:t xml:space="preserve">abri acceptant de contracter une promesse de 1 000 $. </w:t>
      </w:r>
    </w:p>
    <w:p w14:paraId="68BA6FF9" w14:textId="492283C9" w:rsidR="00CE64DF" w:rsidRPr="009C6218" w:rsidRDefault="00CE64DF" w:rsidP="00BE6325">
      <w:pPr>
        <w:pStyle w:val="Heading2"/>
        <w:rPr>
          <w:lang w:val="fr-CA"/>
        </w:rPr>
      </w:pPr>
      <w:bookmarkStart w:id="50" w:name="_Toc42946556"/>
      <w:r w:rsidRPr="009C6218">
        <w:rPr>
          <w:lang w:val="fr-CA"/>
        </w:rPr>
        <w:t>Paragraph</w:t>
      </w:r>
      <w:r w:rsidR="00606E2C" w:rsidRPr="009C6218">
        <w:rPr>
          <w:lang w:val="fr-CA"/>
        </w:rPr>
        <w:t>e</w:t>
      </w:r>
      <w:r w:rsidRPr="009C6218">
        <w:rPr>
          <w:lang w:val="fr-CA"/>
        </w:rPr>
        <w:t xml:space="preserve"> 9 – </w:t>
      </w:r>
      <w:r w:rsidR="00226E89" w:rsidRPr="009C6218">
        <w:rPr>
          <w:lang w:val="fr-CA"/>
        </w:rPr>
        <w:t>Les tribunaux chargés de la mise en liberté sous caution sont dysfonctionnels et les poursuivants sont des intimidateurs</w:t>
      </w:r>
      <w:bookmarkEnd w:id="50"/>
      <w:r w:rsidR="00226E89" w:rsidRPr="009C6218">
        <w:rPr>
          <w:lang w:val="fr-CA"/>
        </w:rPr>
        <w:t xml:space="preserve"> </w:t>
      </w:r>
    </w:p>
    <w:p w14:paraId="34E8DB59" w14:textId="5798CEF6" w:rsidR="005C2288" w:rsidRPr="009C6218" w:rsidRDefault="00F06038" w:rsidP="0005557C">
      <w:pPr>
        <w:numPr>
          <w:ilvl w:val="0"/>
          <w:numId w:val="1"/>
        </w:numPr>
        <w:spacing w:after="200" w:line="276" w:lineRule="auto"/>
        <w:ind w:left="567" w:hanging="567"/>
        <w:rPr>
          <w:b/>
          <w:lang w:val="fr-CA"/>
        </w:rPr>
      </w:pPr>
      <w:r w:rsidRPr="009C6218">
        <w:rPr>
          <w:lang w:val="fr-CA"/>
        </w:rPr>
        <w:lastRenderedPageBreak/>
        <w:t>Dans ce paragraphe, outre de décrire les tribunaux comme des « organismes dysfonctionnels et punitifs », la juge de paix prétend qu’elle a observé trois procureurs différents se comporter d’une manière intimidante et manquer de respect dans la salle d’audience qu’elle présidait; comportement qu’elle affirme causé par son interprétation correcte de la loi en matière de libération sous caution</w:t>
      </w:r>
      <w:r w:rsidR="005C2288" w:rsidRPr="009C6218">
        <w:rPr>
          <w:lang w:val="fr-CA"/>
        </w:rPr>
        <w:t>.</w:t>
      </w:r>
    </w:p>
    <w:p w14:paraId="6433C40A" w14:textId="2805856D" w:rsidR="005C2288" w:rsidRPr="009C6218" w:rsidRDefault="00F06038" w:rsidP="00F06038">
      <w:pPr>
        <w:numPr>
          <w:ilvl w:val="0"/>
          <w:numId w:val="1"/>
        </w:numPr>
        <w:spacing w:after="200" w:line="276" w:lineRule="auto"/>
        <w:ind w:left="567" w:hanging="567"/>
        <w:rPr>
          <w:b/>
          <w:lang w:val="fr-CA"/>
        </w:rPr>
      </w:pPr>
      <w:r w:rsidRPr="009C6218">
        <w:rPr>
          <w:lang w:val="fr-CA"/>
        </w:rPr>
        <w:t xml:space="preserve">Dans le premier cas, la juge de paix décrit un procureur qui lui a tourné le dos et a confié aux avocats de la défense qu’aucune transaction ne serait conclue tant qu’elle présidera. Bien qu’elle n’ait mentionné aucun nom, la juge de paix a avoué qu’elle parlait d’un procureur adjoint de la Couronne bien précis, </w:t>
      </w:r>
      <w:r w:rsidR="005C2288" w:rsidRPr="009C6218">
        <w:rPr>
          <w:lang w:val="fr-CA"/>
        </w:rPr>
        <w:t>M</w:t>
      </w:r>
      <w:r w:rsidR="006E24A7">
        <w:rPr>
          <w:lang w:val="fr-CA"/>
        </w:rPr>
        <w:t>e</w:t>
      </w:r>
      <w:r w:rsidR="005C2288" w:rsidRPr="009C6218">
        <w:rPr>
          <w:lang w:val="fr-CA"/>
        </w:rPr>
        <w:t xml:space="preserve"> </w:t>
      </w:r>
      <w:proofErr w:type="spellStart"/>
      <w:r w:rsidR="005C2288" w:rsidRPr="009C6218">
        <w:rPr>
          <w:lang w:val="fr-CA"/>
        </w:rPr>
        <w:t>Wightman</w:t>
      </w:r>
      <w:proofErr w:type="spellEnd"/>
      <w:r w:rsidR="005C2288" w:rsidRPr="009C6218">
        <w:rPr>
          <w:lang w:val="fr-CA"/>
        </w:rPr>
        <w:t xml:space="preserve">, </w:t>
      </w:r>
      <w:r w:rsidRPr="009C6218">
        <w:rPr>
          <w:lang w:val="fr-CA"/>
        </w:rPr>
        <w:t>et qu’il s’est sûrement reconnu dans l’Article</w:t>
      </w:r>
      <w:r w:rsidR="00490D66" w:rsidRPr="009C6218">
        <w:rPr>
          <w:rStyle w:val="FootnoteReference"/>
          <w:lang w:val="fr-CA"/>
        </w:rPr>
        <w:footnoteReference w:id="63"/>
      </w:r>
      <w:r w:rsidRPr="009C6218">
        <w:rPr>
          <w:lang w:val="fr-CA"/>
        </w:rPr>
        <w:t>.</w:t>
      </w:r>
    </w:p>
    <w:p w14:paraId="30F4A440" w14:textId="26431808" w:rsidR="005C2288" w:rsidRPr="009C6218" w:rsidRDefault="00F06038" w:rsidP="00F06038">
      <w:pPr>
        <w:numPr>
          <w:ilvl w:val="0"/>
          <w:numId w:val="1"/>
        </w:numPr>
        <w:spacing w:after="200" w:line="276" w:lineRule="auto"/>
        <w:ind w:left="567" w:hanging="567"/>
        <w:rPr>
          <w:b/>
          <w:lang w:val="fr-CA"/>
        </w:rPr>
      </w:pPr>
      <w:r w:rsidRPr="009C6218">
        <w:rPr>
          <w:lang w:val="fr-CA"/>
        </w:rPr>
        <w:t>La juge de paix a confirmé dans son témoignage que l’incident s’est déroulé exactement de la manière qu’elle l’a décrite. Des preuves ont été produites devant le comité d’audition démontrant que la juge de paix s’était plainte de cet incident allégué aupr</w:t>
      </w:r>
      <w:r w:rsidR="006E24A7">
        <w:rPr>
          <w:lang w:val="fr-CA"/>
        </w:rPr>
        <w:t>è</w:t>
      </w:r>
      <w:r w:rsidRPr="009C6218">
        <w:rPr>
          <w:lang w:val="fr-CA"/>
        </w:rPr>
        <w:t>s du juge de paix et chef régional de l'administration</w:t>
      </w:r>
      <w:r w:rsidR="005C2288" w:rsidRPr="009C6218">
        <w:rPr>
          <w:lang w:val="fr-CA"/>
        </w:rPr>
        <w:t xml:space="preserve">; </w:t>
      </w:r>
      <w:r w:rsidRPr="009C6218">
        <w:rPr>
          <w:lang w:val="fr-CA"/>
        </w:rPr>
        <w:t>que le Bureau du procureur de la Couronne d’Ottawa avait mené une enquête et que Me </w:t>
      </w:r>
      <w:proofErr w:type="spellStart"/>
      <w:r w:rsidR="005C2288" w:rsidRPr="009C6218">
        <w:rPr>
          <w:lang w:val="fr-CA"/>
        </w:rPr>
        <w:t>Bair</w:t>
      </w:r>
      <w:proofErr w:type="spellEnd"/>
      <w:r w:rsidR="005C2288" w:rsidRPr="009C6218">
        <w:rPr>
          <w:lang w:val="fr-CA"/>
        </w:rPr>
        <w:t>,</w:t>
      </w:r>
      <w:r w:rsidRPr="009C6218">
        <w:rPr>
          <w:lang w:val="fr-CA"/>
        </w:rPr>
        <w:t xml:space="preserve"> la procureure de la Couronne, avait écrit à la juge de paix que le procureur adjoint de la Couronne impliqué, </w:t>
      </w:r>
      <w:r w:rsidR="005C2288" w:rsidRPr="009C6218">
        <w:rPr>
          <w:lang w:val="fr-CA"/>
        </w:rPr>
        <w:t>M</w:t>
      </w:r>
      <w:r w:rsidR="006E24A7">
        <w:rPr>
          <w:lang w:val="fr-CA"/>
        </w:rPr>
        <w:t>e</w:t>
      </w:r>
      <w:r w:rsidR="005C2288" w:rsidRPr="009C6218">
        <w:rPr>
          <w:lang w:val="fr-CA"/>
        </w:rPr>
        <w:t xml:space="preserve"> </w:t>
      </w:r>
      <w:proofErr w:type="spellStart"/>
      <w:r w:rsidR="005C2288" w:rsidRPr="009C6218">
        <w:rPr>
          <w:lang w:val="fr-CA"/>
        </w:rPr>
        <w:t>Wightman</w:t>
      </w:r>
      <w:proofErr w:type="spellEnd"/>
      <w:r w:rsidR="005C2288" w:rsidRPr="009C6218">
        <w:rPr>
          <w:lang w:val="fr-CA"/>
        </w:rPr>
        <w:t xml:space="preserve">, </w:t>
      </w:r>
      <w:r w:rsidRPr="009C6218">
        <w:rPr>
          <w:lang w:val="fr-CA"/>
        </w:rPr>
        <w:t>avait nié lui avoir tourné le dos</w:t>
      </w:r>
      <w:r w:rsidR="00B21CE1" w:rsidRPr="009C6218">
        <w:rPr>
          <w:rStyle w:val="FootnoteReference"/>
          <w:lang w:val="fr-CA"/>
        </w:rPr>
        <w:footnoteReference w:id="64"/>
      </w:r>
      <w:r w:rsidRPr="009C6218">
        <w:rPr>
          <w:lang w:val="fr-CA"/>
        </w:rPr>
        <w:t>.</w:t>
      </w:r>
    </w:p>
    <w:p w14:paraId="344E0551" w14:textId="76FDB68B" w:rsidR="005C2288" w:rsidRPr="009C6218" w:rsidRDefault="00F06038" w:rsidP="0005557C">
      <w:pPr>
        <w:numPr>
          <w:ilvl w:val="0"/>
          <w:numId w:val="1"/>
        </w:numPr>
        <w:spacing w:after="200" w:line="276" w:lineRule="auto"/>
        <w:ind w:left="567" w:hanging="567"/>
        <w:rPr>
          <w:b/>
          <w:lang w:val="fr-CA"/>
        </w:rPr>
      </w:pPr>
      <w:r w:rsidRPr="009C6218">
        <w:rPr>
          <w:lang w:val="fr-CA"/>
        </w:rPr>
        <w:t xml:space="preserve">La juge de paix a reconnu avoir reçu une lettre de Me </w:t>
      </w:r>
      <w:proofErr w:type="spellStart"/>
      <w:r w:rsidR="005C2288" w:rsidRPr="009C6218">
        <w:rPr>
          <w:lang w:val="fr-CA"/>
        </w:rPr>
        <w:t>Bair</w:t>
      </w:r>
      <w:proofErr w:type="spellEnd"/>
      <w:r w:rsidR="005C2288" w:rsidRPr="009C6218">
        <w:rPr>
          <w:lang w:val="fr-CA"/>
        </w:rPr>
        <w:t xml:space="preserve"> </w:t>
      </w:r>
      <w:r w:rsidRPr="009C6218">
        <w:rPr>
          <w:lang w:val="fr-CA"/>
        </w:rPr>
        <w:t>au sujet de l’enquête menée sur l’incident, mais elle a affirmé qu’elle ne l’avait jamais ouverte, parce qu’elle ne communique pas directement avec les avocats</w:t>
      </w:r>
      <w:r w:rsidR="000365F9" w:rsidRPr="009C6218">
        <w:rPr>
          <w:lang w:val="fr-CA"/>
        </w:rPr>
        <w:t>.</w:t>
      </w:r>
      <w:r w:rsidR="00117DF4" w:rsidRPr="009C6218">
        <w:rPr>
          <w:lang w:val="fr-CA"/>
        </w:rPr>
        <w:t xml:space="preserve"> </w:t>
      </w:r>
      <w:r w:rsidRPr="009C6218">
        <w:rPr>
          <w:lang w:val="fr-CA"/>
        </w:rPr>
        <w:t>Elle a maintenu que l’incident s’était réellement produit tel qu’elle l’a décrit</w:t>
      </w:r>
      <w:r w:rsidR="000365F9" w:rsidRPr="009C6218">
        <w:rPr>
          <w:rStyle w:val="FootnoteReference"/>
          <w:lang w:val="fr-CA"/>
        </w:rPr>
        <w:footnoteReference w:id="65"/>
      </w:r>
      <w:r w:rsidRPr="009C6218">
        <w:rPr>
          <w:lang w:val="fr-CA"/>
        </w:rPr>
        <w:t>.</w:t>
      </w:r>
    </w:p>
    <w:p w14:paraId="73B6E244" w14:textId="5185F3D5" w:rsidR="00505D33" w:rsidRPr="009C6218" w:rsidRDefault="002434F0" w:rsidP="0098133E">
      <w:pPr>
        <w:numPr>
          <w:ilvl w:val="0"/>
          <w:numId w:val="1"/>
        </w:numPr>
        <w:spacing w:after="200" w:line="276" w:lineRule="auto"/>
        <w:ind w:left="567" w:hanging="567"/>
        <w:rPr>
          <w:b/>
          <w:lang w:val="fr-CA"/>
        </w:rPr>
      </w:pPr>
      <w:r w:rsidRPr="009C6218">
        <w:rPr>
          <w:lang w:val="fr-CA"/>
        </w:rPr>
        <w:t>A</w:t>
      </w:r>
      <w:r w:rsidR="0098133E" w:rsidRPr="009C6218">
        <w:rPr>
          <w:lang w:val="fr-CA"/>
        </w:rPr>
        <w:t xml:space="preserve">près la publication de l’Article, </w:t>
      </w:r>
      <w:r w:rsidR="005C2288" w:rsidRPr="009C6218">
        <w:rPr>
          <w:lang w:val="fr-CA"/>
        </w:rPr>
        <w:t>M</w:t>
      </w:r>
      <w:r w:rsidR="006E24A7">
        <w:rPr>
          <w:lang w:val="fr-CA"/>
        </w:rPr>
        <w:t>e</w:t>
      </w:r>
      <w:r w:rsidR="005C2288" w:rsidRPr="009C6218">
        <w:rPr>
          <w:lang w:val="fr-CA"/>
        </w:rPr>
        <w:t xml:space="preserve"> </w:t>
      </w:r>
      <w:proofErr w:type="spellStart"/>
      <w:r w:rsidR="005C2288" w:rsidRPr="009C6218">
        <w:rPr>
          <w:lang w:val="fr-CA"/>
        </w:rPr>
        <w:t>Wightman</w:t>
      </w:r>
      <w:proofErr w:type="spellEnd"/>
      <w:r w:rsidR="005C2288" w:rsidRPr="009C6218">
        <w:rPr>
          <w:lang w:val="fr-CA"/>
        </w:rPr>
        <w:t xml:space="preserve"> </w:t>
      </w:r>
      <w:r w:rsidR="0098133E" w:rsidRPr="009C6218">
        <w:rPr>
          <w:lang w:val="fr-CA"/>
        </w:rPr>
        <w:t xml:space="preserve">devait comparaître devant la juge de paix dans une </w:t>
      </w:r>
      <w:r w:rsidR="006E24A7">
        <w:rPr>
          <w:lang w:val="fr-CA"/>
        </w:rPr>
        <w:t>audience de mise en liberté sous caution dans l’affaire</w:t>
      </w:r>
      <w:r w:rsidR="0098133E" w:rsidRPr="009C6218">
        <w:rPr>
          <w:lang w:val="fr-CA"/>
        </w:rPr>
        <w:t xml:space="preserve"> </w:t>
      </w:r>
      <w:r w:rsidR="000365F9" w:rsidRPr="009C6218">
        <w:rPr>
          <w:lang w:val="fr-CA"/>
        </w:rPr>
        <w:t xml:space="preserve">Cody </w:t>
      </w:r>
      <w:proofErr w:type="spellStart"/>
      <w:r w:rsidR="000365F9" w:rsidRPr="009C6218">
        <w:rPr>
          <w:lang w:val="fr-CA"/>
        </w:rPr>
        <w:t>Boast</w:t>
      </w:r>
      <w:proofErr w:type="spellEnd"/>
      <w:r w:rsidR="000365F9" w:rsidRPr="009C6218">
        <w:rPr>
          <w:lang w:val="fr-CA"/>
        </w:rPr>
        <w:t>.</w:t>
      </w:r>
      <w:r w:rsidR="005C2288" w:rsidRPr="009C6218">
        <w:rPr>
          <w:lang w:val="fr-CA"/>
        </w:rPr>
        <w:t xml:space="preserve"> </w:t>
      </w:r>
      <w:r w:rsidR="0098133E" w:rsidRPr="009C6218">
        <w:rPr>
          <w:lang w:val="fr-CA"/>
        </w:rPr>
        <w:t>Le procureur de la Couronne a demandé qu’elle se récuse au motif d’une crainte raisonnable de partialité</w:t>
      </w:r>
      <w:r w:rsidR="005C2288" w:rsidRPr="009C6218">
        <w:rPr>
          <w:lang w:val="fr-CA"/>
        </w:rPr>
        <w:t>.</w:t>
      </w:r>
      <w:r w:rsidR="000365F9" w:rsidRPr="009C6218">
        <w:rPr>
          <w:lang w:val="fr-CA"/>
        </w:rPr>
        <w:t xml:space="preserve"> </w:t>
      </w:r>
      <w:r w:rsidR="0098133E" w:rsidRPr="009C6218">
        <w:rPr>
          <w:lang w:val="fr-CA"/>
        </w:rPr>
        <w:t>Le procureur de la Couronne a expliqué qu’il a déposé cette demande à la suite de la mention de son comportement dans l’Article.</w:t>
      </w:r>
    </w:p>
    <w:p w14:paraId="0AD4C49C" w14:textId="2B8733D9" w:rsidR="005C2288" w:rsidRPr="009C6218" w:rsidRDefault="0098133E" w:rsidP="0005557C">
      <w:pPr>
        <w:numPr>
          <w:ilvl w:val="0"/>
          <w:numId w:val="1"/>
        </w:numPr>
        <w:spacing w:after="200" w:line="276" w:lineRule="auto"/>
        <w:ind w:left="567" w:hanging="567"/>
        <w:rPr>
          <w:b/>
          <w:lang w:val="fr-CA"/>
        </w:rPr>
      </w:pPr>
      <w:r w:rsidRPr="009C6218">
        <w:rPr>
          <w:lang w:val="fr-CA"/>
        </w:rPr>
        <w:t>Dans le deuxième cas, la juge de paix a cité l’exemple d’un procureur adjoint de la Couronne qui, à ses dires, avait crié contre elle et, selon sa description « a piqué une crise après qu’elle a remis en question certaines conditions »</w:t>
      </w:r>
      <w:r w:rsidR="005C2288" w:rsidRPr="009C6218">
        <w:rPr>
          <w:lang w:val="fr-CA"/>
        </w:rPr>
        <w:t>.</w:t>
      </w:r>
    </w:p>
    <w:p w14:paraId="1F873DA9" w14:textId="4D4F9B7C" w:rsidR="005C2288" w:rsidRPr="009C6218" w:rsidRDefault="0098133E" w:rsidP="0005557C">
      <w:pPr>
        <w:numPr>
          <w:ilvl w:val="0"/>
          <w:numId w:val="1"/>
        </w:numPr>
        <w:spacing w:after="200" w:line="276" w:lineRule="auto"/>
        <w:ind w:left="567" w:hanging="567"/>
        <w:rPr>
          <w:b/>
          <w:lang w:val="fr-CA"/>
        </w:rPr>
      </w:pPr>
      <w:r w:rsidRPr="009C6218">
        <w:rPr>
          <w:lang w:val="fr-CA"/>
        </w:rPr>
        <w:t xml:space="preserve">Dans son témoignage, la juge de paix a relevé que même si elle n’avait pas mentionné de nom, elle était sûre que le procureur adjoint de la Couronne dont elle parlait, </w:t>
      </w:r>
      <w:r w:rsidR="005C2288" w:rsidRPr="009C6218">
        <w:rPr>
          <w:lang w:val="fr-CA"/>
        </w:rPr>
        <w:t>M</w:t>
      </w:r>
      <w:r w:rsidR="006E24A7">
        <w:rPr>
          <w:lang w:val="fr-CA"/>
        </w:rPr>
        <w:t>e</w:t>
      </w:r>
      <w:r w:rsidR="005C2288" w:rsidRPr="009C6218">
        <w:rPr>
          <w:lang w:val="fr-CA"/>
        </w:rPr>
        <w:t xml:space="preserve"> </w:t>
      </w:r>
      <w:proofErr w:type="spellStart"/>
      <w:r w:rsidR="005C2288" w:rsidRPr="009C6218">
        <w:rPr>
          <w:lang w:val="fr-CA"/>
        </w:rPr>
        <w:t>Tallim</w:t>
      </w:r>
      <w:proofErr w:type="spellEnd"/>
      <w:r w:rsidR="005C2288" w:rsidRPr="009C6218">
        <w:rPr>
          <w:lang w:val="fr-CA"/>
        </w:rPr>
        <w:t xml:space="preserve">, </w:t>
      </w:r>
      <w:r w:rsidRPr="009C6218">
        <w:rPr>
          <w:lang w:val="fr-CA"/>
        </w:rPr>
        <w:t>se reconnaîtrait dans l’Article</w:t>
      </w:r>
      <w:r w:rsidR="00CB780F" w:rsidRPr="009C6218">
        <w:rPr>
          <w:rStyle w:val="FootnoteReference"/>
          <w:lang w:val="fr-CA"/>
        </w:rPr>
        <w:footnoteReference w:id="66"/>
      </w:r>
      <w:r w:rsidRPr="009C6218">
        <w:rPr>
          <w:lang w:val="fr-CA"/>
        </w:rPr>
        <w:t>.</w:t>
      </w:r>
      <w:r w:rsidR="005C2288" w:rsidRPr="009C6218">
        <w:rPr>
          <w:lang w:val="fr-CA"/>
        </w:rPr>
        <w:t xml:space="preserve"> </w:t>
      </w:r>
      <w:r w:rsidRPr="009C6218">
        <w:rPr>
          <w:lang w:val="fr-CA"/>
        </w:rPr>
        <w:t xml:space="preserve">Elle n’a pas </w:t>
      </w:r>
      <w:r w:rsidR="006E24A7">
        <w:rPr>
          <w:lang w:val="fr-CA"/>
        </w:rPr>
        <w:t>voulu avouer</w:t>
      </w:r>
      <w:r w:rsidRPr="009C6218">
        <w:rPr>
          <w:lang w:val="fr-CA"/>
        </w:rPr>
        <w:t xml:space="preserve"> que </w:t>
      </w:r>
      <w:r w:rsidRPr="009C6218">
        <w:rPr>
          <w:lang w:val="fr-CA"/>
        </w:rPr>
        <w:lastRenderedPageBreak/>
        <w:t xml:space="preserve">tous ceux qui se trouvaient dans la salle d’audience au moment de l’incident reconnaîtraient aussi l’identité du procureur de la Couronne visé, même si elle se rappelait que la salle d’audience était </w:t>
      </w:r>
      <w:r w:rsidR="008132F6">
        <w:rPr>
          <w:lang w:val="fr-CA"/>
        </w:rPr>
        <w:t>pleine à craquer</w:t>
      </w:r>
      <w:r w:rsidRPr="009C6218">
        <w:rPr>
          <w:lang w:val="fr-CA"/>
        </w:rPr>
        <w:t xml:space="preserve"> au moment de l’incident</w:t>
      </w:r>
      <w:r w:rsidR="006A44DD" w:rsidRPr="009C6218">
        <w:rPr>
          <w:rStyle w:val="FootnoteReference"/>
          <w:lang w:val="fr-CA"/>
        </w:rPr>
        <w:footnoteReference w:id="67"/>
      </w:r>
      <w:r w:rsidRPr="009C6218">
        <w:rPr>
          <w:lang w:val="fr-CA"/>
        </w:rPr>
        <w:t>.</w:t>
      </w:r>
      <w:r w:rsidR="005C2288" w:rsidRPr="009C6218">
        <w:rPr>
          <w:lang w:val="fr-CA"/>
        </w:rPr>
        <w:t xml:space="preserve"> </w:t>
      </w:r>
    </w:p>
    <w:p w14:paraId="6C86284D" w14:textId="748DB5CA" w:rsidR="00F850F5" w:rsidRPr="009C6218" w:rsidRDefault="0098133E" w:rsidP="0005557C">
      <w:pPr>
        <w:numPr>
          <w:ilvl w:val="0"/>
          <w:numId w:val="1"/>
        </w:numPr>
        <w:spacing w:after="200" w:line="276" w:lineRule="auto"/>
        <w:ind w:left="567" w:hanging="567"/>
        <w:rPr>
          <w:b/>
          <w:lang w:val="fr-CA"/>
        </w:rPr>
      </w:pPr>
      <w:r w:rsidRPr="009C6218">
        <w:rPr>
          <w:lang w:val="fr-CA"/>
        </w:rPr>
        <w:t>Cet incident en particulier a été repris dans les médias après la publication initiale de l’Article</w:t>
      </w:r>
      <w:r w:rsidR="004B7707" w:rsidRPr="009C6218">
        <w:rPr>
          <w:lang w:val="fr-CA"/>
        </w:rPr>
        <w:t>.</w:t>
      </w:r>
    </w:p>
    <w:p w14:paraId="15C577F5" w14:textId="3E6AFAD9" w:rsidR="005C2288" w:rsidRPr="009C6218" w:rsidRDefault="0098133E" w:rsidP="0005557C">
      <w:pPr>
        <w:numPr>
          <w:ilvl w:val="0"/>
          <w:numId w:val="1"/>
        </w:numPr>
        <w:spacing w:after="200" w:line="276" w:lineRule="auto"/>
        <w:ind w:left="567" w:hanging="567"/>
        <w:rPr>
          <w:b/>
          <w:lang w:val="fr-CA"/>
        </w:rPr>
      </w:pPr>
      <w:r w:rsidRPr="009C6218">
        <w:rPr>
          <w:lang w:val="fr-CA"/>
        </w:rPr>
        <w:t xml:space="preserve">Au paragraphe </w:t>
      </w:r>
      <w:r w:rsidR="005C2288" w:rsidRPr="009C6218">
        <w:rPr>
          <w:lang w:val="fr-CA"/>
        </w:rPr>
        <w:t xml:space="preserve">10, </w:t>
      </w:r>
      <w:r w:rsidRPr="009C6218">
        <w:rPr>
          <w:lang w:val="fr-CA"/>
        </w:rPr>
        <w:t>la juge de paix est revenue sur la question des comparutions par vidéo, qu’elle a décrites comme « forcées » et « précipitées »</w:t>
      </w:r>
      <w:r w:rsidR="005C2288" w:rsidRPr="009C6218">
        <w:rPr>
          <w:lang w:val="fr-CA"/>
        </w:rPr>
        <w:t xml:space="preserve">. </w:t>
      </w:r>
      <w:r w:rsidRPr="009C6218">
        <w:rPr>
          <w:lang w:val="fr-CA"/>
        </w:rPr>
        <w:t xml:space="preserve">Elle a également fait mention d’un manque de respect envers les juges de paix et de l’absence de la règle de droit. </w:t>
      </w:r>
      <w:r w:rsidR="00F351E8" w:rsidRPr="009C6218">
        <w:rPr>
          <w:lang w:val="fr-CA"/>
        </w:rPr>
        <w:t xml:space="preserve">Elle </w:t>
      </w:r>
      <w:r w:rsidR="006E24A7">
        <w:rPr>
          <w:lang w:val="fr-CA"/>
        </w:rPr>
        <w:t>déclare</w:t>
      </w:r>
      <w:r w:rsidR="00F351E8" w:rsidRPr="009C6218">
        <w:rPr>
          <w:lang w:val="fr-CA"/>
        </w:rPr>
        <w:t> : « </w:t>
      </w:r>
      <w:r w:rsidR="00F351E8" w:rsidRPr="009C6218">
        <w:rPr>
          <w:u w:val="single"/>
          <w:lang w:val="fr-CA"/>
        </w:rPr>
        <w:t>Je ne peux plus l’appeler une cour de justice. C’est une honte</w:t>
      </w:r>
      <w:r w:rsidR="005C2288" w:rsidRPr="009C6218">
        <w:rPr>
          <w:lang w:val="fr-CA"/>
        </w:rPr>
        <w:t xml:space="preserve">. </w:t>
      </w:r>
      <w:r w:rsidR="00F351E8" w:rsidRPr="009C6218">
        <w:rPr>
          <w:lang w:val="fr-CA"/>
        </w:rPr>
        <w:t>Je suis là pour administrer la justice. Ce n’est pas mon travail de juge de paix de signer des documents de mise en liberté qui sont illégaux. »</w:t>
      </w:r>
      <w:r w:rsidR="00736291" w:rsidRPr="009C6218">
        <w:rPr>
          <w:lang w:val="fr-CA"/>
        </w:rPr>
        <w:t xml:space="preserve"> (</w:t>
      </w:r>
      <w:r w:rsidR="00F351E8" w:rsidRPr="009C6218">
        <w:rPr>
          <w:lang w:val="fr-CA"/>
        </w:rPr>
        <w:t>mise en valeur ajoutée</w:t>
      </w:r>
      <w:r w:rsidR="00736291" w:rsidRPr="009C6218">
        <w:rPr>
          <w:lang w:val="fr-CA"/>
        </w:rPr>
        <w:t>)</w:t>
      </w:r>
    </w:p>
    <w:p w14:paraId="5397B810" w14:textId="3A9E9737" w:rsidR="005C2288" w:rsidRPr="009C6218" w:rsidRDefault="00B37C17" w:rsidP="0005557C">
      <w:pPr>
        <w:numPr>
          <w:ilvl w:val="0"/>
          <w:numId w:val="1"/>
        </w:numPr>
        <w:spacing w:after="200" w:line="276" w:lineRule="auto"/>
        <w:ind w:left="567" w:hanging="567"/>
        <w:rPr>
          <w:b/>
          <w:lang w:val="fr-CA"/>
        </w:rPr>
      </w:pPr>
      <w:r w:rsidRPr="009C6218">
        <w:rPr>
          <w:lang w:val="fr-CA"/>
        </w:rPr>
        <w:t>Le comité d’audition disposait de preuves concernant une politique relative aux comparutions par vidéo, dont le but était de faciliter la mise en liberté anticipée d’autant de détenus que possible</w:t>
      </w:r>
      <w:r w:rsidR="002125FC" w:rsidRPr="009C6218">
        <w:rPr>
          <w:rStyle w:val="FootnoteReference"/>
          <w:lang w:val="fr-CA"/>
        </w:rPr>
        <w:footnoteReference w:id="68"/>
      </w:r>
      <w:r w:rsidRPr="009C6218">
        <w:rPr>
          <w:lang w:val="fr-CA"/>
        </w:rPr>
        <w:t xml:space="preserve">. La juge de paix n’en a pas parlé dans son Article. </w:t>
      </w:r>
      <w:r w:rsidR="006E24A7">
        <w:rPr>
          <w:lang w:val="fr-CA"/>
        </w:rPr>
        <w:t>D</w:t>
      </w:r>
      <w:r w:rsidRPr="009C6218">
        <w:rPr>
          <w:lang w:val="fr-CA"/>
        </w:rPr>
        <w:t xml:space="preserve">ans son interrogatoire principal, la juge de paix a avoué comprendre pourquoi la comparution par vidéo avait été instaurée </w:t>
      </w:r>
      <w:r w:rsidR="00E15598" w:rsidRPr="009C6218">
        <w:rPr>
          <w:lang w:val="fr-CA"/>
        </w:rPr>
        <w:t>:</w:t>
      </w:r>
      <w:r w:rsidR="00C14C62" w:rsidRPr="009C6218">
        <w:rPr>
          <w:lang w:val="fr-CA"/>
        </w:rPr>
        <w:t xml:space="preserve"> </w:t>
      </w:r>
      <w:r w:rsidRPr="009C6218">
        <w:rPr>
          <w:lang w:val="fr-CA"/>
        </w:rPr>
        <w:t>« C’est censé être efficace, je le comprends. » Toutefois, dans son contre-interrogatoire, elle a refusé de reconnaître que l’utilisation de comparutions par vidéo se fondait sur une raison légitime. À son avis, le système n’a pas été rendu plus efficace ou rapide depuis l’utilisation des comparutions par vidéo</w:t>
      </w:r>
      <w:r w:rsidR="005C2288" w:rsidRPr="009C6218">
        <w:rPr>
          <w:rStyle w:val="FootnoteReference"/>
          <w:lang w:val="fr-CA"/>
        </w:rPr>
        <w:footnoteReference w:id="69"/>
      </w:r>
      <w:r w:rsidRPr="009C6218">
        <w:rPr>
          <w:lang w:val="fr-CA"/>
        </w:rPr>
        <w:t>.</w:t>
      </w:r>
    </w:p>
    <w:p w14:paraId="7E7D1147" w14:textId="02268F0E" w:rsidR="005C2288" w:rsidRPr="009C6218" w:rsidRDefault="00B37C17" w:rsidP="0005557C">
      <w:pPr>
        <w:numPr>
          <w:ilvl w:val="0"/>
          <w:numId w:val="1"/>
        </w:numPr>
        <w:spacing w:after="200" w:line="276" w:lineRule="auto"/>
        <w:ind w:left="567" w:hanging="567"/>
        <w:rPr>
          <w:b/>
          <w:lang w:val="fr-CA"/>
        </w:rPr>
      </w:pPr>
      <w:r w:rsidRPr="009C6218">
        <w:rPr>
          <w:lang w:val="fr-CA"/>
        </w:rPr>
        <w:t xml:space="preserve">D’après nous, une personne qui ne connaît pas le système de justice criminelle ne comprendrait pas pourquoi la méthode des comparutions par vidéo a été adoptée. </w:t>
      </w:r>
      <w:r w:rsidR="00C66DAA" w:rsidRPr="009C6218">
        <w:rPr>
          <w:lang w:val="fr-CA"/>
        </w:rPr>
        <w:t>À cet égard, nous concluons que la description des comparutions par vidéo comme étant « forcées » et « précipitées » est partiale. Elle n’</w:t>
      </w:r>
      <w:r w:rsidR="00862124">
        <w:rPr>
          <w:lang w:val="fr-CA"/>
        </w:rPr>
        <w:t>est</w:t>
      </w:r>
      <w:r w:rsidR="00C66DAA" w:rsidRPr="009C6218">
        <w:rPr>
          <w:lang w:val="fr-CA"/>
        </w:rPr>
        <w:t xml:space="preserve"> ni équilibrée ni juste</w:t>
      </w:r>
      <w:r w:rsidR="005C2288" w:rsidRPr="009C6218">
        <w:rPr>
          <w:lang w:val="fr-CA"/>
        </w:rPr>
        <w:t>.</w:t>
      </w:r>
    </w:p>
    <w:p w14:paraId="1F0CDE56" w14:textId="1C4AACC2" w:rsidR="005C2288" w:rsidRPr="009C6218" w:rsidRDefault="00C66DAA" w:rsidP="0005557C">
      <w:pPr>
        <w:numPr>
          <w:ilvl w:val="0"/>
          <w:numId w:val="1"/>
        </w:numPr>
        <w:spacing w:after="200" w:line="276" w:lineRule="auto"/>
        <w:ind w:left="567" w:hanging="567"/>
        <w:rPr>
          <w:b/>
          <w:lang w:val="fr-CA"/>
        </w:rPr>
      </w:pPr>
      <w:r w:rsidRPr="009C6218">
        <w:rPr>
          <w:lang w:val="fr-CA"/>
        </w:rPr>
        <w:t xml:space="preserve">Nous soulignons que dans son rapport, le juge </w:t>
      </w:r>
      <w:r w:rsidR="005C2288" w:rsidRPr="009C6218">
        <w:rPr>
          <w:lang w:val="fr-CA"/>
        </w:rPr>
        <w:t xml:space="preserve">Wyant </w:t>
      </w:r>
      <w:r w:rsidRPr="009C6218">
        <w:rPr>
          <w:lang w:val="fr-CA"/>
        </w:rPr>
        <w:t>a appelé à un recours accru aux comparutions par vidéo afin d’améliorer l’efficacité du système de mise en liberté sous caution sans sacrifier l’intégrité du processus</w:t>
      </w:r>
      <w:r w:rsidR="00E45442" w:rsidRPr="009C6218">
        <w:rPr>
          <w:lang w:val="fr-CA"/>
        </w:rPr>
        <w:t xml:space="preserve">. </w:t>
      </w:r>
      <w:r w:rsidRPr="009C6218">
        <w:rPr>
          <w:lang w:val="fr-CA"/>
        </w:rPr>
        <w:t xml:space="preserve">Il a </w:t>
      </w:r>
      <w:r w:rsidR="00341C79" w:rsidRPr="009C6218">
        <w:rPr>
          <w:lang w:val="fr-CA"/>
        </w:rPr>
        <w:t>fait observer que « de nombreux juges et juges de paix n’aiment pas ce système, car ils pensent que l’accusé devrait se trouver dans la salle d’audience » [traduction]</w:t>
      </w:r>
      <w:r w:rsidR="001A2863" w:rsidRPr="009C6218">
        <w:rPr>
          <w:lang w:val="fr-CA"/>
        </w:rPr>
        <w:t xml:space="preserve">, </w:t>
      </w:r>
      <w:r w:rsidR="00341C79" w:rsidRPr="009C6218">
        <w:rPr>
          <w:lang w:val="fr-CA"/>
        </w:rPr>
        <w:t xml:space="preserve">mais a conclu qu’« il est important de consulter et de bien </w:t>
      </w:r>
      <w:r w:rsidR="00341C79" w:rsidRPr="00862124">
        <w:rPr>
          <w:u w:val="single"/>
          <w:lang w:val="fr-CA"/>
        </w:rPr>
        <w:t xml:space="preserve">réfléchir à ces questions et de trouver </w:t>
      </w:r>
      <w:r w:rsidR="00341C79" w:rsidRPr="00862124">
        <w:rPr>
          <w:u w:val="single"/>
          <w:lang w:val="fr-CA"/>
        </w:rPr>
        <w:lastRenderedPageBreak/>
        <w:t>un juste équilibre</w:t>
      </w:r>
      <w:r w:rsidR="00341C79" w:rsidRPr="009C6218">
        <w:rPr>
          <w:lang w:val="fr-CA"/>
        </w:rPr>
        <w:t xml:space="preserve"> </w:t>
      </w:r>
      <w:r w:rsidR="00E45442" w:rsidRPr="009C6218">
        <w:rPr>
          <w:lang w:val="fr-CA"/>
        </w:rPr>
        <w:t>…</w:t>
      </w:r>
      <w:r w:rsidR="00341C79" w:rsidRPr="009C6218">
        <w:rPr>
          <w:lang w:val="fr-CA"/>
        </w:rPr>
        <w:t>et</w:t>
      </w:r>
      <w:r w:rsidR="001A2863" w:rsidRPr="009C6218">
        <w:rPr>
          <w:lang w:val="fr-CA"/>
        </w:rPr>
        <w:t xml:space="preserve"> </w:t>
      </w:r>
      <w:r w:rsidR="00341C79" w:rsidRPr="009C6218">
        <w:rPr>
          <w:u w:val="single"/>
          <w:lang w:val="fr-CA"/>
        </w:rPr>
        <w:t>les intervenants devraient être ouverts au changement »</w:t>
      </w:r>
      <w:r w:rsidR="005C2288" w:rsidRPr="009C6218">
        <w:rPr>
          <w:rStyle w:val="FootnoteReference"/>
          <w:lang w:val="fr-CA"/>
        </w:rPr>
        <w:footnoteReference w:id="70"/>
      </w:r>
      <w:r w:rsidR="00341C79" w:rsidRPr="009C6218">
        <w:rPr>
          <w:u w:val="single"/>
          <w:lang w:val="fr-CA"/>
        </w:rPr>
        <w:t>.</w:t>
      </w:r>
      <w:r w:rsidR="001A2863" w:rsidRPr="009C6218">
        <w:rPr>
          <w:lang w:val="fr-CA"/>
        </w:rPr>
        <w:t xml:space="preserve"> (</w:t>
      </w:r>
      <w:r w:rsidR="00341C79" w:rsidRPr="009C6218">
        <w:rPr>
          <w:lang w:val="fr-CA"/>
        </w:rPr>
        <w:t>mise en valeur ajoutée</w:t>
      </w:r>
      <w:r w:rsidR="001A2863" w:rsidRPr="009C6218">
        <w:rPr>
          <w:lang w:val="fr-CA"/>
        </w:rPr>
        <w:t>)</w:t>
      </w:r>
    </w:p>
    <w:p w14:paraId="6437B690" w14:textId="299BE497" w:rsidR="005C2288" w:rsidRPr="009C6218" w:rsidRDefault="00341C79" w:rsidP="0005557C">
      <w:pPr>
        <w:numPr>
          <w:ilvl w:val="0"/>
          <w:numId w:val="1"/>
        </w:numPr>
        <w:spacing w:after="200" w:line="276" w:lineRule="auto"/>
        <w:ind w:left="567" w:hanging="567"/>
        <w:rPr>
          <w:b/>
          <w:lang w:val="fr-CA"/>
        </w:rPr>
      </w:pPr>
      <w:r w:rsidRPr="009C6218">
        <w:rPr>
          <w:lang w:val="fr-CA"/>
        </w:rPr>
        <w:t xml:space="preserve">Au paragraphe </w:t>
      </w:r>
      <w:r w:rsidR="005C2288" w:rsidRPr="009C6218">
        <w:rPr>
          <w:lang w:val="fr-CA"/>
        </w:rPr>
        <w:t xml:space="preserve">11, </w:t>
      </w:r>
      <w:r w:rsidRPr="009C6218">
        <w:rPr>
          <w:lang w:val="fr-CA"/>
        </w:rPr>
        <w:t xml:space="preserve">la juge de paix se déclare choquée de voir « les procureurs tenter de s’approprier la compétence du tribunal en employant </w:t>
      </w:r>
      <w:r w:rsidRPr="009C6218">
        <w:rPr>
          <w:u w:val="single"/>
          <w:lang w:val="fr-CA"/>
        </w:rPr>
        <w:t>diverses tactiques inacceptables</w:t>
      </w:r>
      <w:r w:rsidRPr="009C6218">
        <w:rPr>
          <w:lang w:val="fr-CA"/>
        </w:rPr>
        <w:t> »</w:t>
      </w:r>
      <w:r w:rsidR="005C2288" w:rsidRPr="009C6218">
        <w:rPr>
          <w:lang w:val="fr-CA"/>
        </w:rPr>
        <w:t xml:space="preserve"> </w:t>
      </w:r>
      <w:r w:rsidR="004F5988" w:rsidRPr="009C6218">
        <w:rPr>
          <w:lang w:val="fr-CA"/>
        </w:rPr>
        <w:t>(</w:t>
      </w:r>
      <w:r w:rsidRPr="009C6218">
        <w:rPr>
          <w:lang w:val="fr-CA"/>
        </w:rPr>
        <w:t>mise en valeur ajoutée</w:t>
      </w:r>
      <w:r w:rsidR="004F5988" w:rsidRPr="009C6218">
        <w:rPr>
          <w:lang w:val="fr-CA"/>
        </w:rPr>
        <w:t xml:space="preserve">) </w:t>
      </w:r>
      <w:r w:rsidRPr="009C6218">
        <w:rPr>
          <w:lang w:val="fr-CA"/>
        </w:rPr>
        <w:t xml:space="preserve">au lieu de recourir au droit d’appel d’une décision qu’ils contestent. Dans son témoignage, elle a précisé qu’elle </w:t>
      </w:r>
      <w:r w:rsidR="00862124">
        <w:rPr>
          <w:lang w:val="fr-CA"/>
        </w:rPr>
        <w:t xml:space="preserve">parlait </w:t>
      </w:r>
      <w:r w:rsidRPr="009C6218">
        <w:rPr>
          <w:lang w:val="fr-CA"/>
        </w:rPr>
        <w:t xml:space="preserve">en partie </w:t>
      </w:r>
      <w:r w:rsidR="00862124">
        <w:rPr>
          <w:lang w:val="fr-CA"/>
        </w:rPr>
        <w:t>des</w:t>
      </w:r>
      <w:r w:rsidRPr="009C6218">
        <w:rPr>
          <w:lang w:val="fr-CA"/>
        </w:rPr>
        <w:t xml:space="preserve"> demandes de récusation, mais aussi </w:t>
      </w:r>
      <w:r w:rsidR="00862124">
        <w:rPr>
          <w:lang w:val="fr-CA"/>
        </w:rPr>
        <w:t>d’</w:t>
      </w:r>
      <w:r w:rsidRPr="009C6218">
        <w:rPr>
          <w:lang w:val="fr-CA"/>
        </w:rPr>
        <w:t xml:space="preserve">un comportement généralement « intimidant », comme elle l’a </w:t>
      </w:r>
      <w:r w:rsidR="00862124">
        <w:rPr>
          <w:lang w:val="fr-CA"/>
        </w:rPr>
        <w:t>décrit</w:t>
      </w:r>
      <w:r w:rsidRPr="009C6218">
        <w:rPr>
          <w:lang w:val="fr-CA"/>
        </w:rPr>
        <w:t xml:space="preserve"> au paragraphe 9 de l’Article. </w:t>
      </w:r>
    </w:p>
    <w:p w14:paraId="61DEC4B5" w14:textId="0EEDC6B9" w:rsidR="00CE64DF" w:rsidRPr="009C6218" w:rsidRDefault="00BD1EDD" w:rsidP="0005557C">
      <w:pPr>
        <w:numPr>
          <w:ilvl w:val="0"/>
          <w:numId w:val="1"/>
        </w:numPr>
        <w:spacing w:after="200" w:line="276" w:lineRule="auto"/>
        <w:ind w:left="567" w:hanging="567"/>
        <w:rPr>
          <w:b/>
          <w:lang w:val="fr-CA"/>
        </w:rPr>
      </w:pPr>
      <w:r w:rsidRPr="009C6218">
        <w:rPr>
          <w:lang w:val="fr-CA"/>
        </w:rPr>
        <w:t xml:space="preserve">La juge de paix a expliqué qu’elle renvoyait au fait que le Bureau du procureur de la Couronne préfère déposer des demandes de récusation au lieu d’interjeter appel de ses décisions. Elle a mentionné en particulier les commentaires de procureurs de la Couronne pendant l’audience de mise en liberté sous caution dans l’affaire </w:t>
      </w:r>
      <w:proofErr w:type="spellStart"/>
      <w:r w:rsidR="00DA0EA0" w:rsidRPr="009C6218">
        <w:rPr>
          <w:i/>
          <w:lang w:val="fr-CA"/>
        </w:rPr>
        <w:t>Hoare</w:t>
      </w:r>
      <w:proofErr w:type="spellEnd"/>
      <w:r w:rsidR="00DA0EA0" w:rsidRPr="009C6218">
        <w:rPr>
          <w:lang w:val="fr-CA"/>
        </w:rPr>
        <w:t xml:space="preserve">. </w:t>
      </w:r>
      <w:r w:rsidRPr="009C6218">
        <w:rPr>
          <w:lang w:val="fr-CA"/>
        </w:rPr>
        <w:t>Dans un échange que la juge de paix a eu avec Me Blair, la juge de paix s’est rap</w:t>
      </w:r>
      <w:r w:rsidR="00776713">
        <w:rPr>
          <w:lang w:val="fr-CA"/>
        </w:rPr>
        <w:t>pelé</w:t>
      </w:r>
      <w:r w:rsidRPr="009C6218">
        <w:rPr>
          <w:lang w:val="fr-CA"/>
        </w:rPr>
        <w:t xml:space="preserve"> que Me Blair lui avait expliqué que les </w:t>
      </w:r>
      <w:r w:rsidR="00C00384" w:rsidRPr="009C6218">
        <w:rPr>
          <w:lang w:val="fr-CA"/>
        </w:rPr>
        <w:t xml:space="preserve">révisions </w:t>
      </w:r>
      <w:r w:rsidRPr="009C6218">
        <w:rPr>
          <w:lang w:val="fr-CA"/>
        </w:rPr>
        <w:t>de la mise en liberté sous caution exigeaient des ressources que le Bureau du procureu</w:t>
      </w:r>
      <w:r w:rsidR="00C00384" w:rsidRPr="009C6218">
        <w:rPr>
          <w:lang w:val="fr-CA"/>
        </w:rPr>
        <w:t>r de la Couronne ne possède pas</w:t>
      </w:r>
      <w:r w:rsidR="00DA0EA0" w:rsidRPr="009C6218">
        <w:rPr>
          <w:rStyle w:val="FootnoteReference"/>
          <w:lang w:val="fr-CA"/>
        </w:rPr>
        <w:footnoteReference w:id="71"/>
      </w:r>
      <w:r w:rsidR="00C00384" w:rsidRPr="009C6218">
        <w:rPr>
          <w:lang w:val="fr-CA"/>
        </w:rPr>
        <w:t>.</w:t>
      </w:r>
    </w:p>
    <w:p w14:paraId="02E27989" w14:textId="5E2BA725" w:rsidR="004F5988" w:rsidRPr="009C6218" w:rsidRDefault="00C00384" w:rsidP="0005557C">
      <w:pPr>
        <w:numPr>
          <w:ilvl w:val="0"/>
          <w:numId w:val="1"/>
        </w:numPr>
        <w:spacing w:after="200" w:line="276" w:lineRule="auto"/>
        <w:ind w:left="567" w:hanging="567"/>
        <w:rPr>
          <w:b/>
          <w:lang w:val="fr-CA"/>
        </w:rPr>
      </w:pPr>
      <w:r w:rsidRPr="009C6218">
        <w:rPr>
          <w:lang w:val="fr-CA"/>
        </w:rPr>
        <w:t>Dans son contre-interrogatoire, la juge de paix a reconnu que le procureur de la Couronne a le droit de déposer des demandes de récusation et que les procureurs de la Couronne plaidaient ces demandes avec respect</w:t>
      </w:r>
      <w:r w:rsidR="00EE6010" w:rsidRPr="009C6218">
        <w:rPr>
          <w:lang w:val="fr-CA"/>
        </w:rPr>
        <w:t xml:space="preserve">. </w:t>
      </w:r>
      <w:r w:rsidRPr="009C6218">
        <w:rPr>
          <w:lang w:val="fr-CA"/>
        </w:rPr>
        <w:t>En particulier, elle a admis que les observations de Me Blair au sujet de la récusation étaient justes et rationnelles et pertinentes pour les questions en cause</w:t>
      </w:r>
      <w:r w:rsidR="002000E9" w:rsidRPr="009C6218">
        <w:rPr>
          <w:rStyle w:val="FootnoteReference"/>
          <w:lang w:val="fr-CA"/>
        </w:rPr>
        <w:footnoteReference w:id="72"/>
      </w:r>
      <w:r w:rsidRPr="009C6218">
        <w:rPr>
          <w:lang w:val="fr-CA"/>
        </w:rPr>
        <w:t>.</w:t>
      </w:r>
    </w:p>
    <w:p w14:paraId="4301673D" w14:textId="1DDD70DF" w:rsidR="00EE6010" w:rsidRPr="009C6218" w:rsidRDefault="00CF7211" w:rsidP="0005557C">
      <w:pPr>
        <w:numPr>
          <w:ilvl w:val="0"/>
          <w:numId w:val="1"/>
        </w:numPr>
        <w:spacing w:after="200" w:line="276" w:lineRule="auto"/>
        <w:ind w:left="567" w:hanging="567"/>
        <w:rPr>
          <w:lang w:val="fr-CA"/>
        </w:rPr>
      </w:pPr>
      <w:r w:rsidRPr="009C6218">
        <w:rPr>
          <w:lang w:val="fr-CA"/>
        </w:rPr>
        <w:t>À la question de savoir si, en rédigeant l’Article, elle avait pensé qu’il serait juste d’expliquer pourquoi le procureur de la Couronne avait demandé sa récusation et qu’il avait le droit de déposer une demande de récusation, elle a répondu que « non »</w:t>
      </w:r>
      <w:r w:rsidR="001775B6" w:rsidRPr="009C6218">
        <w:rPr>
          <w:rStyle w:val="FootnoteReference"/>
          <w:lang w:val="fr-CA"/>
        </w:rPr>
        <w:footnoteReference w:id="73"/>
      </w:r>
      <w:r w:rsidRPr="009C6218">
        <w:rPr>
          <w:lang w:val="fr-CA"/>
        </w:rPr>
        <w:t>.</w:t>
      </w:r>
    </w:p>
    <w:p w14:paraId="2097E2BE" w14:textId="3787AD2F" w:rsidR="0027289C" w:rsidRPr="009C6218" w:rsidRDefault="008D72E3" w:rsidP="0005557C">
      <w:pPr>
        <w:numPr>
          <w:ilvl w:val="0"/>
          <w:numId w:val="1"/>
        </w:numPr>
        <w:spacing w:after="200" w:line="276" w:lineRule="auto"/>
        <w:ind w:left="567" w:hanging="567"/>
        <w:rPr>
          <w:lang w:val="fr-CA"/>
        </w:rPr>
      </w:pPr>
      <w:r w:rsidRPr="009C6218">
        <w:rPr>
          <w:lang w:val="fr-CA"/>
        </w:rPr>
        <w:t>L’échange qui suit au sujet de ce paragraphe est explicite. La juge de paix explique ce qu’elle a voulu dire par « tactiques inacceptables » et pourquoi, à son avis, il n’était pas nécessaire d’inclure une perspective qui fait contrepoids, même si elle en était consciente </w:t>
      </w:r>
      <w:r w:rsidR="0027289C" w:rsidRPr="009C6218">
        <w:rPr>
          <w:lang w:val="fr-CA"/>
        </w:rPr>
        <w:t>:</w:t>
      </w:r>
    </w:p>
    <w:p w14:paraId="6020C678" w14:textId="1F8A67DB" w:rsidR="00657CB5" w:rsidRPr="009C6218" w:rsidRDefault="00657CB5" w:rsidP="00955B6C">
      <w:pPr>
        <w:spacing w:after="160" w:line="256" w:lineRule="auto"/>
        <w:ind w:left="851" w:right="855"/>
        <w:rPr>
          <w:lang w:val="fr-CA"/>
        </w:rPr>
      </w:pPr>
      <w:r w:rsidRPr="009C6218">
        <w:rPr>
          <w:lang w:val="fr-CA"/>
        </w:rPr>
        <w:t xml:space="preserve">Q. //…// </w:t>
      </w:r>
      <w:r w:rsidR="008D72E3" w:rsidRPr="009C6218">
        <w:rPr>
          <w:lang w:val="fr-CA"/>
        </w:rPr>
        <w:t xml:space="preserve">Donc, pas de doute, Madame la Juge de paix, vous accusez les procureurs de la Couronne d’employer des tactiques inacceptables. </w:t>
      </w:r>
      <w:r w:rsidRPr="009C6218">
        <w:rPr>
          <w:lang w:val="fr-CA"/>
        </w:rPr>
        <w:t>…</w:t>
      </w:r>
    </w:p>
    <w:p w14:paraId="6F6DC445" w14:textId="321EFEA9" w:rsidR="00657CB5" w:rsidRPr="009C6218" w:rsidRDefault="008D72E3" w:rsidP="00955B6C">
      <w:pPr>
        <w:pStyle w:val="ListParagraph"/>
        <w:ind w:left="851" w:right="855"/>
        <w:rPr>
          <w:lang w:val="fr-CA"/>
        </w:rPr>
      </w:pPr>
      <w:r w:rsidRPr="009C6218">
        <w:rPr>
          <w:lang w:val="fr-CA"/>
        </w:rPr>
        <w:t>R</w:t>
      </w:r>
      <w:r w:rsidR="00657CB5" w:rsidRPr="009C6218">
        <w:rPr>
          <w:lang w:val="fr-CA"/>
        </w:rPr>
        <w:t xml:space="preserve">. </w:t>
      </w:r>
      <w:r w:rsidRPr="009C6218">
        <w:rPr>
          <w:lang w:val="fr-CA"/>
        </w:rPr>
        <w:t>Oui</w:t>
      </w:r>
    </w:p>
    <w:p w14:paraId="610F7457" w14:textId="77777777" w:rsidR="00657CB5" w:rsidRPr="009C6218" w:rsidRDefault="00657CB5" w:rsidP="00955B6C">
      <w:pPr>
        <w:pStyle w:val="ListParagraph"/>
        <w:ind w:left="851" w:right="855"/>
        <w:rPr>
          <w:lang w:val="fr-CA"/>
        </w:rPr>
      </w:pPr>
    </w:p>
    <w:p w14:paraId="28EF0F63" w14:textId="544A8A13" w:rsidR="00657CB5" w:rsidRPr="009C6218" w:rsidRDefault="00657CB5" w:rsidP="00955B6C">
      <w:pPr>
        <w:pStyle w:val="ListParagraph"/>
        <w:ind w:left="851" w:right="855"/>
        <w:rPr>
          <w:lang w:val="fr-CA"/>
        </w:rPr>
      </w:pPr>
      <w:r w:rsidRPr="009C6218">
        <w:rPr>
          <w:lang w:val="fr-CA"/>
        </w:rPr>
        <w:lastRenderedPageBreak/>
        <w:t xml:space="preserve">Q … </w:t>
      </w:r>
      <w:r w:rsidR="008D72E3" w:rsidRPr="009C6218">
        <w:rPr>
          <w:lang w:val="fr-CA"/>
        </w:rPr>
        <w:t>vous voulez dire une méthode d’intimidation illégale, cynique, n’est-ce pas</w:t>
      </w:r>
      <w:r w:rsidRPr="009C6218">
        <w:rPr>
          <w:lang w:val="fr-CA"/>
        </w:rPr>
        <w:t>?</w:t>
      </w:r>
    </w:p>
    <w:p w14:paraId="633667CA" w14:textId="0C819DE5" w:rsidR="00657CB5" w:rsidRPr="009C6218" w:rsidRDefault="008D72E3" w:rsidP="00955B6C">
      <w:pPr>
        <w:pStyle w:val="ListParagraph"/>
        <w:ind w:left="851" w:right="855"/>
        <w:rPr>
          <w:lang w:val="fr-CA"/>
        </w:rPr>
      </w:pPr>
      <w:r w:rsidRPr="009C6218">
        <w:rPr>
          <w:lang w:val="fr-CA"/>
        </w:rPr>
        <w:t>R</w:t>
      </w:r>
      <w:r w:rsidR="00657CB5" w:rsidRPr="009C6218">
        <w:rPr>
          <w:lang w:val="fr-CA"/>
        </w:rPr>
        <w:t xml:space="preserve">. </w:t>
      </w:r>
      <w:r w:rsidRPr="009C6218">
        <w:rPr>
          <w:lang w:val="fr-CA"/>
        </w:rPr>
        <w:t>Oui</w:t>
      </w:r>
    </w:p>
    <w:p w14:paraId="3938A665" w14:textId="77777777" w:rsidR="00657CB5" w:rsidRPr="009C6218" w:rsidRDefault="00657CB5" w:rsidP="00955B6C">
      <w:pPr>
        <w:pStyle w:val="ListParagraph"/>
        <w:ind w:left="851" w:right="855"/>
        <w:rPr>
          <w:lang w:val="fr-CA"/>
        </w:rPr>
      </w:pPr>
    </w:p>
    <w:p w14:paraId="4D544DC0" w14:textId="23C01690" w:rsidR="00657CB5" w:rsidRPr="009C6218" w:rsidRDefault="00657CB5" w:rsidP="00955B6C">
      <w:pPr>
        <w:pStyle w:val="ListParagraph"/>
        <w:ind w:left="851" w:right="855"/>
        <w:rPr>
          <w:lang w:val="fr-CA"/>
        </w:rPr>
      </w:pPr>
      <w:r w:rsidRPr="009C6218">
        <w:rPr>
          <w:lang w:val="fr-CA"/>
        </w:rPr>
        <w:t xml:space="preserve">Q. </w:t>
      </w:r>
      <w:r w:rsidR="008D72E3" w:rsidRPr="009C6218">
        <w:rPr>
          <w:lang w:val="fr-CA"/>
        </w:rPr>
        <w:t>et vous les accusez de s’ingérer dans le rôle du tribunal, c’est bien ça</w:t>
      </w:r>
      <w:r w:rsidRPr="009C6218">
        <w:rPr>
          <w:lang w:val="fr-CA"/>
        </w:rPr>
        <w:t>?</w:t>
      </w:r>
    </w:p>
    <w:p w14:paraId="3637AF85" w14:textId="77777777" w:rsidR="00657CB5" w:rsidRPr="009C6218" w:rsidRDefault="00657CB5" w:rsidP="00955B6C">
      <w:pPr>
        <w:pStyle w:val="ListParagraph"/>
        <w:ind w:left="851" w:right="855"/>
        <w:rPr>
          <w:lang w:val="fr-CA"/>
        </w:rPr>
      </w:pPr>
    </w:p>
    <w:p w14:paraId="115542F5" w14:textId="53959461" w:rsidR="00657CB5" w:rsidRPr="009C6218" w:rsidRDefault="008D72E3" w:rsidP="00955B6C">
      <w:pPr>
        <w:pStyle w:val="ListParagraph"/>
        <w:ind w:left="851" w:right="855"/>
        <w:rPr>
          <w:lang w:val="fr-CA"/>
        </w:rPr>
      </w:pPr>
      <w:r w:rsidRPr="009C6218">
        <w:rPr>
          <w:lang w:val="fr-CA"/>
        </w:rPr>
        <w:t>R</w:t>
      </w:r>
      <w:r w:rsidR="00657CB5" w:rsidRPr="009C6218">
        <w:rPr>
          <w:lang w:val="fr-CA"/>
        </w:rPr>
        <w:t xml:space="preserve">. </w:t>
      </w:r>
      <w:r w:rsidRPr="009C6218">
        <w:rPr>
          <w:lang w:val="fr-CA"/>
        </w:rPr>
        <w:t>Oui</w:t>
      </w:r>
    </w:p>
    <w:p w14:paraId="0EF668FB" w14:textId="77777777" w:rsidR="00657CB5" w:rsidRPr="009C6218" w:rsidRDefault="00657CB5" w:rsidP="00955B6C">
      <w:pPr>
        <w:pStyle w:val="ListParagraph"/>
        <w:ind w:left="851" w:right="855"/>
        <w:rPr>
          <w:lang w:val="fr-CA"/>
        </w:rPr>
      </w:pPr>
    </w:p>
    <w:p w14:paraId="1E260C99" w14:textId="611C3ABE" w:rsidR="00657CB5" w:rsidRPr="009C6218" w:rsidRDefault="00657CB5" w:rsidP="00955B6C">
      <w:pPr>
        <w:pStyle w:val="ListParagraph"/>
        <w:ind w:left="851" w:right="855"/>
        <w:rPr>
          <w:lang w:val="fr-CA"/>
        </w:rPr>
      </w:pPr>
      <w:r w:rsidRPr="009C6218">
        <w:rPr>
          <w:lang w:val="fr-CA"/>
        </w:rPr>
        <w:t xml:space="preserve">Q. </w:t>
      </w:r>
      <w:r w:rsidR="008D72E3" w:rsidRPr="009C6218">
        <w:rPr>
          <w:lang w:val="fr-CA"/>
        </w:rPr>
        <w:t>D’usurper le rôle du tribunal</w:t>
      </w:r>
      <w:r w:rsidRPr="009C6218">
        <w:rPr>
          <w:lang w:val="fr-CA"/>
        </w:rPr>
        <w:t>?</w:t>
      </w:r>
    </w:p>
    <w:p w14:paraId="34BE11E4" w14:textId="77777777" w:rsidR="00657CB5" w:rsidRPr="009C6218" w:rsidRDefault="00657CB5" w:rsidP="00955B6C">
      <w:pPr>
        <w:pStyle w:val="ListParagraph"/>
        <w:ind w:left="851" w:right="855"/>
        <w:rPr>
          <w:lang w:val="fr-CA"/>
        </w:rPr>
      </w:pPr>
    </w:p>
    <w:p w14:paraId="7AC1162A" w14:textId="7C490B0D" w:rsidR="00657CB5" w:rsidRPr="009C6218" w:rsidRDefault="008D72E3" w:rsidP="00955B6C">
      <w:pPr>
        <w:pStyle w:val="ListParagraph"/>
        <w:ind w:left="851" w:right="855"/>
        <w:rPr>
          <w:lang w:val="fr-CA"/>
        </w:rPr>
      </w:pPr>
      <w:r w:rsidRPr="009C6218">
        <w:rPr>
          <w:lang w:val="fr-CA"/>
        </w:rPr>
        <w:t>R</w:t>
      </w:r>
      <w:r w:rsidR="00657CB5" w:rsidRPr="009C6218">
        <w:rPr>
          <w:lang w:val="fr-CA"/>
        </w:rPr>
        <w:t xml:space="preserve">. </w:t>
      </w:r>
      <w:r w:rsidRPr="009C6218">
        <w:rPr>
          <w:lang w:val="fr-CA"/>
        </w:rPr>
        <w:t>et la responsabilité du tribunal, oui</w:t>
      </w:r>
      <w:r w:rsidR="00657CB5" w:rsidRPr="009C6218">
        <w:rPr>
          <w:lang w:val="fr-CA"/>
        </w:rPr>
        <w:t>.</w:t>
      </w:r>
    </w:p>
    <w:p w14:paraId="5C7C4E41" w14:textId="77777777" w:rsidR="00657CB5" w:rsidRPr="009C6218" w:rsidRDefault="00657CB5" w:rsidP="00955B6C">
      <w:pPr>
        <w:pStyle w:val="ListParagraph"/>
        <w:ind w:left="851" w:right="855"/>
        <w:rPr>
          <w:lang w:val="fr-CA"/>
        </w:rPr>
      </w:pPr>
    </w:p>
    <w:p w14:paraId="27D2FD57" w14:textId="4589181B" w:rsidR="00657CB5" w:rsidRPr="009C6218" w:rsidRDefault="00657CB5" w:rsidP="00955B6C">
      <w:pPr>
        <w:pStyle w:val="ListParagraph"/>
        <w:ind w:left="851" w:right="855"/>
        <w:rPr>
          <w:lang w:val="fr-CA"/>
        </w:rPr>
      </w:pPr>
      <w:r w:rsidRPr="009C6218">
        <w:rPr>
          <w:lang w:val="fr-CA"/>
        </w:rPr>
        <w:t xml:space="preserve">Q. </w:t>
      </w:r>
      <w:r w:rsidR="00B53598" w:rsidRPr="009C6218">
        <w:rPr>
          <w:lang w:val="fr-CA"/>
        </w:rPr>
        <w:t>et dans une certaine mesure, cela sert leur objectif cynique, c’est bien ça</w:t>
      </w:r>
      <w:r w:rsidRPr="009C6218">
        <w:rPr>
          <w:lang w:val="fr-CA"/>
        </w:rPr>
        <w:t>?</w:t>
      </w:r>
    </w:p>
    <w:p w14:paraId="644DB165" w14:textId="77777777" w:rsidR="00657CB5" w:rsidRPr="009C6218" w:rsidRDefault="00657CB5" w:rsidP="00955B6C">
      <w:pPr>
        <w:pStyle w:val="ListParagraph"/>
        <w:ind w:left="851" w:right="855"/>
        <w:rPr>
          <w:lang w:val="fr-CA"/>
        </w:rPr>
      </w:pPr>
    </w:p>
    <w:p w14:paraId="139B51C7" w14:textId="2BB69EDC" w:rsidR="00657CB5" w:rsidRPr="009C6218" w:rsidRDefault="008D72E3" w:rsidP="00955B6C">
      <w:pPr>
        <w:pStyle w:val="ListParagraph"/>
        <w:ind w:left="851" w:right="855"/>
        <w:rPr>
          <w:lang w:val="fr-CA"/>
        </w:rPr>
      </w:pPr>
      <w:r w:rsidRPr="009C6218">
        <w:rPr>
          <w:lang w:val="fr-CA"/>
        </w:rPr>
        <w:t>R</w:t>
      </w:r>
      <w:r w:rsidR="00657CB5" w:rsidRPr="009C6218">
        <w:rPr>
          <w:lang w:val="fr-CA"/>
        </w:rPr>
        <w:t>. No</w:t>
      </w:r>
      <w:r w:rsidR="00B53598" w:rsidRPr="009C6218">
        <w:rPr>
          <w:lang w:val="fr-CA"/>
        </w:rPr>
        <w:t>n</w:t>
      </w:r>
      <w:r w:rsidR="00657CB5" w:rsidRPr="009C6218">
        <w:rPr>
          <w:lang w:val="fr-CA"/>
        </w:rPr>
        <w:t xml:space="preserve">. </w:t>
      </w:r>
      <w:r w:rsidR="00B53598" w:rsidRPr="009C6218">
        <w:rPr>
          <w:lang w:val="fr-CA"/>
        </w:rPr>
        <w:t>Ce n’est pas ce que j’ai dit</w:t>
      </w:r>
      <w:r w:rsidR="00657CB5" w:rsidRPr="009C6218">
        <w:rPr>
          <w:lang w:val="fr-CA"/>
        </w:rPr>
        <w:t>.</w:t>
      </w:r>
    </w:p>
    <w:p w14:paraId="489CE9DA" w14:textId="77777777" w:rsidR="00657CB5" w:rsidRPr="009C6218" w:rsidRDefault="00657CB5" w:rsidP="00955B6C">
      <w:pPr>
        <w:pStyle w:val="ListParagraph"/>
        <w:ind w:left="851" w:right="855"/>
        <w:rPr>
          <w:lang w:val="fr-CA"/>
        </w:rPr>
      </w:pPr>
    </w:p>
    <w:p w14:paraId="46C430A1" w14:textId="026F8178" w:rsidR="00657CB5" w:rsidRPr="009C6218" w:rsidRDefault="00657CB5" w:rsidP="00861F54">
      <w:pPr>
        <w:pStyle w:val="ListParagraph"/>
        <w:ind w:left="851" w:right="855"/>
        <w:jc w:val="center"/>
        <w:rPr>
          <w:lang w:val="fr-CA"/>
        </w:rPr>
      </w:pPr>
      <w:r w:rsidRPr="009C6218">
        <w:rPr>
          <w:lang w:val="fr-CA"/>
        </w:rPr>
        <w:t>// …//</w:t>
      </w:r>
    </w:p>
    <w:p w14:paraId="6963696B" w14:textId="25D02B01" w:rsidR="0027289C" w:rsidRPr="009C6218" w:rsidRDefault="0027289C" w:rsidP="00955B6C">
      <w:pPr>
        <w:pStyle w:val="ListParagraph"/>
        <w:ind w:left="851" w:right="855"/>
        <w:rPr>
          <w:lang w:val="fr-CA"/>
        </w:rPr>
      </w:pPr>
    </w:p>
    <w:p w14:paraId="3E0E85E1" w14:textId="70667F8A" w:rsidR="0027289C" w:rsidRPr="009C6218" w:rsidRDefault="0027289C" w:rsidP="00955B6C">
      <w:pPr>
        <w:pStyle w:val="ListParagraph"/>
        <w:ind w:left="851" w:right="855"/>
        <w:rPr>
          <w:lang w:val="fr-CA"/>
        </w:rPr>
      </w:pPr>
      <w:r w:rsidRPr="009C6218">
        <w:rPr>
          <w:lang w:val="fr-CA"/>
        </w:rPr>
        <w:t xml:space="preserve">Q. </w:t>
      </w:r>
      <w:r w:rsidR="00B53598" w:rsidRPr="009C6218">
        <w:rPr>
          <w:lang w:val="fr-CA"/>
        </w:rPr>
        <w:t>D’accord. Donc</w:t>
      </w:r>
      <w:r w:rsidR="00862124">
        <w:rPr>
          <w:lang w:val="fr-CA"/>
        </w:rPr>
        <w:t>,</w:t>
      </w:r>
      <w:r w:rsidR="00B53598" w:rsidRPr="009C6218">
        <w:rPr>
          <w:lang w:val="fr-CA"/>
        </w:rPr>
        <w:t xml:space="preserve"> les tactiques inacceptables sont </w:t>
      </w:r>
      <w:r w:rsidRPr="009C6218">
        <w:rPr>
          <w:lang w:val="fr-CA"/>
        </w:rPr>
        <w:t>…</w:t>
      </w:r>
    </w:p>
    <w:p w14:paraId="3C1BE5C9" w14:textId="77777777" w:rsidR="0027289C" w:rsidRPr="009C6218" w:rsidRDefault="0027289C" w:rsidP="00955B6C">
      <w:pPr>
        <w:pStyle w:val="ListParagraph"/>
        <w:ind w:left="851" w:right="855"/>
        <w:rPr>
          <w:lang w:val="fr-CA"/>
        </w:rPr>
      </w:pPr>
    </w:p>
    <w:p w14:paraId="2AE287B9" w14:textId="154B145B" w:rsidR="0027289C" w:rsidRPr="009C6218" w:rsidRDefault="0027289C" w:rsidP="00861F54">
      <w:pPr>
        <w:pStyle w:val="ListParagraph"/>
        <w:ind w:left="851" w:right="855"/>
        <w:jc w:val="center"/>
        <w:rPr>
          <w:lang w:val="fr-CA"/>
        </w:rPr>
      </w:pPr>
      <w:r w:rsidRPr="009C6218">
        <w:rPr>
          <w:lang w:val="fr-CA"/>
        </w:rPr>
        <w:t>//…//</w:t>
      </w:r>
    </w:p>
    <w:p w14:paraId="7C58B3B5" w14:textId="71F31FFC" w:rsidR="0027289C" w:rsidRPr="009C6218" w:rsidRDefault="0027289C" w:rsidP="00955B6C">
      <w:pPr>
        <w:pStyle w:val="ListParagraph"/>
        <w:ind w:left="851" w:right="855"/>
        <w:rPr>
          <w:lang w:val="fr-CA"/>
        </w:rPr>
      </w:pPr>
    </w:p>
    <w:p w14:paraId="171F02DB" w14:textId="5C478C04" w:rsidR="0027289C" w:rsidRPr="009C6218" w:rsidRDefault="00B331DD" w:rsidP="00B331DD">
      <w:pPr>
        <w:ind w:left="851" w:right="855"/>
        <w:rPr>
          <w:lang w:val="fr-CA"/>
        </w:rPr>
      </w:pPr>
      <w:r w:rsidRPr="009C6218">
        <w:rPr>
          <w:lang w:val="fr-CA"/>
        </w:rPr>
        <w:t>R.</w:t>
      </w:r>
      <w:r w:rsidRPr="009C6218">
        <w:rPr>
          <w:lang w:val="fr-CA"/>
        </w:rPr>
        <w:tab/>
      </w:r>
      <w:r w:rsidR="0027289C" w:rsidRPr="009C6218">
        <w:rPr>
          <w:lang w:val="fr-CA"/>
        </w:rPr>
        <w:t xml:space="preserve">… </w:t>
      </w:r>
      <w:r w:rsidRPr="009C6218">
        <w:rPr>
          <w:lang w:val="fr-CA"/>
        </w:rPr>
        <w:t xml:space="preserve">J’aurais pu parler d’autres tactiques inacceptables, mais je me suis limitée aux principales </w:t>
      </w:r>
      <w:r w:rsidR="0027289C" w:rsidRPr="009C6218">
        <w:rPr>
          <w:lang w:val="fr-CA"/>
        </w:rPr>
        <w:t>…</w:t>
      </w:r>
      <w:r w:rsidRPr="009C6218">
        <w:rPr>
          <w:lang w:val="fr-CA"/>
        </w:rPr>
        <w:t xml:space="preserve">les trois au bas de la page </w:t>
      </w:r>
      <w:r w:rsidR="0027289C" w:rsidRPr="009C6218">
        <w:rPr>
          <w:lang w:val="fr-CA"/>
        </w:rPr>
        <w:t>2</w:t>
      </w:r>
      <w:r w:rsidR="00442234" w:rsidRPr="009C6218">
        <w:rPr>
          <w:lang w:val="fr-CA"/>
        </w:rPr>
        <w:t>.</w:t>
      </w:r>
    </w:p>
    <w:p w14:paraId="6F8A618F" w14:textId="77777777" w:rsidR="00657CB5" w:rsidRPr="009C6218" w:rsidRDefault="00657CB5" w:rsidP="00955B6C">
      <w:pPr>
        <w:pStyle w:val="ListParagraph"/>
        <w:ind w:left="851" w:right="855"/>
        <w:rPr>
          <w:lang w:val="fr-CA"/>
        </w:rPr>
      </w:pPr>
    </w:p>
    <w:p w14:paraId="2ACD9952" w14:textId="3CA183E9" w:rsidR="00657CB5" w:rsidRPr="009C6218" w:rsidRDefault="00B331DD" w:rsidP="00955B6C">
      <w:pPr>
        <w:pStyle w:val="ListParagraph"/>
        <w:spacing w:after="160" w:line="256" w:lineRule="auto"/>
        <w:ind w:left="851" w:right="855"/>
        <w:rPr>
          <w:lang w:val="fr-CA"/>
        </w:rPr>
      </w:pPr>
      <w:r w:rsidRPr="009C6218">
        <w:rPr>
          <w:lang w:val="fr-CA"/>
        </w:rPr>
        <w:t>Attendez</w:t>
      </w:r>
      <w:r w:rsidR="00657CB5" w:rsidRPr="009C6218">
        <w:rPr>
          <w:lang w:val="fr-CA"/>
        </w:rPr>
        <w:t xml:space="preserve">. </w:t>
      </w:r>
      <w:r w:rsidRPr="009C6218">
        <w:rPr>
          <w:lang w:val="fr-CA"/>
        </w:rPr>
        <w:t xml:space="preserve">Vous savez aussi </w:t>
      </w:r>
      <w:r w:rsidR="00657CB5" w:rsidRPr="009C6218">
        <w:rPr>
          <w:lang w:val="fr-CA"/>
        </w:rPr>
        <w:t xml:space="preserve">… </w:t>
      </w:r>
      <w:r w:rsidRPr="009C6218">
        <w:rPr>
          <w:lang w:val="fr-CA"/>
        </w:rPr>
        <w:t>là où je mentionne l’intimidation, celle-ci. Oui, donc l’intimidation et ces trois exemples</w:t>
      </w:r>
      <w:r w:rsidR="00657CB5" w:rsidRPr="009C6218">
        <w:rPr>
          <w:lang w:val="fr-CA"/>
        </w:rPr>
        <w:t>.</w:t>
      </w:r>
    </w:p>
    <w:p w14:paraId="2C7FA7B2" w14:textId="7BA3D3A2" w:rsidR="00657CB5" w:rsidRPr="009C6218" w:rsidRDefault="00657CB5" w:rsidP="00955B6C">
      <w:pPr>
        <w:ind w:left="851" w:right="855"/>
        <w:rPr>
          <w:lang w:val="fr-CA"/>
        </w:rPr>
      </w:pPr>
      <w:r w:rsidRPr="009C6218">
        <w:rPr>
          <w:lang w:val="fr-CA"/>
        </w:rPr>
        <w:t xml:space="preserve">Q. </w:t>
      </w:r>
      <w:r w:rsidR="00B331DD" w:rsidRPr="009C6218">
        <w:rPr>
          <w:lang w:val="fr-CA"/>
        </w:rPr>
        <w:t>D’accord. Merci. Et vous faites tout ça, sans même tenter d’expliquer leur version de l’histoire, c’est ça</w:t>
      </w:r>
      <w:r w:rsidRPr="009C6218">
        <w:rPr>
          <w:lang w:val="fr-CA"/>
        </w:rPr>
        <w:t>?</w:t>
      </w:r>
    </w:p>
    <w:p w14:paraId="38512763" w14:textId="77777777" w:rsidR="00657CB5" w:rsidRPr="009C6218" w:rsidRDefault="00657CB5" w:rsidP="00955B6C">
      <w:pPr>
        <w:ind w:left="851" w:right="855"/>
        <w:rPr>
          <w:lang w:val="fr-CA"/>
        </w:rPr>
      </w:pPr>
    </w:p>
    <w:p w14:paraId="1C60E4FF" w14:textId="599ABBC6" w:rsidR="00657CB5" w:rsidRPr="009C6218" w:rsidRDefault="00B331DD" w:rsidP="00955B6C">
      <w:pPr>
        <w:ind w:left="851" w:right="855"/>
        <w:rPr>
          <w:lang w:val="fr-CA"/>
        </w:rPr>
      </w:pPr>
      <w:r w:rsidRPr="009C6218">
        <w:rPr>
          <w:lang w:val="fr-CA"/>
        </w:rPr>
        <w:t>R</w:t>
      </w:r>
      <w:r w:rsidR="00657CB5" w:rsidRPr="009C6218">
        <w:rPr>
          <w:lang w:val="fr-CA"/>
        </w:rPr>
        <w:t xml:space="preserve">. </w:t>
      </w:r>
      <w:r w:rsidRPr="009C6218">
        <w:rPr>
          <w:lang w:val="fr-CA"/>
        </w:rPr>
        <w:t>J’ai déjà répondu à cette question, mais je n’ai pas pensé que c’était de mon devoir de dresser un tableau complet</w:t>
      </w:r>
      <w:r w:rsidR="00657CB5" w:rsidRPr="009C6218">
        <w:rPr>
          <w:lang w:val="fr-CA"/>
        </w:rPr>
        <w:t xml:space="preserve">… </w:t>
      </w:r>
      <w:r w:rsidRPr="009C6218">
        <w:rPr>
          <w:u w:val="single"/>
          <w:lang w:val="fr-CA"/>
        </w:rPr>
        <w:t>C’est un article d’op</w:t>
      </w:r>
      <w:r w:rsidR="00862124">
        <w:rPr>
          <w:u w:val="single"/>
          <w:lang w:val="fr-CA"/>
        </w:rPr>
        <w:t>i</w:t>
      </w:r>
      <w:r w:rsidRPr="009C6218">
        <w:rPr>
          <w:u w:val="single"/>
          <w:lang w:val="fr-CA"/>
        </w:rPr>
        <w:t>nion</w:t>
      </w:r>
      <w:r w:rsidR="00657CB5" w:rsidRPr="009C6218">
        <w:rPr>
          <w:lang w:val="fr-CA"/>
        </w:rPr>
        <w:t xml:space="preserve">, </w:t>
      </w:r>
      <w:r w:rsidRPr="009C6218">
        <w:rPr>
          <w:lang w:val="fr-CA"/>
        </w:rPr>
        <w:t>et</w:t>
      </w:r>
      <w:r w:rsidR="00657CB5" w:rsidRPr="009C6218">
        <w:rPr>
          <w:lang w:val="fr-CA"/>
        </w:rPr>
        <w:t xml:space="preserve"> </w:t>
      </w:r>
      <w:r w:rsidRPr="009C6218">
        <w:rPr>
          <w:u w:val="single"/>
          <w:lang w:val="fr-CA"/>
        </w:rPr>
        <w:t>je n’ai pas pensé que je devai</w:t>
      </w:r>
      <w:r w:rsidR="00862124">
        <w:rPr>
          <w:u w:val="single"/>
          <w:lang w:val="fr-CA"/>
        </w:rPr>
        <w:t>s</w:t>
      </w:r>
      <w:r w:rsidRPr="009C6218">
        <w:rPr>
          <w:u w:val="single"/>
          <w:lang w:val="fr-CA"/>
        </w:rPr>
        <w:t xml:space="preserve"> ou qu’il était de mon devoir d’expliquer leur côté</w:t>
      </w:r>
      <w:r w:rsidR="00657CB5" w:rsidRPr="009C6218">
        <w:rPr>
          <w:u w:val="single"/>
          <w:lang w:val="fr-CA"/>
        </w:rPr>
        <w:t>.</w:t>
      </w:r>
      <w:r w:rsidR="00657CB5" w:rsidRPr="009C6218">
        <w:rPr>
          <w:lang w:val="fr-CA"/>
        </w:rPr>
        <w:t xml:space="preserve"> </w:t>
      </w:r>
      <w:r w:rsidRPr="009C6218">
        <w:rPr>
          <w:lang w:val="fr-CA"/>
        </w:rPr>
        <w:t>Ils sont mieux placés pour expliquer que …//…// Je savais déjà quelle était leur position</w:t>
      </w:r>
      <w:r w:rsidR="00657CB5" w:rsidRPr="009C6218">
        <w:rPr>
          <w:lang w:val="fr-CA"/>
        </w:rPr>
        <w:t xml:space="preserve">. </w:t>
      </w:r>
      <w:r w:rsidRPr="009C6218">
        <w:rPr>
          <w:lang w:val="fr-CA"/>
        </w:rPr>
        <w:t>J’ai</w:t>
      </w:r>
      <w:r w:rsidR="00657CB5" w:rsidRPr="009C6218">
        <w:rPr>
          <w:lang w:val="fr-CA"/>
        </w:rPr>
        <w:t xml:space="preserve"> … </w:t>
      </w:r>
      <w:r w:rsidRPr="009C6218">
        <w:rPr>
          <w:lang w:val="fr-CA"/>
        </w:rPr>
        <w:t>leur position m’a été clairement exposée</w:t>
      </w:r>
      <w:r w:rsidR="00657CB5" w:rsidRPr="009C6218">
        <w:rPr>
          <w:lang w:val="fr-CA"/>
        </w:rPr>
        <w:t>.</w:t>
      </w:r>
      <w:r w:rsidR="009669C8" w:rsidRPr="009C6218">
        <w:rPr>
          <w:lang w:val="fr-CA"/>
        </w:rPr>
        <w:t xml:space="preserve"> (</w:t>
      </w:r>
      <w:proofErr w:type="gramStart"/>
      <w:r w:rsidRPr="009C6218">
        <w:rPr>
          <w:lang w:val="fr-CA"/>
        </w:rPr>
        <w:t>mise</w:t>
      </w:r>
      <w:proofErr w:type="gramEnd"/>
      <w:r w:rsidRPr="009C6218">
        <w:rPr>
          <w:lang w:val="fr-CA"/>
        </w:rPr>
        <w:t xml:space="preserve"> en valeur ajoutée</w:t>
      </w:r>
      <w:r w:rsidR="009669C8" w:rsidRPr="009C6218">
        <w:rPr>
          <w:lang w:val="fr-CA"/>
        </w:rPr>
        <w:t>)</w:t>
      </w:r>
    </w:p>
    <w:p w14:paraId="4C3DD0EB" w14:textId="77777777" w:rsidR="00657CB5" w:rsidRPr="009C6218" w:rsidRDefault="00657CB5" w:rsidP="00955B6C">
      <w:pPr>
        <w:ind w:left="851" w:right="855"/>
        <w:rPr>
          <w:lang w:val="fr-CA"/>
        </w:rPr>
      </w:pPr>
    </w:p>
    <w:p w14:paraId="7A84AFBE" w14:textId="04DFD599" w:rsidR="00657CB5" w:rsidRPr="009C6218" w:rsidRDefault="00657CB5" w:rsidP="00955B6C">
      <w:pPr>
        <w:ind w:left="851" w:right="855"/>
        <w:rPr>
          <w:lang w:val="fr-CA"/>
        </w:rPr>
      </w:pPr>
      <w:r w:rsidRPr="009C6218">
        <w:rPr>
          <w:lang w:val="fr-CA"/>
        </w:rPr>
        <w:t xml:space="preserve">Q. </w:t>
      </w:r>
      <w:r w:rsidR="00B331DD" w:rsidRPr="009C6218">
        <w:rPr>
          <w:lang w:val="fr-CA"/>
        </w:rPr>
        <w:t>Donc, vous auriez pu le mettre dans votre article</w:t>
      </w:r>
      <w:r w:rsidRPr="009C6218">
        <w:rPr>
          <w:lang w:val="fr-CA"/>
        </w:rPr>
        <w:t>?</w:t>
      </w:r>
    </w:p>
    <w:p w14:paraId="4F570D33" w14:textId="77777777" w:rsidR="00657CB5" w:rsidRPr="009C6218" w:rsidRDefault="00657CB5" w:rsidP="00955B6C">
      <w:pPr>
        <w:ind w:left="851" w:right="855"/>
        <w:rPr>
          <w:lang w:val="fr-CA"/>
        </w:rPr>
      </w:pPr>
    </w:p>
    <w:p w14:paraId="59A23D0F" w14:textId="460B0880" w:rsidR="00657CB5" w:rsidRPr="009C6218" w:rsidRDefault="00B331DD" w:rsidP="00955B6C">
      <w:pPr>
        <w:ind w:left="851" w:right="855"/>
        <w:rPr>
          <w:lang w:val="fr-CA"/>
        </w:rPr>
      </w:pPr>
      <w:r w:rsidRPr="009C6218">
        <w:rPr>
          <w:lang w:val="fr-CA"/>
        </w:rPr>
        <w:t>R</w:t>
      </w:r>
      <w:r w:rsidR="00657CB5" w:rsidRPr="009C6218">
        <w:rPr>
          <w:lang w:val="fr-CA"/>
        </w:rPr>
        <w:t xml:space="preserve">. </w:t>
      </w:r>
      <w:r w:rsidRPr="009C6218">
        <w:rPr>
          <w:u w:val="single"/>
          <w:lang w:val="fr-CA"/>
        </w:rPr>
        <w:t xml:space="preserve">Je ne vois pas </w:t>
      </w:r>
      <w:r w:rsidR="00862124">
        <w:rPr>
          <w:u w:val="single"/>
          <w:lang w:val="fr-CA"/>
        </w:rPr>
        <w:t xml:space="preserve">le </w:t>
      </w:r>
      <w:r w:rsidRPr="009C6218">
        <w:rPr>
          <w:u w:val="single"/>
          <w:lang w:val="fr-CA"/>
        </w:rPr>
        <w:t>besoin de le faire ni la nécessité</w:t>
      </w:r>
      <w:r w:rsidR="00657CB5" w:rsidRPr="009C6218">
        <w:rPr>
          <w:lang w:val="fr-CA"/>
        </w:rPr>
        <w:t xml:space="preserve">. </w:t>
      </w:r>
      <w:r w:rsidRPr="009C6218">
        <w:rPr>
          <w:lang w:val="fr-CA"/>
        </w:rPr>
        <w:t>Ils pouvaient s’exprimer s’ils le voulaient, M</w:t>
      </w:r>
      <w:r w:rsidR="00657CB5" w:rsidRPr="009C6218">
        <w:rPr>
          <w:lang w:val="fr-CA"/>
        </w:rPr>
        <w:t>. Smith</w:t>
      </w:r>
      <w:r w:rsidR="00657CB5" w:rsidRPr="009C6218">
        <w:rPr>
          <w:rStyle w:val="FootnoteReference"/>
          <w:lang w:val="fr-CA"/>
        </w:rPr>
        <w:footnoteReference w:id="74"/>
      </w:r>
      <w:r w:rsidR="00862124">
        <w:rPr>
          <w:lang w:val="fr-CA"/>
        </w:rPr>
        <w:t>.</w:t>
      </w:r>
      <w:r w:rsidR="00657CB5" w:rsidRPr="009C6218">
        <w:rPr>
          <w:lang w:val="fr-CA"/>
        </w:rPr>
        <w:t xml:space="preserve"> (</w:t>
      </w:r>
      <w:proofErr w:type="gramStart"/>
      <w:r w:rsidRPr="009C6218">
        <w:rPr>
          <w:lang w:val="fr-CA"/>
        </w:rPr>
        <w:t>mise</w:t>
      </w:r>
      <w:proofErr w:type="gramEnd"/>
      <w:r w:rsidRPr="009C6218">
        <w:rPr>
          <w:lang w:val="fr-CA"/>
        </w:rPr>
        <w:t xml:space="preserve"> en valeur ajoutée</w:t>
      </w:r>
      <w:r w:rsidR="00657CB5" w:rsidRPr="009C6218">
        <w:rPr>
          <w:lang w:val="fr-CA"/>
        </w:rPr>
        <w:t>)</w:t>
      </w:r>
    </w:p>
    <w:p w14:paraId="725D3F3C" w14:textId="77777777" w:rsidR="00CE64DF" w:rsidRPr="009C6218" w:rsidRDefault="00CE64DF" w:rsidP="00CE64DF">
      <w:pPr>
        <w:pStyle w:val="ListParagraph"/>
        <w:ind w:left="360"/>
        <w:rPr>
          <w:b/>
          <w:lang w:val="fr-CA"/>
        </w:rPr>
      </w:pPr>
    </w:p>
    <w:p w14:paraId="5CF6FFCA" w14:textId="5FBA1490" w:rsidR="005C2288" w:rsidRPr="009C6218" w:rsidRDefault="00B331DD" w:rsidP="0005557C">
      <w:pPr>
        <w:numPr>
          <w:ilvl w:val="0"/>
          <w:numId w:val="1"/>
        </w:numPr>
        <w:spacing w:after="200" w:line="276" w:lineRule="auto"/>
        <w:ind w:left="567" w:hanging="567"/>
        <w:rPr>
          <w:b/>
          <w:lang w:val="fr-CA"/>
        </w:rPr>
      </w:pPr>
      <w:r w:rsidRPr="009C6218">
        <w:rPr>
          <w:lang w:val="fr-CA"/>
        </w:rPr>
        <w:t xml:space="preserve">Enfin, au paragraphe </w:t>
      </w:r>
      <w:r w:rsidR="005C2288" w:rsidRPr="009C6218">
        <w:rPr>
          <w:lang w:val="fr-CA"/>
        </w:rPr>
        <w:t xml:space="preserve">12, </w:t>
      </w:r>
      <w:r w:rsidRPr="009C6218">
        <w:rPr>
          <w:lang w:val="fr-CA"/>
        </w:rPr>
        <w:t xml:space="preserve">la juge de paix conclut en déclarant que les conditions de la mise en liberté sous caution ne sont pas destinées à « réparer les gens » et à corriger leurs problèmes. Elle fait observer que la Charte et le </w:t>
      </w:r>
      <w:r w:rsidRPr="008E3408">
        <w:rPr>
          <w:i/>
          <w:lang w:val="fr-CA"/>
        </w:rPr>
        <w:t>Code criminel</w:t>
      </w:r>
      <w:r w:rsidRPr="009C6218">
        <w:rPr>
          <w:lang w:val="fr-CA"/>
        </w:rPr>
        <w:t xml:space="preserve"> énoncent des droits et des responsabilités légaux pour les personnes accusées d’une infraction. « Malheureusement, le principal tribunal </w:t>
      </w:r>
      <w:r w:rsidR="00774C8D" w:rsidRPr="009C6218">
        <w:rPr>
          <w:lang w:val="fr-CA"/>
        </w:rPr>
        <w:t xml:space="preserve">de sauvetage [sic] d’Ottawa et d’autres tribunaux sont devenus des organismes dysfonctionnels et punitifs, dénués de </w:t>
      </w:r>
      <w:r w:rsidR="00E83D57" w:rsidRPr="009C6218">
        <w:rPr>
          <w:lang w:val="fr-CA"/>
        </w:rPr>
        <w:t>tou</w:t>
      </w:r>
      <w:r w:rsidR="00B825C1" w:rsidRPr="009C6218">
        <w:rPr>
          <w:lang w:val="fr-CA"/>
        </w:rPr>
        <w:t>t fondement légal</w:t>
      </w:r>
      <w:r w:rsidR="005C2288" w:rsidRPr="009C6218">
        <w:rPr>
          <w:lang w:val="fr-CA"/>
        </w:rPr>
        <w:t>.</w:t>
      </w:r>
      <w:r w:rsidR="00774C8D" w:rsidRPr="009C6218">
        <w:rPr>
          <w:lang w:val="fr-CA"/>
        </w:rPr>
        <w:t> » [traduction]</w:t>
      </w:r>
    </w:p>
    <w:p w14:paraId="0ABFD1BC" w14:textId="3DBFE622" w:rsidR="005C2288" w:rsidRPr="009C6218" w:rsidRDefault="00774C8D" w:rsidP="0005557C">
      <w:pPr>
        <w:numPr>
          <w:ilvl w:val="0"/>
          <w:numId w:val="1"/>
        </w:numPr>
        <w:spacing w:after="200" w:line="276" w:lineRule="auto"/>
        <w:ind w:left="567" w:hanging="567"/>
        <w:rPr>
          <w:b/>
          <w:lang w:val="fr-CA"/>
        </w:rPr>
      </w:pPr>
      <w:r w:rsidRPr="009C6218">
        <w:rPr>
          <w:lang w:val="fr-CA"/>
        </w:rPr>
        <w:t>L’observation que les conditions de la mise en liberté sous caut</w:t>
      </w:r>
      <w:r w:rsidR="008E3408">
        <w:rPr>
          <w:lang w:val="fr-CA"/>
        </w:rPr>
        <w:t>i</w:t>
      </w:r>
      <w:r w:rsidRPr="009C6218">
        <w:rPr>
          <w:lang w:val="fr-CA"/>
        </w:rPr>
        <w:t xml:space="preserve">on n’étaient jamais destinées à constituer un outil </w:t>
      </w:r>
      <w:r w:rsidR="008E3408" w:rsidRPr="009C6218">
        <w:rPr>
          <w:lang w:val="fr-CA"/>
        </w:rPr>
        <w:t>d’</w:t>
      </w:r>
      <w:proofErr w:type="spellStart"/>
      <w:r w:rsidR="008E3408" w:rsidRPr="009C6218">
        <w:rPr>
          <w:lang w:val="fr-CA"/>
        </w:rPr>
        <w:t>auto-amélioration</w:t>
      </w:r>
      <w:proofErr w:type="spellEnd"/>
      <w:r w:rsidR="008E3408" w:rsidRPr="009C6218">
        <w:rPr>
          <w:lang w:val="fr-CA"/>
        </w:rPr>
        <w:t xml:space="preserve"> </w:t>
      </w:r>
      <w:r w:rsidRPr="009C6218">
        <w:rPr>
          <w:lang w:val="fr-CA"/>
        </w:rPr>
        <w:t xml:space="preserve">imposé par le tribunal est retenue par l’arrêt </w:t>
      </w:r>
      <w:r w:rsidRPr="009C6218">
        <w:rPr>
          <w:i/>
          <w:lang w:val="fr-CA"/>
        </w:rPr>
        <w:t>R. c</w:t>
      </w:r>
      <w:r w:rsidR="005C2288" w:rsidRPr="009C6218">
        <w:rPr>
          <w:i/>
          <w:lang w:val="fr-CA"/>
        </w:rPr>
        <w:t xml:space="preserve">. </w:t>
      </w:r>
      <w:proofErr w:type="spellStart"/>
      <w:r w:rsidR="005C2288" w:rsidRPr="009C6218">
        <w:rPr>
          <w:i/>
          <w:lang w:val="fr-CA"/>
        </w:rPr>
        <w:t>Antic</w:t>
      </w:r>
      <w:proofErr w:type="spellEnd"/>
      <w:r w:rsidR="005C2288" w:rsidRPr="009C6218">
        <w:rPr>
          <w:lang w:val="fr-CA"/>
        </w:rPr>
        <w:t xml:space="preserve">, </w:t>
      </w:r>
      <w:r w:rsidRPr="009C6218">
        <w:rPr>
          <w:lang w:val="fr-CA"/>
        </w:rPr>
        <w:t xml:space="preserve">une affaire de la CSS tranchée en </w:t>
      </w:r>
      <w:r w:rsidR="005C2288" w:rsidRPr="009C6218">
        <w:rPr>
          <w:lang w:val="fr-CA"/>
        </w:rPr>
        <w:t>2017, infra</w:t>
      </w:r>
      <w:r w:rsidR="00BC26B7" w:rsidRPr="009C6218">
        <w:rPr>
          <w:i/>
          <w:lang w:val="fr-CA"/>
        </w:rPr>
        <w:t>,</w:t>
      </w:r>
      <w:r w:rsidR="00C064AE" w:rsidRPr="009C6218">
        <w:rPr>
          <w:i/>
          <w:lang w:val="fr-CA"/>
        </w:rPr>
        <w:t xml:space="preserve"> </w:t>
      </w:r>
      <w:proofErr w:type="gramStart"/>
      <w:r w:rsidR="00C064AE" w:rsidRPr="009C6218">
        <w:rPr>
          <w:lang w:val="fr-CA"/>
        </w:rPr>
        <w:t>a</w:t>
      </w:r>
      <w:r w:rsidRPr="009C6218">
        <w:rPr>
          <w:lang w:val="fr-CA"/>
        </w:rPr>
        <w:t>ux para</w:t>
      </w:r>
      <w:proofErr w:type="gramEnd"/>
      <w:r w:rsidRPr="009C6218">
        <w:rPr>
          <w:lang w:val="fr-CA"/>
        </w:rPr>
        <w:t>.</w:t>
      </w:r>
      <w:r w:rsidR="004F5988" w:rsidRPr="009C6218">
        <w:rPr>
          <w:lang w:val="fr-CA"/>
        </w:rPr>
        <w:t xml:space="preserve"> 66-67(j</w:t>
      </w:r>
      <w:r w:rsidR="00F318E9" w:rsidRPr="009C6218">
        <w:rPr>
          <w:lang w:val="fr-CA"/>
        </w:rPr>
        <w:t>)</w:t>
      </w:r>
      <w:r w:rsidR="00F318E9" w:rsidRPr="009C6218">
        <w:rPr>
          <w:i/>
          <w:lang w:val="fr-CA"/>
        </w:rPr>
        <w:t>.</w:t>
      </w:r>
      <w:r w:rsidR="008E3408">
        <w:rPr>
          <w:i/>
          <w:lang w:val="fr-CA"/>
        </w:rPr>
        <w:t xml:space="preserve"> </w:t>
      </w:r>
    </w:p>
    <w:p w14:paraId="7BDDDB9B" w14:textId="57DA3796" w:rsidR="005C2288" w:rsidRPr="009C6218" w:rsidRDefault="00774C8D" w:rsidP="0005557C">
      <w:pPr>
        <w:numPr>
          <w:ilvl w:val="0"/>
          <w:numId w:val="1"/>
        </w:numPr>
        <w:spacing w:after="200" w:line="276" w:lineRule="auto"/>
        <w:ind w:left="567" w:hanging="567"/>
        <w:rPr>
          <w:b/>
          <w:lang w:val="fr-CA"/>
        </w:rPr>
      </w:pPr>
      <w:r w:rsidRPr="009C6218">
        <w:rPr>
          <w:lang w:val="fr-CA"/>
        </w:rPr>
        <w:t xml:space="preserve">La deuxième phrase du paragraphe </w:t>
      </w:r>
      <w:r w:rsidR="00D2034C" w:rsidRPr="009C6218">
        <w:rPr>
          <w:lang w:val="fr-CA"/>
        </w:rPr>
        <w:t>12</w:t>
      </w:r>
      <w:r w:rsidR="00661406" w:rsidRPr="009C6218">
        <w:rPr>
          <w:lang w:val="fr-CA"/>
        </w:rPr>
        <w:t xml:space="preserve"> </w:t>
      </w:r>
      <w:r w:rsidRPr="009C6218">
        <w:rPr>
          <w:lang w:val="fr-CA"/>
        </w:rPr>
        <w:t xml:space="preserve">traitant de la Charte et du </w:t>
      </w:r>
      <w:r w:rsidRPr="008E3408">
        <w:rPr>
          <w:i/>
          <w:lang w:val="fr-CA"/>
        </w:rPr>
        <w:t>Code criminel</w:t>
      </w:r>
      <w:r w:rsidRPr="009C6218">
        <w:rPr>
          <w:lang w:val="fr-CA"/>
        </w:rPr>
        <w:t xml:space="preserve"> est factuelle et il n’y a rien à </w:t>
      </w:r>
      <w:r w:rsidR="008E3408">
        <w:rPr>
          <w:lang w:val="fr-CA"/>
        </w:rPr>
        <w:t>dire à ce sujet</w:t>
      </w:r>
      <w:r w:rsidR="005C2288" w:rsidRPr="009C6218">
        <w:rPr>
          <w:lang w:val="fr-CA"/>
        </w:rPr>
        <w:t>.</w:t>
      </w:r>
    </w:p>
    <w:p w14:paraId="093EC000" w14:textId="053C0DEC" w:rsidR="005C2288" w:rsidRPr="009C6218" w:rsidRDefault="00774C8D" w:rsidP="0005557C">
      <w:pPr>
        <w:numPr>
          <w:ilvl w:val="0"/>
          <w:numId w:val="1"/>
        </w:numPr>
        <w:spacing w:after="200" w:line="276" w:lineRule="auto"/>
        <w:ind w:left="567" w:hanging="567"/>
        <w:rPr>
          <w:b/>
          <w:lang w:val="fr-CA"/>
        </w:rPr>
      </w:pPr>
      <w:r w:rsidRPr="009C6218">
        <w:rPr>
          <w:lang w:val="fr-CA"/>
        </w:rPr>
        <w:t xml:space="preserve">La dernière phrase souligne le thème central de l’Article. Elle répète le même énoncé que celui employé aux paragraphes </w:t>
      </w:r>
      <w:r w:rsidR="005C2288" w:rsidRPr="009C6218">
        <w:rPr>
          <w:lang w:val="fr-CA"/>
        </w:rPr>
        <w:t>9</w:t>
      </w:r>
      <w:r w:rsidRPr="009C6218">
        <w:rPr>
          <w:lang w:val="fr-CA"/>
        </w:rPr>
        <w:t xml:space="preserve"> et</w:t>
      </w:r>
      <w:r w:rsidR="005C2288" w:rsidRPr="009C6218">
        <w:rPr>
          <w:lang w:val="fr-CA"/>
        </w:rPr>
        <w:t xml:space="preserve"> 10</w:t>
      </w:r>
      <w:r w:rsidRPr="009C6218">
        <w:rPr>
          <w:lang w:val="fr-CA"/>
        </w:rPr>
        <w:t xml:space="preserve">, à savoir que les tribunaux de la mise en liberté sous caution « sont devenus des organismes dysfonctionnels et punitifs, dénués de </w:t>
      </w:r>
      <w:r w:rsidR="00B825C1" w:rsidRPr="009C6218">
        <w:rPr>
          <w:lang w:val="fr-CA"/>
        </w:rPr>
        <w:t>tout</w:t>
      </w:r>
      <w:r w:rsidR="008E3408">
        <w:rPr>
          <w:lang w:val="fr-CA"/>
        </w:rPr>
        <w:t>e règle de droit</w:t>
      </w:r>
      <w:r w:rsidRPr="009C6218">
        <w:rPr>
          <w:lang w:val="fr-CA"/>
        </w:rPr>
        <w:t> ».</w:t>
      </w:r>
    </w:p>
    <w:p w14:paraId="4A4B5533" w14:textId="1CFABB34" w:rsidR="00DA0EA0" w:rsidRPr="009C6218" w:rsidRDefault="006353DF" w:rsidP="0005557C">
      <w:pPr>
        <w:numPr>
          <w:ilvl w:val="0"/>
          <w:numId w:val="1"/>
        </w:numPr>
        <w:spacing w:after="200" w:line="276" w:lineRule="auto"/>
        <w:ind w:left="567" w:hanging="567"/>
        <w:rPr>
          <w:b/>
          <w:lang w:val="fr-CA"/>
        </w:rPr>
      </w:pPr>
      <w:r w:rsidRPr="009C6218">
        <w:rPr>
          <w:lang w:val="fr-CA"/>
        </w:rPr>
        <w:t xml:space="preserve">La juge de paix a déclaré dans son témoignage que lorsqu’elle a écrit </w:t>
      </w:r>
      <w:r w:rsidR="008E3408">
        <w:rPr>
          <w:lang w:val="fr-CA"/>
        </w:rPr>
        <w:t>ça</w:t>
      </w:r>
      <w:r w:rsidRPr="009C6218">
        <w:rPr>
          <w:lang w:val="fr-CA"/>
        </w:rPr>
        <w:t xml:space="preserve">, elle s’adressait au public, dont la majorité ne connaît pas les règles régissant le cautionnement. Elle a choisi </w:t>
      </w:r>
      <w:r w:rsidR="008E3408">
        <w:rPr>
          <w:lang w:val="fr-CA"/>
        </w:rPr>
        <w:t>cette formulation</w:t>
      </w:r>
      <w:r w:rsidRPr="009C6218">
        <w:rPr>
          <w:lang w:val="fr-CA"/>
        </w:rPr>
        <w:t xml:space="preserve"> pour indiquer qu’il y avait un énorme problème à régler</w:t>
      </w:r>
      <w:r w:rsidR="00DA0EA0" w:rsidRPr="009C6218">
        <w:rPr>
          <w:rStyle w:val="FootnoteReference"/>
          <w:lang w:val="fr-CA"/>
        </w:rPr>
        <w:footnoteReference w:id="75"/>
      </w:r>
      <w:r w:rsidRPr="009C6218">
        <w:rPr>
          <w:lang w:val="fr-CA"/>
        </w:rPr>
        <w:t>.</w:t>
      </w:r>
    </w:p>
    <w:p w14:paraId="7E1A9A6A" w14:textId="3455014E" w:rsidR="00F165A5" w:rsidRPr="009C6218" w:rsidRDefault="006353DF" w:rsidP="0005557C">
      <w:pPr>
        <w:numPr>
          <w:ilvl w:val="0"/>
          <w:numId w:val="1"/>
        </w:numPr>
        <w:spacing w:after="200" w:line="276" w:lineRule="auto"/>
        <w:ind w:left="567" w:hanging="567"/>
        <w:rPr>
          <w:lang w:val="fr-CA"/>
        </w:rPr>
      </w:pPr>
      <w:r w:rsidRPr="009C6218">
        <w:rPr>
          <w:lang w:val="fr-CA"/>
        </w:rPr>
        <w:t>L’analyse et l’évaluation de l’Article dans son ensemble, par le comité d’audition, soulève les questions que nous avons énoncées au début de notre analyse </w:t>
      </w:r>
      <w:r w:rsidR="00F165A5" w:rsidRPr="009C6218">
        <w:rPr>
          <w:lang w:val="fr-CA"/>
        </w:rPr>
        <w:t>:</w:t>
      </w:r>
    </w:p>
    <w:p w14:paraId="035612B1" w14:textId="7C006FC3" w:rsidR="00CE64DF" w:rsidRPr="009C6218" w:rsidRDefault="006353DF" w:rsidP="00955B6C">
      <w:pPr>
        <w:pStyle w:val="ListParagraph"/>
        <w:numPr>
          <w:ilvl w:val="0"/>
          <w:numId w:val="11"/>
        </w:numPr>
        <w:spacing w:after="160" w:line="256" w:lineRule="auto"/>
        <w:ind w:left="1134" w:right="855" w:hanging="283"/>
        <w:rPr>
          <w:lang w:val="fr-CA"/>
        </w:rPr>
      </w:pPr>
      <w:r w:rsidRPr="009C6218">
        <w:rPr>
          <w:lang w:val="fr-CA"/>
        </w:rPr>
        <w:t>En ce qui concerne le forum choisi, la juge de paix a-t-elle fait preuve de prudence dans les termes qu’elle a utilisés pour exprimer son opinion</w:t>
      </w:r>
      <w:r w:rsidR="00CE64DF" w:rsidRPr="009C6218">
        <w:rPr>
          <w:lang w:val="fr-CA"/>
        </w:rPr>
        <w:t xml:space="preserve">? </w:t>
      </w:r>
    </w:p>
    <w:p w14:paraId="776236AA" w14:textId="2C4A3272" w:rsidR="0071429B" w:rsidRPr="009C6218" w:rsidRDefault="006353DF" w:rsidP="00955B6C">
      <w:pPr>
        <w:pStyle w:val="ListParagraph"/>
        <w:numPr>
          <w:ilvl w:val="0"/>
          <w:numId w:val="11"/>
        </w:numPr>
        <w:spacing w:after="160" w:line="256" w:lineRule="auto"/>
        <w:ind w:left="1134" w:right="855" w:hanging="283"/>
        <w:rPr>
          <w:lang w:val="fr-CA"/>
        </w:rPr>
      </w:pPr>
      <w:r w:rsidRPr="009C6218">
        <w:rPr>
          <w:lang w:val="fr-CA"/>
        </w:rPr>
        <w:t>Le langage utilisé était-il civil</w:t>
      </w:r>
      <w:r w:rsidR="0071429B" w:rsidRPr="009C6218">
        <w:rPr>
          <w:lang w:val="fr-CA"/>
        </w:rPr>
        <w:t>?</w:t>
      </w:r>
    </w:p>
    <w:p w14:paraId="1817BF5C" w14:textId="6F65F486" w:rsidR="00CE64DF" w:rsidRPr="009C6218" w:rsidRDefault="006353DF" w:rsidP="00955B6C">
      <w:pPr>
        <w:pStyle w:val="ListParagraph"/>
        <w:numPr>
          <w:ilvl w:val="0"/>
          <w:numId w:val="11"/>
        </w:numPr>
        <w:spacing w:after="160" w:line="256" w:lineRule="auto"/>
        <w:ind w:left="1134" w:right="855" w:hanging="283"/>
        <w:rPr>
          <w:lang w:val="fr-CA"/>
        </w:rPr>
      </w:pPr>
      <w:r w:rsidRPr="009C6218">
        <w:rPr>
          <w:lang w:val="fr-CA"/>
        </w:rPr>
        <w:t>L’Article était-il rédigé dans un style digne, mesuré et retenu</w:t>
      </w:r>
      <w:r w:rsidR="00CE64DF" w:rsidRPr="009C6218">
        <w:rPr>
          <w:lang w:val="fr-CA"/>
        </w:rPr>
        <w:t xml:space="preserve">? </w:t>
      </w:r>
    </w:p>
    <w:p w14:paraId="6214E298" w14:textId="4A6EF4E0" w:rsidR="00CE64DF" w:rsidRPr="009C6218" w:rsidRDefault="006353DF" w:rsidP="00955B6C">
      <w:pPr>
        <w:pStyle w:val="ListParagraph"/>
        <w:numPr>
          <w:ilvl w:val="0"/>
          <w:numId w:val="11"/>
        </w:numPr>
        <w:spacing w:after="160" w:line="256" w:lineRule="auto"/>
        <w:ind w:left="1134" w:right="855" w:hanging="283"/>
        <w:rPr>
          <w:lang w:val="fr-CA"/>
        </w:rPr>
      </w:pPr>
      <w:r w:rsidRPr="009C6218">
        <w:rPr>
          <w:lang w:val="fr-CA"/>
        </w:rPr>
        <w:t>Était-il juste et équilibré</w:t>
      </w:r>
      <w:r w:rsidR="00CE64DF" w:rsidRPr="009C6218">
        <w:rPr>
          <w:lang w:val="fr-CA"/>
        </w:rPr>
        <w:t xml:space="preserve">? </w:t>
      </w:r>
    </w:p>
    <w:p w14:paraId="5645C792" w14:textId="63A8AEA8" w:rsidR="00CE64DF" w:rsidRPr="009C6218" w:rsidRDefault="006353DF" w:rsidP="00955B6C">
      <w:pPr>
        <w:pStyle w:val="ListParagraph"/>
        <w:numPr>
          <w:ilvl w:val="0"/>
          <w:numId w:val="11"/>
        </w:numPr>
        <w:spacing w:after="160" w:line="256" w:lineRule="auto"/>
        <w:ind w:left="1134" w:right="855" w:hanging="283"/>
        <w:rPr>
          <w:lang w:val="fr-CA"/>
        </w:rPr>
      </w:pPr>
      <w:r w:rsidRPr="009C6218">
        <w:rPr>
          <w:lang w:val="fr-CA"/>
        </w:rPr>
        <w:t xml:space="preserve">Quels étaient le ton global et </w:t>
      </w:r>
      <w:r w:rsidR="005D40C4" w:rsidRPr="009C6218">
        <w:rPr>
          <w:lang w:val="fr-CA"/>
        </w:rPr>
        <w:t>le style</w:t>
      </w:r>
      <w:r w:rsidRPr="009C6218">
        <w:rPr>
          <w:lang w:val="fr-CA"/>
        </w:rPr>
        <w:t xml:space="preserve"> de l’Article</w:t>
      </w:r>
      <w:r w:rsidR="00CE64DF" w:rsidRPr="009C6218">
        <w:rPr>
          <w:lang w:val="fr-CA"/>
        </w:rPr>
        <w:t xml:space="preserve">? </w:t>
      </w:r>
    </w:p>
    <w:p w14:paraId="4DEB8B2E" w14:textId="2C0E77EF" w:rsidR="00A36A2C" w:rsidRPr="009C6218" w:rsidRDefault="006353DF" w:rsidP="00A36A2C">
      <w:pPr>
        <w:pStyle w:val="ListParagraph"/>
        <w:numPr>
          <w:ilvl w:val="0"/>
          <w:numId w:val="11"/>
        </w:numPr>
        <w:spacing w:after="160" w:line="256" w:lineRule="auto"/>
        <w:ind w:left="1134" w:right="855" w:hanging="283"/>
        <w:rPr>
          <w:lang w:val="fr-CA"/>
        </w:rPr>
      </w:pPr>
      <w:r w:rsidRPr="009C6218">
        <w:rPr>
          <w:lang w:val="fr-CA"/>
        </w:rPr>
        <w:t>Quelle incidence l’Article a-t-il eu</w:t>
      </w:r>
      <w:r w:rsidR="00776713">
        <w:rPr>
          <w:lang w:val="fr-CA"/>
        </w:rPr>
        <w:t>e</w:t>
      </w:r>
      <w:r w:rsidRPr="009C6218">
        <w:rPr>
          <w:lang w:val="fr-CA"/>
        </w:rPr>
        <w:t xml:space="preserve"> sur l’appar</w:t>
      </w:r>
      <w:r w:rsidR="00776713">
        <w:rPr>
          <w:lang w:val="fr-CA"/>
        </w:rPr>
        <w:t>e</w:t>
      </w:r>
      <w:r w:rsidRPr="009C6218">
        <w:rPr>
          <w:lang w:val="fr-CA"/>
        </w:rPr>
        <w:t>nce d’impartialité de la juge de paix</w:t>
      </w:r>
      <w:r w:rsidR="00CE64DF" w:rsidRPr="009C6218">
        <w:rPr>
          <w:lang w:val="fr-CA"/>
        </w:rPr>
        <w:t xml:space="preserve">? </w:t>
      </w:r>
    </w:p>
    <w:p w14:paraId="58CE9264" w14:textId="421BD7E0" w:rsidR="00CE64DF" w:rsidRPr="009C6218" w:rsidRDefault="006353DF" w:rsidP="00A36A2C">
      <w:pPr>
        <w:pStyle w:val="ListParagraph"/>
        <w:numPr>
          <w:ilvl w:val="0"/>
          <w:numId w:val="11"/>
        </w:numPr>
        <w:spacing w:after="160" w:line="256" w:lineRule="auto"/>
        <w:ind w:left="1134" w:right="855" w:hanging="283"/>
        <w:rPr>
          <w:lang w:val="fr-CA"/>
        </w:rPr>
      </w:pPr>
      <w:r w:rsidRPr="009C6218">
        <w:rPr>
          <w:lang w:val="fr-CA"/>
        </w:rPr>
        <w:lastRenderedPageBreak/>
        <w:t>Quelle incidence l’Article a-t-il eu</w:t>
      </w:r>
      <w:r w:rsidR="00776713">
        <w:rPr>
          <w:lang w:val="fr-CA"/>
        </w:rPr>
        <w:t>e</w:t>
      </w:r>
      <w:r w:rsidRPr="009C6218">
        <w:rPr>
          <w:lang w:val="fr-CA"/>
        </w:rPr>
        <w:t xml:space="preserve"> sur la confiance du public dans l’administration de la justice</w:t>
      </w:r>
      <w:r w:rsidR="00CE64DF" w:rsidRPr="009C6218">
        <w:rPr>
          <w:lang w:val="fr-CA"/>
        </w:rPr>
        <w:t>?</w:t>
      </w:r>
    </w:p>
    <w:p w14:paraId="0463CF66" w14:textId="2CB789A9" w:rsidR="00BC26B7" w:rsidRPr="009C6218" w:rsidRDefault="006353DF" w:rsidP="0005557C">
      <w:pPr>
        <w:numPr>
          <w:ilvl w:val="0"/>
          <w:numId w:val="1"/>
        </w:numPr>
        <w:spacing w:after="200" w:line="276" w:lineRule="auto"/>
        <w:ind w:left="567" w:hanging="567"/>
        <w:rPr>
          <w:b/>
          <w:lang w:val="fr-CA"/>
        </w:rPr>
      </w:pPr>
      <w:r w:rsidRPr="009C6218">
        <w:rPr>
          <w:lang w:val="fr-CA"/>
        </w:rPr>
        <w:t>Passons maintenant à la question de savoir si la juge de paix a fait preuve de prudence dans la rédaction de l’Article et le choix des mots</w:t>
      </w:r>
      <w:r w:rsidR="00BC26B7" w:rsidRPr="009C6218">
        <w:rPr>
          <w:lang w:val="fr-CA"/>
        </w:rPr>
        <w:t>.</w:t>
      </w:r>
    </w:p>
    <w:p w14:paraId="1C72D26D" w14:textId="5135BC9A" w:rsidR="005C2288" w:rsidRPr="009C6218" w:rsidRDefault="00E83D57" w:rsidP="00F24A43">
      <w:pPr>
        <w:numPr>
          <w:ilvl w:val="0"/>
          <w:numId w:val="1"/>
        </w:numPr>
        <w:spacing w:after="200" w:line="276" w:lineRule="auto"/>
        <w:ind w:left="567" w:hanging="567"/>
        <w:rPr>
          <w:b/>
          <w:lang w:val="fr-CA"/>
        </w:rPr>
      </w:pPr>
      <w:r w:rsidRPr="009C6218">
        <w:rPr>
          <w:lang w:val="fr-CA"/>
        </w:rPr>
        <w:t xml:space="preserve">Dans son témoignage, la juge de paix </w:t>
      </w:r>
      <w:r w:rsidR="00385C8F" w:rsidRPr="009C6218">
        <w:rPr>
          <w:lang w:val="fr-CA"/>
        </w:rPr>
        <w:t>Lauzon</w:t>
      </w:r>
      <w:r w:rsidR="005C2288" w:rsidRPr="009C6218">
        <w:rPr>
          <w:lang w:val="fr-CA"/>
        </w:rPr>
        <w:t xml:space="preserve"> </w:t>
      </w:r>
      <w:r w:rsidRPr="009C6218">
        <w:rPr>
          <w:lang w:val="fr-CA"/>
        </w:rPr>
        <w:t xml:space="preserve">a affirmé qu’en rédigeant l’Article, elle avait choisi avec soin chaque mot et réfléchi au sens de ses propos. Elle a aussi fait savoir au représentant du </w:t>
      </w:r>
      <w:r w:rsidR="005C2288" w:rsidRPr="009C6218">
        <w:rPr>
          <w:i/>
          <w:lang w:val="fr-CA"/>
        </w:rPr>
        <w:t>National Post</w:t>
      </w:r>
      <w:r w:rsidRPr="009C6218">
        <w:rPr>
          <w:lang w:val="fr-CA"/>
        </w:rPr>
        <w:t xml:space="preserve"> qu’il était important pour elle que chaque mot dans l’Article soit correct</w:t>
      </w:r>
      <w:r w:rsidR="009F5C27" w:rsidRPr="009C6218">
        <w:rPr>
          <w:rStyle w:val="FootnoteReference"/>
          <w:lang w:val="fr-CA"/>
        </w:rPr>
        <w:footnoteReference w:id="76"/>
      </w:r>
      <w:r w:rsidRPr="009C6218">
        <w:rPr>
          <w:lang w:val="fr-CA"/>
        </w:rPr>
        <w:t>.</w:t>
      </w:r>
    </w:p>
    <w:p w14:paraId="7BFF58EA" w14:textId="56B914A3" w:rsidR="005C2288" w:rsidRPr="009C6218" w:rsidRDefault="00E83D57" w:rsidP="00F24A43">
      <w:pPr>
        <w:numPr>
          <w:ilvl w:val="0"/>
          <w:numId w:val="1"/>
        </w:numPr>
        <w:spacing w:after="200" w:line="276" w:lineRule="auto"/>
        <w:ind w:left="567" w:hanging="567"/>
        <w:rPr>
          <w:b/>
          <w:lang w:val="fr-CA"/>
        </w:rPr>
      </w:pPr>
      <w:r w:rsidRPr="009C6218">
        <w:rPr>
          <w:lang w:val="fr-CA"/>
        </w:rPr>
        <w:t>Comme indiqué ci-dessus, les mots ou les phrases que la juge de paix a utilisés pour décrire le tribunal étaient : « une honte », « </w:t>
      </w:r>
      <w:r w:rsidR="00B825C1" w:rsidRPr="009C6218">
        <w:rPr>
          <w:lang w:val="fr-CA"/>
        </w:rPr>
        <w:t>dysfonctionnels et punitifs », « dénués de tout</w:t>
      </w:r>
      <w:r w:rsidR="007A5E7E" w:rsidRPr="009C6218">
        <w:rPr>
          <w:lang w:val="fr-CA"/>
        </w:rPr>
        <w:t>e règle de droit</w:t>
      </w:r>
      <w:r w:rsidR="00B825C1" w:rsidRPr="009C6218">
        <w:rPr>
          <w:lang w:val="fr-CA"/>
        </w:rPr>
        <w:t xml:space="preserve"> », un lieu où </w:t>
      </w:r>
      <w:r w:rsidR="00B6046D" w:rsidRPr="009C6218">
        <w:rPr>
          <w:lang w:val="fr-CA"/>
        </w:rPr>
        <w:t>« </w:t>
      </w:r>
      <w:r w:rsidR="00202500" w:rsidRPr="009C6218">
        <w:rPr>
          <w:lang w:val="fr-CA"/>
        </w:rPr>
        <w:t>la loi s’est volatilisée</w:t>
      </w:r>
      <w:r w:rsidR="00B6046D" w:rsidRPr="009C6218">
        <w:rPr>
          <w:lang w:val="fr-CA"/>
        </w:rPr>
        <w:t> »</w:t>
      </w:r>
      <w:r w:rsidR="005C2288" w:rsidRPr="009C6218">
        <w:rPr>
          <w:lang w:val="fr-CA"/>
        </w:rPr>
        <w:t>.</w:t>
      </w:r>
    </w:p>
    <w:p w14:paraId="25431144" w14:textId="294A5D41" w:rsidR="005C2288" w:rsidRPr="009C6218" w:rsidRDefault="00B6046D" w:rsidP="00F24A43">
      <w:pPr>
        <w:numPr>
          <w:ilvl w:val="0"/>
          <w:numId w:val="1"/>
        </w:numPr>
        <w:spacing w:after="200" w:line="276" w:lineRule="auto"/>
        <w:ind w:left="567" w:hanging="567"/>
        <w:rPr>
          <w:b/>
          <w:lang w:val="fr-CA"/>
        </w:rPr>
      </w:pPr>
      <w:r w:rsidRPr="009C6218">
        <w:rPr>
          <w:lang w:val="fr-CA"/>
        </w:rPr>
        <w:t>Les termes qu’elle a utilisés pour caractériser le comportement des procureurs sont : « cyniques », « intimidation », « crié »</w:t>
      </w:r>
      <w:r w:rsidR="00210F40">
        <w:rPr>
          <w:lang w:val="fr-CA"/>
        </w:rPr>
        <w:t>,</w:t>
      </w:r>
      <w:r w:rsidRPr="009C6218">
        <w:rPr>
          <w:lang w:val="fr-CA"/>
        </w:rPr>
        <w:t xml:space="preserve"> « piqué une crise », « tourn</w:t>
      </w:r>
      <w:r w:rsidR="00B4259B" w:rsidRPr="009C6218">
        <w:rPr>
          <w:lang w:val="fr-CA"/>
        </w:rPr>
        <w:t>é</w:t>
      </w:r>
      <w:r w:rsidRPr="009C6218">
        <w:rPr>
          <w:lang w:val="fr-CA"/>
        </w:rPr>
        <w:t xml:space="preserve"> le dos au tribunal</w:t>
      </w:r>
      <w:r w:rsidR="00B4259B" w:rsidRPr="009C6218">
        <w:rPr>
          <w:lang w:val="fr-CA"/>
        </w:rPr>
        <w:t> »</w:t>
      </w:r>
      <w:r w:rsidRPr="009C6218">
        <w:rPr>
          <w:lang w:val="fr-CA"/>
        </w:rPr>
        <w:t xml:space="preserve"> et </w:t>
      </w:r>
      <w:r w:rsidR="00B4259B" w:rsidRPr="009C6218">
        <w:rPr>
          <w:lang w:val="fr-CA"/>
        </w:rPr>
        <w:t>« des tactiques inacceptables »</w:t>
      </w:r>
      <w:r w:rsidR="005C2288" w:rsidRPr="009C6218">
        <w:rPr>
          <w:lang w:val="fr-CA"/>
        </w:rPr>
        <w:t xml:space="preserve">. </w:t>
      </w:r>
      <w:r w:rsidR="00B4259B" w:rsidRPr="009C6218">
        <w:rPr>
          <w:lang w:val="fr-CA"/>
        </w:rPr>
        <w:t>En bref, un comportement impoli, enfantin et pas professionnel.</w:t>
      </w:r>
    </w:p>
    <w:p w14:paraId="59F66024" w14:textId="41EA49FA" w:rsidR="00CC73D5" w:rsidRPr="009C6218" w:rsidRDefault="00B4259B" w:rsidP="00F24A43">
      <w:pPr>
        <w:numPr>
          <w:ilvl w:val="0"/>
          <w:numId w:val="1"/>
        </w:numPr>
        <w:spacing w:after="200" w:line="276" w:lineRule="auto"/>
        <w:ind w:left="567" w:hanging="567"/>
        <w:rPr>
          <w:b/>
          <w:lang w:val="fr-CA"/>
        </w:rPr>
      </w:pPr>
      <w:r w:rsidRPr="009C6218">
        <w:rPr>
          <w:lang w:val="fr-CA"/>
        </w:rPr>
        <w:t>Pourtant, lorsqu’on lui a posé une question, dans son contre-interrogatoire, au sujet de la couverture médiatique de l’Article dans l</w:t>
      </w:r>
      <w:r w:rsidR="00210F40">
        <w:rPr>
          <w:lang w:val="fr-CA"/>
        </w:rPr>
        <w:t>’</w:t>
      </w:r>
      <w:r w:rsidR="00CC73D5" w:rsidRPr="009C6218">
        <w:rPr>
          <w:i/>
          <w:lang w:val="fr-CA"/>
        </w:rPr>
        <w:t>Ottawa Citizen</w:t>
      </w:r>
      <w:r w:rsidRPr="009C6218">
        <w:rPr>
          <w:i/>
          <w:lang w:val="fr-CA"/>
        </w:rPr>
        <w:t>,</w:t>
      </w:r>
      <w:r w:rsidR="00CC73D5" w:rsidRPr="009C6218">
        <w:rPr>
          <w:lang w:val="fr-CA"/>
        </w:rPr>
        <w:t xml:space="preserve"> </w:t>
      </w:r>
      <w:r w:rsidRPr="009C6218">
        <w:rPr>
          <w:lang w:val="fr-CA"/>
        </w:rPr>
        <w:t xml:space="preserve">le lendemain de la publication de l’Article, qui décrivait les procureurs comme des enfants ayant des crises de colère à la caisse d’un magasin </w:t>
      </w:r>
      <w:proofErr w:type="spellStart"/>
      <w:r w:rsidR="00CC73D5" w:rsidRPr="009C6218">
        <w:rPr>
          <w:lang w:val="fr-CA"/>
        </w:rPr>
        <w:t>Loblaw</w:t>
      </w:r>
      <w:r w:rsidR="00051B36" w:rsidRPr="009C6218">
        <w:rPr>
          <w:lang w:val="fr-CA"/>
        </w:rPr>
        <w:t>s</w:t>
      </w:r>
      <w:proofErr w:type="spellEnd"/>
      <w:r w:rsidR="00CC73D5" w:rsidRPr="009C6218">
        <w:rPr>
          <w:lang w:val="fr-CA"/>
        </w:rPr>
        <w:t xml:space="preserve">, </w:t>
      </w:r>
      <w:r w:rsidRPr="009C6218">
        <w:rPr>
          <w:lang w:val="fr-CA"/>
        </w:rPr>
        <w:t>la juge de paix a trouvé que c’était une comparaison insultante pour les procureurs de la Couronne</w:t>
      </w:r>
      <w:r w:rsidR="00A5224C" w:rsidRPr="009C6218">
        <w:rPr>
          <w:rStyle w:val="FootnoteReference"/>
          <w:lang w:val="fr-CA"/>
        </w:rPr>
        <w:footnoteReference w:id="77"/>
      </w:r>
      <w:r w:rsidRPr="009C6218">
        <w:rPr>
          <w:lang w:val="fr-CA"/>
        </w:rPr>
        <w:t>.</w:t>
      </w:r>
    </w:p>
    <w:p w14:paraId="7A004BE7" w14:textId="21670287" w:rsidR="004A13D0" w:rsidRPr="009C6218" w:rsidRDefault="00B4259B" w:rsidP="00F24A43">
      <w:pPr>
        <w:numPr>
          <w:ilvl w:val="0"/>
          <w:numId w:val="1"/>
        </w:numPr>
        <w:spacing w:after="200" w:line="276" w:lineRule="auto"/>
        <w:ind w:left="567" w:hanging="567"/>
        <w:rPr>
          <w:b/>
          <w:lang w:val="fr-CA"/>
        </w:rPr>
      </w:pPr>
      <w:r w:rsidRPr="009C6218">
        <w:rPr>
          <w:lang w:val="fr-CA"/>
        </w:rPr>
        <w:t xml:space="preserve">La juge de paix </w:t>
      </w:r>
      <w:r w:rsidR="004A13D0" w:rsidRPr="009C6218">
        <w:rPr>
          <w:lang w:val="fr-CA"/>
        </w:rPr>
        <w:t>Lauzon</w:t>
      </w:r>
      <w:r w:rsidR="00416B7D" w:rsidRPr="009C6218">
        <w:rPr>
          <w:lang w:val="fr-CA"/>
        </w:rPr>
        <w:t xml:space="preserve"> </w:t>
      </w:r>
      <w:r w:rsidRPr="009C6218">
        <w:rPr>
          <w:lang w:val="fr-CA"/>
        </w:rPr>
        <w:t>a admis dans son contre-interrogatoire que « une partie des lecteurs » pourrait conclure, de la lecture de l’Article, que les procureurs de la Couronne ne respectent pas la loi. Elle a affirmé que cela n’était pas son intention, que c’était « une déclaration un peu dure et une conclusion brutale »</w:t>
      </w:r>
      <w:r w:rsidR="00C86580" w:rsidRPr="009C6218">
        <w:rPr>
          <w:lang w:val="fr-CA"/>
        </w:rPr>
        <w:t xml:space="preserve">. </w:t>
      </w:r>
      <w:r w:rsidRPr="009C6218">
        <w:rPr>
          <w:lang w:val="fr-CA"/>
        </w:rPr>
        <w:t>Elle « voulait que les gens sachent que dans certains tribunaux de la mise en liberté sous caution la loi n’est pas respectée »</w:t>
      </w:r>
      <w:r w:rsidR="007B2950" w:rsidRPr="009C6218">
        <w:rPr>
          <w:rStyle w:val="FootnoteReference"/>
          <w:lang w:val="fr-CA"/>
        </w:rPr>
        <w:footnoteReference w:id="78"/>
      </w:r>
      <w:r w:rsidRPr="009C6218">
        <w:rPr>
          <w:lang w:val="fr-CA"/>
        </w:rPr>
        <w:t>.</w:t>
      </w:r>
    </w:p>
    <w:p w14:paraId="03856E2C" w14:textId="666AA934" w:rsidR="001864D9" w:rsidRPr="009C6218" w:rsidRDefault="00B4259B" w:rsidP="00F24A43">
      <w:pPr>
        <w:numPr>
          <w:ilvl w:val="0"/>
          <w:numId w:val="1"/>
        </w:numPr>
        <w:spacing w:after="200" w:line="276" w:lineRule="auto"/>
        <w:ind w:left="567" w:hanging="567"/>
        <w:rPr>
          <w:b/>
          <w:lang w:val="fr-CA"/>
        </w:rPr>
      </w:pPr>
      <w:r w:rsidRPr="009C6218">
        <w:rPr>
          <w:lang w:val="fr-CA"/>
        </w:rPr>
        <w:t>À la question de savoir si elle avait pensé une seconde à la réputation des gens dont elle a parlé dans l’Article, la juge de paix a répondu : « …à mon avis, leur réputation était déjà compromise. Je n’avais pas à m</w:t>
      </w:r>
      <w:r w:rsidR="00CD7EEC">
        <w:rPr>
          <w:lang w:val="fr-CA"/>
        </w:rPr>
        <w:t>’en</w:t>
      </w:r>
      <w:r w:rsidRPr="009C6218">
        <w:rPr>
          <w:lang w:val="fr-CA"/>
        </w:rPr>
        <w:t xml:space="preserve"> soucier. »</w:t>
      </w:r>
      <w:r w:rsidR="0081408D" w:rsidRPr="009C6218">
        <w:rPr>
          <w:rStyle w:val="FootnoteReference"/>
          <w:lang w:val="fr-CA"/>
        </w:rPr>
        <w:footnoteReference w:id="79"/>
      </w:r>
    </w:p>
    <w:p w14:paraId="4F1564FE" w14:textId="5069E29C" w:rsidR="005C2288" w:rsidRPr="009C6218" w:rsidRDefault="006318AB" w:rsidP="00F24A43">
      <w:pPr>
        <w:numPr>
          <w:ilvl w:val="0"/>
          <w:numId w:val="1"/>
        </w:numPr>
        <w:spacing w:after="200" w:line="276" w:lineRule="auto"/>
        <w:ind w:left="567" w:hanging="567"/>
        <w:rPr>
          <w:b/>
          <w:lang w:val="fr-CA"/>
        </w:rPr>
      </w:pPr>
      <w:r w:rsidRPr="002F43B4">
        <w:rPr>
          <w:lang w:val="fr-CA"/>
        </w:rPr>
        <w:lastRenderedPageBreak/>
        <w:t>Outre les mots qu’elle a utilisés dans l’Article, nous avons examiné le témoignage de la juge de paix pour déterminer si elle était au courant</w:t>
      </w:r>
      <w:r w:rsidRPr="009C6218">
        <w:rPr>
          <w:lang w:val="fr-CA"/>
        </w:rPr>
        <w:t xml:space="preserve"> de son devoir de s’exprimer avec prudence et de faire preuve de retenue dans le ton général de l’Article et si elle a rempli ce devoir. À la question de savoir si elle était d’accord qu’en parlant ou écrivant en qualité d’officier de justice elle avait le devoir de faire preuve de prudence, de retenue et de </w:t>
      </w:r>
      <w:r w:rsidR="00776713">
        <w:rPr>
          <w:lang w:val="fr-CA"/>
        </w:rPr>
        <w:t>discernement</w:t>
      </w:r>
      <w:r w:rsidR="002F43B4">
        <w:rPr>
          <w:lang w:val="fr-CA"/>
        </w:rPr>
        <w:t>, r</w:t>
      </w:r>
      <w:r w:rsidRPr="009C6218">
        <w:rPr>
          <w:lang w:val="fr-CA"/>
        </w:rPr>
        <w:t>envoyant à l’Article, la juge de paix a répondu : « Ce n’est pas un jugement. » Elle a fait une distinction claire entre rédiger un article hors du tribunal et rendre une décision au tribunal. Pour un article destiné au public, elle a décrit son devoir en ces termes : « Mon devoir est de décrire la question avec exactitude et conformément aux faits, et de présenter le problème. Voilà comme je peux répondre à votre question, Monsieur. »</w:t>
      </w:r>
      <w:r w:rsidR="006D0F9C" w:rsidRPr="009C6218">
        <w:rPr>
          <w:rStyle w:val="FootnoteReference"/>
          <w:lang w:val="fr-CA"/>
        </w:rPr>
        <w:footnoteReference w:id="80"/>
      </w:r>
      <w:r w:rsidR="00EA47BF" w:rsidRPr="009C6218">
        <w:rPr>
          <w:lang w:val="fr-CA"/>
        </w:rPr>
        <w:t xml:space="preserve"> </w:t>
      </w:r>
    </w:p>
    <w:p w14:paraId="6E07C63A" w14:textId="055BE8D6" w:rsidR="00EA47BF" w:rsidRPr="009C6218" w:rsidRDefault="006318AB" w:rsidP="00F24A43">
      <w:pPr>
        <w:numPr>
          <w:ilvl w:val="0"/>
          <w:numId w:val="1"/>
        </w:numPr>
        <w:spacing w:after="200" w:line="276" w:lineRule="auto"/>
        <w:ind w:left="567" w:hanging="567"/>
        <w:rPr>
          <w:b/>
          <w:lang w:val="fr-CA"/>
        </w:rPr>
      </w:pPr>
      <w:r w:rsidRPr="009C6218">
        <w:rPr>
          <w:lang w:val="fr-CA"/>
        </w:rPr>
        <w:t>Plus tard, elle a expliqué qu’elle ne croyait pas que les officiers de justice avaient un devoir spécial à respecter lorsqu’ils s’expriment en public. Elle a déclaré : « Je pense que le devoir le plus important est de soulever des problèmes qui doivent être résolus. Je pense que c’est ça mon plus grand devoir. »</w:t>
      </w:r>
      <w:r w:rsidR="00EA47BF" w:rsidRPr="009C6218">
        <w:rPr>
          <w:rStyle w:val="FootnoteReference"/>
          <w:lang w:val="fr-CA"/>
        </w:rPr>
        <w:footnoteReference w:id="81"/>
      </w:r>
    </w:p>
    <w:p w14:paraId="567A1D03" w14:textId="47E4549A" w:rsidR="00FD382E" w:rsidRPr="009C6218" w:rsidRDefault="006318AB" w:rsidP="00F24A43">
      <w:pPr>
        <w:numPr>
          <w:ilvl w:val="0"/>
          <w:numId w:val="1"/>
        </w:numPr>
        <w:spacing w:after="200" w:line="276" w:lineRule="auto"/>
        <w:ind w:left="567" w:hanging="567"/>
        <w:rPr>
          <w:b/>
          <w:lang w:val="fr-CA"/>
        </w:rPr>
      </w:pPr>
      <w:r w:rsidRPr="009C6218">
        <w:rPr>
          <w:lang w:val="fr-CA"/>
        </w:rPr>
        <w:t xml:space="preserve">Au début de son contre-interrogatoire, on a demandé à la juge de paix si décrire le tribunal comme « une honte » était </w:t>
      </w:r>
      <w:r w:rsidR="00413360" w:rsidRPr="009C6218">
        <w:rPr>
          <w:lang w:val="fr-CA"/>
        </w:rPr>
        <w:t xml:space="preserve">une preuve de « prudence, de retenue et de </w:t>
      </w:r>
      <w:r w:rsidR="00776713">
        <w:rPr>
          <w:lang w:val="fr-CA"/>
        </w:rPr>
        <w:t>discernement</w:t>
      </w:r>
      <w:r w:rsidR="00413360" w:rsidRPr="009C6218">
        <w:rPr>
          <w:lang w:val="fr-CA"/>
        </w:rPr>
        <w:t> »</w:t>
      </w:r>
      <w:r w:rsidR="00FD382E" w:rsidRPr="009C6218">
        <w:rPr>
          <w:lang w:val="fr-CA"/>
        </w:rPr>
        <w:t xml:space="preserve">. </w:t>
      </w:r>
      <w:r w:rsidR="00413360" w:rsidRPr="009C6218">
        <w:rPr>
          <w:lang w:val="fr-CA"/>
        </w:rPr>
        <w:t xml:space="preserve">Elle a répondu que décrire le tribunal comme « une honte » était une description très exacte de ce qu’il s’y passait au moment pertinent. L’avocat chargé </w:t>
      </w:r>
      <w:r w:rsidR="002C390C" w:rsidRPr="009C6218">
        <w:rPr>
          <w:rFonts w:eastAsia="Arial" w:cs="Times New Roman"/>
          <w:szCs w:val="22"/>
          <w:lang w:val="fr-CA"/>
        </w:rPr>
        <w:t xml:space="preserve">de la présentation </w:t>
      </w:r>
      <w:r w:rsidR="00413360" w:rsidRPr="009C6218">
        <w:rPr>
          <w:lang w:val="fr-CA"/>
        </w:rPr>
        <w:t xml:space="preserve">a répété la question et cette fois-ci la juge de paix </w:t>
      </w:r>
      <w:r w:rsidR="00FD382E" w:rsidRPr="009C6218">
        <w:rPr>
          <w:lang w:val="fr-CA"/>
        </w:rPr>
        <w:t xml:space="preserve">Lauzon </w:t>
      </w:r>
      <w:r w:rsidR="00413360" w:rsidRPr="009C6218">
        <w:rPr>
          <w:lang w:val="fr-CA"/>
        </w:rPr>
        <w:t>a répondu : « Ma réponse est que cela ne devait pas l’être. »</w:t>
      </w:r>
      <w:r w:rsidR="00FD382E" w:rsidRPr="009C6218">
        <w:rPr>
          <w:rStyle w:val="FootnoteReference"/>
          <w:lang w:val="fr-CA"/>
        </w:rPr>
        <w:footnoteReference w:id="82"/>
      </w:r>
    </w:p>
    <w:p w14:paraId="67FAA9EC" w14:textId="2F188D27" w:rsidR="0073242C" w:rsidRPr="009C6218" w:rsidRDefault="00413360" w:rsidP="00F24A43">
      <w:pPr>
        <w:numPr>
          <w:ilvl w:val="0"/>
          <w:numId w:val="1"/>
        </w:numPr>
        <w:spacing w:after="200" w:line="276" w:lineRule="auto"/>
        <w:ind w:left="567" w:hanging="567"/>
        <w:rPr>
          <w:b/>
          <w:lang w:val="fr-CA"/>
        </w:rPr>
      </w:pPr>
      <w:r w:rsidRPr="009C6218">
        <w:rPr>
          <w:lang w:val="fr-CA"/>
        </w:rPr>
        <w:t>Plus tard dans son témoignage, lorsqu’on lui a demandé à nouveau si elle ne pensait pas qu’elle avait un devoir spécial à respecter à titre d’officier de justice lorsqu’elle s’exprime en public, la juge de paix a répondu : « Je pense que je l’ai fait. » C’est-à-dire qu’à son avis, elle s’est exprimée d’une manière pruden</w:t>
      </w:r>
      <w:r w:rsidR="002F43B4">
        <w:rPr>
          <w:lang w:val="fr-CA"/>
        </w:rPr>
        <w:t>t</w:t>
      </w:r>
      <w:r w:rsidRPr="009C6218">
        <w:rPr>
          <w:lang w:val="fr-CA"/>
        </w:rPr>
        <w:t>e, tempérée et judicieuse</w:t>
      </w:r>
      <w:r w:rsidR="00F256AF" w:rsidRPr="009C6218">
        <w:rPr>
          <w:rStyle w:val="FootnoteReference"/>
          <w:lang w:val="fr-CA"/>
        </w:rPr>
        <w:footnoteReference w:id="83"/>
      </w:r>
      <w:r w:rsidRPr="009C6218">
        <w:rPr>
          <w:lang w:val="fr-CA"/>
        </w:rPr>
        <w:t>.</w:t>
      </w:r>
    </w:p>
    <w:p w14:paraId="6DE8BF1F" w14:textId="5909D4A2" w:rsidR="0073242C" w:rsidRPr="009C6218" w:rsidRDefault="008A06B8" w:rsidP="00F24A43">
      <w:pPr>
        <w:numPr>
          <w:ilvl w:val="0"/>
          <w:numId w:val="1"/>
        </w:numPr>
        <w:spacing w:after="200" w:line="276" w:lineRule="auto"/>
        <w:ind w:left="567" w:hanging="567"/>
        <w:rPr>
          <w:b/>
          <w:lang w:val="fr-CA"/>
        </w:rPr>
      </w:pPr>
      <w:r w:rsidRPr="009C6218">
        <w:rPr>
          <w:lang w:val="fr-CA"/>
        </w:rPr>
        <w:t>La juge de paix a déclaré dans son témoignage qu’elle n’avait délibérément pas demandé conseil à des gens avant de décider d’écrire ou de publier l’Article, parce qu’elle sentait qu’il était nécessaire de publier ses observations. Elle a pensé en parler à quelques collègues, mais elle a expliqué qu’elle ne voulait pas qu’on la dissuade de publier l’Article. En ses termes : « </w:t>
      </w:r>
      <w:r w:rsidR="0069273A" w:rsidRPr="009C6218">
        <w:rPr>
          <w:lang w:val="fr-CA"/>
        </w:rPr>
        <w:t xml:space="preserve">… </w:t>
      </w:r>
      <w:r w:rsidRPr="009C6218">
        <w:rPr>
          <w:lang w:val="fr-CA"/>
        </w:rPr>
        <w:t>si j’avais consulté des collègues, je pense que la plupart d’entre eux auraient dit “Julie, tu vas être réprimandée, tu vas passer devant le CEJP si tu le fais</w:t>
      </w:r>
      <w:r w:rsidR="0069273A" w:rsidRPr="009C6218">
        <w:rPr>
          <w:lang w:val="fr-CA"/>
        </w:rPr>
        <w:t xml:space="preserve">”. </w:t>
      </w:r>
      <w:r w:rsidRPr="009C6218">
        <w:rPr>
          <w:lang w:val="fr-CA"/>
        </w:rPr>
        <w:t xml:space="preserve">Je savais que cela allait être la réponse </w:t>
      </w:r>
      <w:r w:rsidRPr="009C6218">
        <w:rPr>
          <w:lang w:val="fr-CA"/>
        </w:rPr>
        <w:lastRenderedPageBreak/>
        <w:t>des gens</w:t>
      </w:r>
      <w:r w:rsidR="0069273A" w:rsidRPr="009C6218">
        <w:rPr>
          <w:lang w:val="fr-CA"/>
        </w:rPr>
        <w:t>. // … // …</w:t>
      </w:r>
      <w:r w:rsidRPr="009C6218">
        <w:rPr>
          <w:lang w:val="fr-CA"/>
        </w:rPr>
        <w:t>ils m’auraient rappelé que c’est comme ça que ça finirait</w:t>
      </w:r>
      <w:r w:rsidR="0069273A" w:rsidRPr="009C6218">
        <w:rPr>
          <w:lang w:val="fr-CA"/>
        </w:rPr>
        <w:t xml:space="preserve">. </w:t>
      </w:r>
      <w:r w:rsidR="003F000F" w:rsidRPr="009C6218">
        <w:rPr>
          <w:lang w:val="fr-CA"/>
        </w:rPr>
        <w:t>Je ne voulais qu’ils interviennent dans ma décision d’essayer de régler le problème. »</w:t>
      </w:r>
      <w:r w:rsidR="0073242C" w:rsidRPr="009C6218">
        <w:rPr>
          <w:lang w:val="fr-CA"/>
        </w:rPr>
        <w:t xml:space="preserve"> </w:t>
      </w:r>
      <w:r w:rsidR="0069273A" w:rsidRPr="009C6218">
        <w:rPr>
          <w:rStyle w:val="FootnoteReference"/>
          <w:lang w:val="fr-CA"/>
        </w:rPr>
        <w:footnoteReference w:id="84"/>
      </w:r>
    </w:p>
    <w:p w14:paraId="729F2698" w14:textId="7DE95818" w:rsidR="005C2288" w:rsidRPr="009C6218" w:rsidRDefault="00A02FEE" w:rsidP="00F24A43">
      <w:pPr>
        <w:numPr>
          <w:ilvl w:val="0"/>
          <w:numId w:val="1"/>
        </w:numPr>
        <w:spacing w:after="200" w:line="276" w:lineRule="auto"/>
        <w:ind w:left="567" w:hanging="567"/>
        <w:rPr>
          <w:b/>
          <w:lang w:val="fr-CA"/>
        </w:rPr>
      </w:pPr>
      <w:r w:rsidRPr="009C6218">
        <w:rPr>
          <w:lang w:val="fr-CA"/>
        </w:rPr>
        <w:t>Nous estimons que les termes que la juge de paix a utilisés dans l’Article, couplés à son témoignage</w:t>
      </w:r>
      <w:r w:rsidR="002F43B4">
        <w:rPr>
          <w:lang w:val="fr-CA"/>
        </w:rPr>
        <w:t>,</w:t>
      </w:r>
      <w:r w:rsidRPr="009C6218">
        <w:rPr>
          <w:lang w:val="fr-CA"/>
        </w:rPr>
        <w:t xml:space="preserve"> nous permettent de conclure qu’elle a omis de respecter son devoir de faire preuve de </w:t>
      </w:r>
      <w:r w:rsidR="002F43B4">
        <w:rPr>
          <w:lang w:val="fr-CA"/>
        </w:rPr>
        <w:t>prudence et diligence</w:t>
      </w:r>
      <w:r w:rsidRPr="009C6218">
        <w:rPr>
          <w:lang w:val="fr-CA"/>
        </w:rPr>
        <w:t xml:space="preserve"> dans l’expression de ses opinions dans un forum public. Selon son témoignage, elle a choisi ses mots délibérément</w:t>
      </w:r>
      <w:r w:rsidR="00342D07" w:rsidRPr="009C6218">
        <w:rPr>
          <w:lang w:val="fr-CA"/>
        </w:rPr>
        <w:t xml:space="preserve">. </w:t>
      </w:r>
      <w:r w:rsidRPr="009C6218">
        <w:rPr>
          <w:lang w:val="fr-CA"/>
        </w:rPr>
        <w:t>Cependant, elle n’a pas respecté son devoir de faire preuve de diligence en s’exprimant d’une manière digne et retenue de façon à ne pas perdre la confiance du public dans son objectivité ou à ne pas compromettre l’intégrité, l’indépendance et l’impartialité de sa charge</w:t>
      </w:r>
      <w:r w:rsidR="006C38F2" w:rsidRPr="009C6218">
        <w:rPr>
          <w:lang w:val="fr-CA"/>
        </w:rPr>
        <w:t>.</w:t>
      </w:r>
      <w:r w:rsidR="0073242C" w:rsidRPr="009C6218">
        <w:rPr>
          <w:lang w:val="fr-CA"/>
        </w:rPr>
        <w:t xml:space="preserve"> </w:t>
      </w:r>
      <w:r w:rsidRPr="009C6218">
        <w:rPr>
          <w:lang w:val="fr-CA"/>
        </w:rPr>
        <w:t>Nous trouvons que les termes qu’elle a utilisé</w:t>
      </w:r>
      <w:r w:rsidR="002F43B4">
        <w:rPr>
          <w:lang w:val="fr-CA"/>
        </w:rPr>
        <w:t>s</w:t>
      </w:r>
      <w:r w:rsidRPr="009C6218">
        <w:rPr>
          <w:lang w:val="fr-CA"/>
        </w:rPr>
        <w:t xml:space="preserve"> n’étaient ni judicieux ni mesurés. Ils n’étaient ni civils ni dignes. Au contraire, ils étaient accusatoires, insultants, incendiaires et personnels. Il serait aussi juste de conclure que</w:t>
      </w:r>
      <w:r w:rsidR="002F43B4">
        <w:rPr>
          <w:lang w:val="fr-CA"/>
        </w:rPr>
        <w:t>,</w:t>
      </w:r>
      <w:r w:rsidRPr="009C6218">
        <w:rPr>
          <w:lang w:val="fr-CA"/>
        </w:rPr>
        <w:t xml:space="preserve"> d’après le style de l’Article et le témoignage de la juge de paix,</w:t>
      </w:r>
      <w:r w:rsidR="005C2288" w:rsidRPr="009C6218">
        <w:rPr>
          <w:lang w:val="fr-CA"/>
        </w:rPr>
        <w:t xml:space="preserve"> </w:t>
      </w:r>
      <w:r w:rsidRPr="009C6218">
        <w:rPr>
          <w:lang w:val="fr-CA"/>
        </w:rPr>
        <w:t>le langage « dur » qu’elle a volontairement utilisé était destiné à retenir le maximum d’attention des médias</w:t>
      </w:r>
      <w:r w:rsidR="00CE64DF" w:rsidRPr="009C6218">
        <w:rPr>
          <w:lang w:val="fr-CA"/>
        </w:rPr>
        <w:t>.</w:t>
      </w:r>
    </w:p>
    <w:p w14:paraId="308F59EA" w14:textId="57166DF9" w:rsidR="00F256AF" w:rsidRPr="009C6218" w:rsidRDefault="00A02FEE" w:rsidP="00BE6325">
      <w:pPr>
        <w:pStyle w:val="Heading2"/>
        <w:rPr>
          <w:lang w:val="fr-CA"/>
        </w:rPr>
      </w:pPr>
      <w:bookmarkStart w:id="52" w:name="_Toc42946557"/>
      <w:r w:rsidRPr="009C6218">
        <w:rPr>
          <w:lang w:val="fr-CA"/>
        </w:rPr>
        <w:t>Équilibre et équité</w:t>
      </w:r>
      <w:bookmarkEnd w:id="52"/>
      <w:r w:rsidRPr="009C6218">
        <w:rPr>
          <w:lang w:val="fr-CA"/>
        </w:rPr>
        <w:t xml:space="preserve"> </w:t>
      </w:r>
    </w:p>
    <w:p w14:paraId="47D5A1D7" w14:textId="2FAEA90F" w:rsidR="00F256AF" w:rsidRPr="009C6218" w:rsidRDefault="00A02FEE" w:rsidP="00F24A43">
      <w:pPr>
        <w:numPr>
          <w:ilvl w:val="0"/>
          <w:numId w:val="1"/>
        </w:numPr>
        <w:spacing w:after="200" w:line="276" w:lineRule="auto"/>
        <w:ind w:left="567" w:hanging="567"/>
        <w:rPr>
          <w:lang w:val="fr-CA"/>
        </w:rPr>
      </w:pPr>
      <w:r w:rsidRPr="009C6218">
        <w:rPr>
          <w:lang w:val="fr-CA"/>
        </w:rPr>
        <w:t>Le comité d’audition conclut également que la juge de paix n’a fait aucun effort pour décrire d’une façon juste et équilibrée la raison de la défaillance du système de mise en liberté sous caution au Canada, comme elle le décrit. Elle n’a pas mentionné les rôles joués par les acteurs du système</w:t>
      </w:r>
      <w:r w:rsidR="004F080F" w:rsidRPr="009C6218">
        <w:rPr>
          <w:lang w:val="fr-CA"/>
        </w:rPr>
        <w:t xml:space="preserve"> ou les divers intérêts qui doivent être pris en considération et pesés dans toute audience de mise en liberté sous caution.</w:t>
      </w:r>
    </w:p>
    <w:p w14:paraId="5E989652" w14:textId="42044309" w:rsidR="005C2288" w:rsidRPr="009C6218" w:rsidRDefault="00B10DB0" w:rsidP="00F24A43">
      <w:pPr>
        <w:numPr>
          <w:ilvl w:val="0"/>
          <w:numId w:val="1"/>
        </w:numPr>
        <w:spacing w:after="200" w:line="276" w:lineRule="auto"/>
        <w:ind w:left="567" w:hanging="567"/>
        <w:rPr>
          <w:b/>
          <w:lang w:val="fr-CA"/>
        </w:rPr>
      </w:pPr>
      <w:r w:rsidRPr="009C6218">
        <w:rPr>
          <w:lang w:val="fr-CA"/>
        </w:rPr>
        <w:t>L</w:t>
      </w:r>
      <w:r w:rsidR="005D40C4" w:rsidRPr="009C6218">
        <w:rPr>
          <w:lang w:val="fr-CA"/>
        </w:rPr>
        <w:t xml:space="preserve">e ton </w:t>
      </w:r>
      <w:r w:rsidRPr="009C6218">
        <w:rPr>
          <w:lang w:val="fr-CA"/>
        </w:rPr>
        <w:t xml:space="preserve">global de l’Article </w:t>
      </w:r>
      <w:r w:rsidR="005D40C4" w:rsidRPr="009C6218">
        <w:rPr>
          <w:lang w:val="fr-CA"/>
        </w:rPr>
        <w:t xml:space="preserve">suggère </w:t>
      </w:r>
      <w:r w:rsidRPr="009C6218">
        <w:rPr>
          <w:lang w:val="fr-CA"/>
        </w:rPr>
        <w:t xml:space="preserve">que la cause des problèmes affligeant les tribunaux de la mise en liberté sous caution est le comportement des procureurs. En particulier, </w:t>
      </w:r>
      <w:r w:rsidR="005D40C4" w:rsidRPr="009C6218">
        <w:rPr>
          <w:lang w:val="fr-CA"/>
        </w:rPr>
        <w:t>la juge de paix</w:t>
      </w:r>
      <w:r w:rsidRPr="009C6218">
        <w:rPr>
          <w:lang w:val="fr-CA"/>
        </w:rPr>
        <w:t xml:space="preserve"> soutient qu’ils </w:t>
      </w:r>
      <w:r w:rsidR="005C2288" w:rsidRPr="009C6218">
        <w:rPr>
          <w:lang w:val="fr-CA"/>
        </w:rPr>
        <w:t xml:space="preserve">: </w:t>
      </w:r>
    </w:p>
    <w:p w14:paraId="533D24B0" w14:textId="0496A609" w:rsidR="008F772C" w:rsidRPr="009C6218" w:rsidRDefault="00C64610" w:rsidP="00A229C6">
      <w:pPr>
        <w:pStyle w:val="ListParagraph"/>
        <w:numPr>
          <w:ilvl w:val="0"/>
          <w:numId w:val="12"/>
        </w:numPr>
        <w:spacing w:after="160" w:line="256" w:lineRule="auto"/>
        <w:ind w:left="1134" w:right="855" w:hanging="283"/>
        <w:rPr>
          <w:lang w:val="fr-CA"/>
        </w:rPr>
      </w:pPr>
      <w:r w:rsidRPr="009C6218">
        <w:rPr>
          <w:lang w:val="fr-CA"/>
        </w:rPr>
        <w:t xml:space="preserve">ne respectent pas les juges de paix; </w:t>
      </w:r>
    </w:p>
    <w:p w14:paraId="6BB54755" w14:textId="6A4938BA" w:rsidR="008F772C" w:rsidRPr="009C6218" w:rsidRDefault="00C64610" w:rsidP="00A229C6">
      <w:pPr>
        <w:pStyle w:val="ListParagraph"/>
        <w:numPr>
          <w:ilvl w:val="0"/>
          <w:numId w:val="12"/>
        </w:numPr>
        <w:spacing w:after="160" w:line="256" w:lineRule="auto"/>
        <w:ind w:left="1134" w:right="855" w:hanging="283"/>
        <w:rPr>
          <w:lang w:val="fr-CA"/>
        </w:rPr>
      </w:pPr>
      <w:r w:rsidRPr="009C6218">
        <w:rPr>
          <w:lang w:val="fr-CA"/>
        </w:rPr>
        <w:t xml:space="preserve">emploient des tactiques inacceptables pour tenter de s’approprier la compétence du tribunal; </w:t>
      </w:r>
    </w:p>
    <w:p w14:paraId="247E6817" w14:textId="4DA0934E" w:rsidR="008F772C" w:rsidRPr="009C6218" w:rsidRDefault="00C64610" w:rsidP="00A229C6">
      <w:pPr>
        <w:pStyle w:val="ListParagraph"/>
        <w:numPr>
          <w:ilvl w:val="0"/>
          <w:numId w:val="12"/>
        </w:numPr>
        <w:spacing w:after="160" w:line="256" w:lineRule="auto"/>
        <w:ind w:left="1134" w:right="855" w:hanging="283"/>
        <w:rPr>
          <w:lang w:val="fr-CA"/>
        </w:rPr>
      </w:pPr>
      <w:r w:rsidRPr="009C6218">
        <w:rPr>
          <w:lang w:val="fr-CA"/>
        </w:rPr>
        <w:t>se comportent comme des agresseurs cyniques aux audiences de mise en liberté sous caution, en forçant des comparutions par vidéo et en exigeant que des condition</w:t>
      </w:r>
      <w:r w:rsidR="002F43B4">
        <w:rPr>
          <w:lang w:val="fr-CA"/>
        </w:rPr>
        <w:t>s</w:t>
      </w:r>
      <w:r w:rsidRPr="009C6218">
        <w:rPr>
          <w:lang w:val="fr-CA"/>
        </w:rPr>
        <w:t xml:space="preserve"> déraisonnables soient imposées à des personnes présumées innocentes</w:t>
      </w:r>
      <w:r w:rsidR="008F772C" w:rsidRPr="009C6218">
        <w:rPr>
          <w:lang w:val="fr-CA"/>
        </w:rPr>
        <w:t>;</w:t>
      </w:r>
    </w:p>
    <w:p w14:paraId="206BF686" w14:textId="0AB03E85" w:rsidR="008F772C" w:rsidRPr="009C6218" w:rsidRDefault="00C64610" w:rsidP="00A229C6">
      <w:pPr>
        <w:pStyle w:val="ListParagraph"/>
        <w:numPr>
          <w:ilvl w:val="0"/>
          <w:numId w:val="12"/>
        </w:numPr>
        <w:spacing w:after="160" w:line="256" w:lineRule="auto"/>
        <w:ind w:left="1134" w:right="855" w:hanging="283"/>
        <w:rPr>
          <w:lang w:val="fr-CA"/>
        </w:rPr>
      </w:pPr>
      <w:r w:rsidRPr="009C6218">
        <w:rPr>
          <w:lang w:val="fr-CA"/>
        </w:rPr>
        <w:t xml:space="preserve">ne sont pas professionnels, car ils se comportent comme des enfants qui n’ont pas ce qu’ils veulent; </w:t>
      </w:r>
    </w:p>
    <w:p w14:paraId="68DD470C" w14:textId="5E2FCE6B" w:rsidR="008F772C" w:rsidRPr="009C6218" w:rsidRDefault="00C64610" w:rsidP="00A229C6">
      <w:pPr>
        <w:pStyle w:val="ListParagraph"/>
        <w:numPr>
          <w:ilvl w:val="0"/>
          <w:numId w:val="12"/>
        </w:numPr>
        <w:spacing w:after="160" w:line="256" w:lineRule="auto"/>
        <w:ind w:left="1134" w:right="855" w:hanging="283"/>
        <w:rPr>
          <w:lang w:val="fr-CA"/>
        </w:rPr>
      </w:pPr>
      <w:r w:rsidRPr="009C6218">
        <w:rPr>
          <w:lang w:val="fr-CA"/>
        </w:rPr>
        <w:t xml:space="preserve">n’ont aucun respect pour la règle de droit, plus précisément la Charte et le </w:t>
      </w:r>
      <w:r w:rsidRPr="009C6218">
        <w:rPr>
          <w:i/>
          <w:lang w:val="fr-CA"/>
        </w:rPr>
        <w:t>Code criminel</w:t>
      </w:r>
      <w:r w:rsidRPr="009C6218">
        <w:rPr>
          <w:lang w:val="fr-CA"/>
        </w:rPr>
        <w:t xml:space="preserve">. </w:t>
      </w:r>
    </w:p>
    <w:p w14:paraId="64302BE5" w14:textId="6D089984" w:rsidR="00514BCD" w:rsidRPr="009C6218" w:rsidRDefault="00935663" w:rsidP="00F24A43">
      <w:pPr>
        <w:numPr>
          <w:ilvl w:val="0"/>
          <w:numId w:val="1"/>
        </w:numPr>
        <w:spacing w:after="200" w:line="276" w:lineRule="auto"/>
        <w:ind w:left="567" w:hanging="567"/>
        <w:rPr>
          <w:lang w:val="fr-CA"/>
        </w:rPr>
      </w:pPr>
      <w:r w:rsidRPr="009C6218">
        <w:rPr>
          <w:lang w:val="fr-CA"/>
        </w:rPr>
        <w:lastRenderedPageBreak/>
        <w:t xml:space="preserve">Dans son contre-interrogatoire, on a demandé à la juge de paix </w:t>
      </w:r>
      <w:r w:rsidR="00514BCD" w:rsidRPr="009C6218">
        <w:rPr>
          <w:lang w:val="fr-CA"/>
        </w:rPr>
        <w:t xml:space="preserve">Lauzon </w:t>
      </w:r>
      <w:r w:rsidRPr="009C6218">
        <w:rPr>
          <w:lang w:val="fr-CA"/>
        </w:rPr>
        <w:t xml:space="preserve">si elle avait envisagé d’expliquer aux lecteurs de l’Article que le travail du procureur de la Couronne est de protéger la population d’Ottawa. Elle a répondu que les gens le savaient déjà. Quand on lui a demandé s’il était juste qu’elle ne présente que sa version de l’histoire ou que ses observations, elle a répondu : « C’est moi qui écris l’article. Je vais y mettre mes observations et l’effet </w:t>
      </w:r>
      <w:r w:rsidR="002F43B4">
        <w:rPr>
          <w:lang w:val="fr-CA"/>
        </w:rPr>
        <w:t>de la situation</w:t>
      </w:r>
      <w:r w:rsidRPr="009C6218">
        <w:rPr>
          <w:lang w:val="fr-CA"/>
        </w:rPr>
        <w:t xml:space="preserve"> sur mes fonctions judiciaires, oui. »</w:t>
      </w:r>
      <w:r w:rsidR="005B75E5" w:rsidRPr="009C6218">
        <w:rPr>
          <w:lang w:val="fr-CA"/>
        </w:rPr>
        <w:t xml:space="preserve"> </w:t>
      </w:r>
      <w:r w:rsidRPr="009C6218">
        <w:rPr>
          <w:lang w:val="fr-CA"/>
        </w:rPr>
        <w:t xml:space="preserve">Dans son contre-interrogatoire, lors d’un échange avec l’avocat chargé </w:t>
      </w:r>
      <w:r w:rsidR="002C390C" w:rsidRPr="009C6218">
        <w:rPr>
          <w:rFonts w:eastAsia="Arial" w:cs="Times New Roman"/>
          <w:szCs w:val="22"/>
          <w:lang w:val="fr-CA"/>
        </w:rPr>
        <w:t xml:space="preserve">de la présentation </w:t>
      </w:r>
      <w:r w:rsidRPr="009C6218">
        <w:rPr>
          <w:lang w:val="fr-CA"/>
        </w:rPr>
        <w:t xml:space="preserve">sur le Manuel des politiques de la Couronne et la raison pour laquelle elle n’a pas expliqué pourquoi les avocats de la Couronne prenaient toujours la position qu’ils prennent, elle a répondu : « Ce n’est pas une question qu’il fallait régler. Ce n’est pas ça mon problème </w:t>
      </w:r>
      <w:r w:rsidR="005B75E5" w:rsidRPr="009C6218">
        <w:rPr>
          <w:lang w:val="fr-CA"/>
        </w:rPr>
        <w:t xml:space="preserve">… </w:t>
      </w:r>
      <w:r w:rsidRPr="009C6218">
        <w:rPr>
          <w:lang w:val="fr-CA"/>
        </w:rPr>
        <w:t>et ce n’est pas le problème du public. »</w:t>
      </w:r>
      <w:r w:rsidR="00514BCD" w:rsidRPr="009C6218">
        <w:rPr>
          <w:rStyle w:val="FootnoteReference"/>
          <w:lang w:val="fr-CA"/>
        </w:rPr>
        <w:footnoteReference w:id="85"/>
      </w:r>
    </w:p>
    <w:p w14:paraId="2710ED19" w14:textId="4B3AF68A" w:rsidR="00514BCD" w:rsidRPr="009C6218" w:rsidRDefault="00663A92" w:rsidP="00F24A43">
      <w:pPr>
        <w:numPr>
          <w:ilvl w:val="0"/>
          <w:numId w:val="1"/>
        </w:numPr>
        <w:spacing w:after="200" w:line="276" w:lineRule="auto"/>
        <w:ind w:left="567" w:hanging="567"/>
        <w:rPr>
          <w:lang w:val="fr-CA"/>
        </w:rPr>
      </w:pPr>
      <w:r w:rsidRPr="009C6218">
        <w:rPr>
          <w:lang w:val="fr-CA"/>
        </w:rPr>
        <w:t>Dans l’Article, la juge de paix a mentionné des demandes de récusation comme constituant l’une des « diverses tactiques inacceptables » que les procureurs emploient pour tenter de s’approprier la compétence du tribunal. Cependant, dans son témoignage, elle a avoué que ces demandes étaient déposées légalement et plaidées avec respect. Nous estimons que ceci démontre le manque de prudence dont a fait preuve la juge de paix dans la rédaction de l’Article, ainsi que l’absence de tout effort de sa part</w:t>
      </w:r>
      <w:r w:rsidR="00793F57" w:rsidRPr="009C6218">
        <w:rPr>
          <w:lang w:val="fr-CA"/>
        </w:rPr>
        <w:t xml:space="preserve"> de publier un article qui décrit les problèmes </w:t>
      </w:r>
      <w:r w:rsidR="002F43B4">
        <w:rPr>
          <w:lang w:val="fr-CA"/>
        </w:rPr>
        <w:t>dans les</w:t>
      </w:r>
      <w:r w:rsidR="00793F57" w:rsidRPr="009C6218">
        <w:rPr>
          <w:lang w:val="fr-CA"/>
        </w:rPr>
        <w:t xml:space="preserve"> tribunaux de mise en liberté sous caution d’une manière juste et équilibrée</w:t>
      </w:r>
      <w:r w:rsidR="00514BCD" w:rsidRPr="009C6218">
        <w:rPr>
          <w:lang w:val="fr-CA"/>
        </w:rPr>
        <w:t>.</w:t>
      </w:r>
    </w:p>
    <w:p w14:paraId="2C1ADEF4" w14:textId="571A571E" w:rsidR="008F772C" w:rsidRPr="009C6218" w:rsidRDefault="00CC73D5" w:rsidP="00F24A43">
      <w:pPr>
        <w:numPr>
          <w:ilvl w:val="0"/>
          <w:numId w:val="1"/>
        </w:numPr>
        <w:spacing w:after="200" w:line="276" w:lineRule="auto"/>
        <w:ind w:left="567" w:hanging="567"/>
        <w:rPr>
          <w:lang w:val="fr-CA"/>
        </w:rPr>
      </w:pPr>
      <w:r w:rsidRPr="009C6218">
        <w:rPr>
          <w:lang w:val="fr-CA"/>
        </w:rPr>
        <w:t>A</w:t>
      </w:r>
      <w:r w:rsidR="004C0B30" w:rsidRPr="009C6218">
        <w:rPr>
          <w:lang w:val="fr-CA"/>
        </w:rPr>
        <w:t xml:space="preserve">utre exemple d’un manque d’équilibre dans l’Article : lorsque la juge de paix parle de « comparutions par vidéo forcées et précipitées » et affirme que cela est injuste pour les accusés qui ont le droit de comparaître en personne. </w:t>
      </w:r>
    </w:p>
    <w:p w14:paraId="657210AE" w14:textId="1D8E796E" w:rsidR="005C2288" w:rsidRPr="009C6218" w:rsidRDefault="007817AB" w:rsidP="00F24A43">
      <w:pPr>
        <w:numPr>
          <w:ilvl w:val="0"/>
          <w:numId w:val="1"/>
        </w:numPr>
        <w:spacing w:after="200" w:line="276" w:lineRule="auto"/>
        <w:ind w:left="567" w:hanging="567"/>
        <w:rPr>
          <w:lang w:val="fr-CA"/>
        </w:rPr>
      </w:pPr>
      <w:r w:rsidRPr="009C6218">
        <w:rPr>
          <w:lang w:val="fr-CA"/>
        </w:rPr>
        <w:t xml:space="preserve">Dans son contre-interrogatoire, on a rappelé à la juge de paix que la mise en œuvre de la technologie vidéo (Polycom) se fondait sur des raisons stratégiques : économiser du temps et faciliter la libération plus rapide des détenus. La juge de paix a déclaré dans son témoignage qu’elle n’avait pas expliqué le point de vue favorable à l’utilisation du </w:t>
      </w:r>
      <w:r w:rsidR="005C2288" w:rsidRPr="009C6218">
        <w:rPr>
          <w:lang w:val="fr-CA"/>
        </w:rPr>
        <w:t xml:space="preserve">Polycom </w:t>
      </w:r>
      <w:r w:rsidRPr="009C6218">
        <w:rPr>
          <w:lang w:val="fr-CA"/>
        </w:rPr>
        <w:t xml:space="preserve">parce qu’elle voulait que son </w:t>
      </w:r>
      <w:r w:rsidR="000A45E8" w:rsidRPr="009C6218">
        <w:rPr>
          <w:lang w:val="fr-CA"/>
        </w:rPr>
        <w:t>A</w:t>
      </w:r>
      <w:r w:rsidR="005C2288" w:rsidRPr="009C6218">
        <w:rPr>
          <w:lang w:val="fr-CA"/>
        </w:rPr>
        <w:t xml:space="preserve">rticle </w:t>
      </w:r>
      <w:r w:rsidRPr="009C6218">
        <w:rPr>
          <w:lang w:val="fr-CA"/>
        </w:rPr>
        <w:t>demeure succin</w:t>
      </w:r>
      <w:r w:rsidR="00776713">
        <w:rPr>
          <w:lang w:val="fr-CA"/>
        </w:rPr>
        <w:t>c</w:t>
      </w:r>
      <w:r w:rsidRPr="009C6218">
        <w:rPr>
          <w:lang w:val="fr-CA"/>
        </w:rPr>
        <w:t>t et qu’elle n’estimait pas nécessaire « de parler d’une question qui ne constituait pas vraiment un gros problème »</w:t>
      </w:r>
      <w:r w:rsidR="005C2288" w:rsidRPr="009C6218">
        <w:rPr>
          <w:rStyle w:val="FootnoteReference"/>
          <w:lang w:val="fr-CA"/>
        </w:rPr>
        <w:footnoteReference w:id="86"/>
      </w:r>
      <w:r w:rsidRPr="009C6218">
        <w:rPr>
          <w:lang w:val="fr-CA"/>
        </w:rPr>
        <w:t>.</w:t>
      </w:r>
    </w:p>
    <w:p w14:paraId="571E316D" w14:textId="7552D040" w:rsidR="00BF1F47" w:rsidRPr="009C6218" w:rsidRDefault="004F054D" w:rsidP="00F24A43">
      <w:pPr>
        <w:numPr>
          <w:ilvl w:val="0"/>
          <w:numId w:val="1"/>
        </w:numPr>
        <w:spacing w:after="200" w:line="276" w:lineRule="auto"/>
        <w:ind w:left="567" w:hanging="567"/>
        <w:rPr>
          <w:lang w:val="fr-CA"/>
        </w:rPr>
      </w:pPr>
      <w:r w:rsidRPr="009C6218">
        <w:rPr>
          <w:lang w:val="fr-CA"/>
        </w:rPr>
        <w:t>Elle a donné d’autres justifications des choix qu’elle a faits dans la rédaction de l’</w:t>
      </w:r>
      <w:r w:rsidR="000A45E8" w:rsidRPr="009C6218">
        <w:rPr>
          <w:lang w:val="fr-CA"/>
        </w:rPr>
        <w:t>A</w:t>
      </w:r>
      <w:r w:rsidR="00B10B58" w:rsidRPr="009C6218">
        <w:rPr>
          <w:lang w:val="fr-CA"/>
        </w:rPr>
        <w:t>rticle</w:t>
      </w:r>
      <w:r w:rsidR="00BF1F47" w:rsidRPr="009C6218">
        <w:rPr>
          <w:lang w:val="fr-CA"/>
        </w:rPr>
        <w:t xml:space="preserve">, </w:t>
      </w:r>
      <w:r w:rsidRPr="009C6218">
        <w:rPr>
          <w:lang w:val="fr-CA"/>
        </w:rPr>
        <w:t xml:space="preserve">en particulier le choix de la perspective qu’elle a présentée. Elle a expliqué : « Il ne s’agissait pas d’un document juridique que j’écrivais, en devant présenter les avantages et les inconvénients. Je ne faisais que souligner les problèmes existants. » Elle a répété que c’était </w:t>
      </w:r>
      <w:r w:rsidRPr="009C6218">
        <w:rPr>
          <w:i/>
          <w:lang w:val="fr-CA"/>
        </w:rPr>
        <w:t>son</w:t>
      </w:r>
      <w:r w:rsidRPr="009C6218">
        <w:rPr>
          <w:lang w:val="fr-CA"/>
        </w:rPr>
        <w:t xml:space="preserve"> article et que pour cette raison elle l’a écrit </w:t>
      </w:r>
      <w:r w:rsidRPr="009C6218">
        <w:rPr>
          <w:lang w:val="fr-CA"/>
        </w:rPr>
        <w:lastRenderedPageBreak/>
        <w:t xml:space="preserve">de </w:t>
      </w:r>
      <w:r w:rsidRPr="009C6218">
        <w:rPr>
          <w:i/>
          <w:lang w:val="fr-CA"/>
        </w:rPr>
        <w:t>sa</w:t>
      </w:r>
      <w:r w:rsidRPr="009C6218">
        <w:rPr>
          <w:lang w:val="fr-CA"/>
        </w:rPr>
        <w:t xml:space="preserve"> perspective. Elle a rétorqué que les procureurs de la Couronne étaient libres d’écrire leurs propres réponses. </w:t>
      </w:r>
      <w:r w:rsidR="00B6743B" w:rsidRPr="009C6218">
        <w:rPr>
          <w:lang w:val="fr-CA"/>
        </w:rPr>
        <w:t>(</w:t>
      </w:r>
      <w:r w:rsidRPr="009C6218">
        <w:rPr>
          <w:lang w:val="fr-CA"/>
        </w:rPr>
        <w:t>mise en valeur ajoutée</w:t>
      </w:r>
      <w:r w:rsidR="00B6743B" w:rsidRPr="009C6218">
        <w:rPr>
          <w:lang w:val="fr-CA"/>
        </w:rPr>
        <w:t>)</w:t>
      </w:r>
    </w:p>
    <w:p w14:paraId="7A350935" w14:textId="79A0455E" w:rsidR="00B10B58" w:rsidRPr="009C6218" w:rsidRDefault="004F054D" w:rsidP="00F24A43">
      <w:pPr>
        <w:numPr>
          <w:ilvl w:val="0"/>
          <w:numId w:val="1"/>
        </w:numPr>
        <w:spacing w:after="200" w:line="276" w:lineRule="auto"/>
        <w:ind w:left="567" w:hanging="567"/>
        <w:rPr>
          <w:lang w:val="fr-CA"/>
        </w:rPr>
      </w:pPr>
      <w:r w:rsidRPr="009C6218">
        <w:rPr>
          <w:lang w:val="fr-CA"/>
        </w:rPr>
        <w:t xml:space="preserve">Cette réponse démontre un manque d’appréciation et d’égard non seulement envers le besoin, pour un officier de justice qui fait une déclaration publique, d’être équilibré et juste, mais aussi envers le besoin de se demander s’il est approprié et digne pour un membre de la magistrature de formuler des </w:t>
      </w:r>
      <w:r w:rsidR="006E75B5" w:rsidRPr="009C6218">
        <w:rPr>
          <w:lang w:val="fr-CA"/>
        </w:rPr>
        <w:t>remarques dénigrantes</w:t>
      </w:r>
      <w:r w:rsidRPr="009C6218">
        <w:rPr>
          <w:lang w:val="fr-CA"/>
        </w:rPr>
        <w:t xml:space="preserve"> dans un </w:t>
      </w:r>
      <w:r w:rsidR="006E75B5" w:rsidRPr="009C6218">
        <w:rPr>
          <w:lang w:val="fr-CA"/>
        </w:rPr>
        <w:t>média d’information</w:t>
      </w:r>
      <w:r w:rsidRPr="009C6218">
        <w:rPr>
          <w:lang w:val="fr-CA"/>
        </w:rPr>
        <w:t xml:space="preserve"> au sujet de procureurs </w:t>
      </w:r>
      <w:r w:rsidR="006E75B5" w:rsidRPr="009C6218">
        <w:rPr>
          <w:lang w:val="fr-CA"/>
        </w:rPr>
        <w:t xml:space="preserve">qui comparaissent devant elle pour qu’elle tranche leurs causes et de s’attendre à ce que les procureurs répondent dans le même média d’information aux remarques dénigrantes faites contre eux par un officier de justice </w:t>
      </w:r>
      <w:r w:rsidR="00563433">
        <w:rPr>
          <w:lang w:val="fr-CA"/>
        </w:rPr>
        <w:t>qui a présidé leurs audiences</w:t>
      </w:r>
      <w:r w:rsidR="006E75B5" w:rsidRPr="009C6218">
        <w:rPr>
          <w:lang w:val="fr-CA"/>
        </w:rPr>
        <w:t xml:space="preserve">. </w:t>
      </w:r>
    </w:p>
    <w:p w14:paraId="4DCCBD8C" w14:textId="06E01C8F" w:rsidR="00A556EE" w:rsidRPr="009C6218" w:rsidRDefault="00F67318" w:rsidP="00F24A43">
      <w:pPr>
        <w:numPr>
          <w:ilvl w:val="0"/>
          <w:numId w:val="1"/>
        </w:numPr>
        <w:spacing w:after="200" w:line="276" w:lineRule="auto"/>
        <w:ind w:left="567" w:hanging="567"/>
        <w:rPr>
          <w:lang w:val="fr-CA"/>
        </w:rPr>
      </w:pPr>
      <w:r w:rsidRPr="009C6218">
        <w:rPr>
          <w:lang w:val="fr-CA"/>
        </w:rPr>
        <w:t>La juge de paix a affirmé dans son affidavit que « mon intention était de protéger l’administration de la justice en jetant un regard dur sur l’interprétation de la loi et le comportement qui prévaut dans les tribunaux de mise en liberté sous caution »</w:t>
      </w:r>
      <w:r w:rsidR="00A556EE" w:rsidRPr="009C6218">
        <w:rPr>
          <w:lang w:val="fr-CA"/>
        </w:rPr>
        <w:t>.</w:t>
      </w:r>
      <w:r w:rsidRPr="009C6218">
        <w:rPr>
          <w:lang w:val="fr-CA"/>
        </w:rPr>
        <w:t xml:space="preserve"> Elle a aussi déclaré que « mon intention n’était pas d’embarrasser quelqu’un ni de susciter de l’animosité »</w:t>
      </w:r>
      <w:r w:rsidR="00A556EE" w:rsidRPr="009C6218">
        <w:rPr>
          <w:rStyle w:val="FootnoteReference"/>
          <w:lang w:val="fr-CA"/>
        </w:rPr>
        <w:footnoteReference w:id="87"/>
      </w:r>
      <w:r w:rsidRPr="009C6218">
        <w:rPr>
          <w:lang w:val="fr-CA"/>
        </w:rPr>
        <w:t>.</w:t>
      </w:r>
      <w:r w:rsidR="00A556EE" w:rsidRPr="009C6218">
        <w:rPr>
          <w:lang w:val="fr-CA"/>
        </w:rPr>
        <w:t xml:space="preserve"> </w:t>
      </w:r>
    </w:p>
    <w:p w14:paraId="7DCE2B95" w14:textId="68D7997C" w:rsidR="00E1485B" w:rsidRPr="009C6218" w:rsidRDefault="00F67318" w:rsidP="00F24A43">
      <w:pPr>
        <w:numPr>
          <w:ilvl w:val="0"/>
          <w:numId w:val="1"/>
        </w:numPr>
        <w:spacing w:after="200" w:line="276" w:lineRule="auto"/>
        <w:ind w:left="567" w:hanging="567"/>
        <w:rPr>
          <w:lang w:val="fr-CA"/>
        </w:rPr>
      </w:pPr>
      <w:r w:rsidRPr="009C6218">
        <w:rPr>
          <w:lang w:val="fr-CA"/>
        </w:rPr>
        <w:t>Elle a répété cette explication dans son témoignage en soulignant qu’en décrivant le tribunal de « honte », elle n’avait pas l’intention de dénigrer les tribunaux, mais plutôt de « présenter les faits d’une situation qui était inacceptable »</w:t>
      </w:r>
      <w:r w:rsidR="00E1485B" w:rsidRPr="009C6218">
        <w:rPr>
          <w:lang w:val="fr-CA"/>
        </w:rPr>
        <w:t xml:space="preserve">. </w:t>
      </w:r>
      <w:r w:rsidRPr="009C6218">
        <w:rPr>
          <w:lang w:val="fr-CA"/>
        </w:rPr>
        <w:t xml:space="preserve">Elle a écrit un article pour critiquer l’état du droit, l’état de ce tribunal. </w:t>
      </w:r>
    </w:p>
    <w:p w14:paraId="429079E1" w14:textId="61258CFC" w:rsidR="00A556EE" w:rsidRPr="009C6218" w:rsidRDefault="00E656F1" w:rsidP="00F24A43">
      <w:pPr>
        <w:numPr>
          <w:ilvl w:val="0"/>
          <w:numId w:val="1"/>
        </w:numPr>
        <w:spacing w:after="200" w:line="276" w:lineRule="auto"/>
        <w:ind w:left="567" w:hanging="567"/>
        <w:rPr>
          <w:lang w:val="fr-CA"/>
        </w:rPr>
      </w:pPr>
      <w:r w:rsidRPr="009C6218">
        <w:rPr>
          <w:lang w:val="fr-CA"/>
        </w:rPr>
        <w:t xml:space="preserve">Dans son contre-interrogatoire, on lui a demandé si elle pensait que l’Article </w:t>
      </w:r>
      <w:r w:rsidR="00006DD4" w:rsidRPr="009C6218">
        <w:rPr>
          <w:lang w:val="fr-CA"/>
        </w:rPr>
        <w:t>enfonçait</w:t>
      </w:r>
      <w:r w:rsidRPr="009C6218">
        <w:rPr>
          <w:lang w:val="fr-CA"/>
        </w:rPr>
        <w:t xml:space="preserve"> particulièrement </w:t>
      </w:r>
      <w:r w:rsidR="00006DD4" w:rsidRPr="009C6218">
        <w:rPr>
          <w:lang w:val="fr-CA"/>
        </w:rPr>
        <w:t xml:space="preserve">un aiguillon contre </w:t>
      </w:r>
      <w:r w:rsidRPr="009C6218">
        <w:rPr>
          <w:lang w:val="fr-CA"/>
        </w:rPr>
        <w:t>quelques procureurs de la Couronne du palais de justice d’</w:t>
      </w:r>
      <w:r w:rsidR="00A556EE" w:rsidRPr="009C6218">
        <w:rPr>
          <w:lang w:val="fr-CA"/>
        </w:rPr>
        <w:t xml:space="preserve">Ottawa. </w:t>
      </w:r>
      <w:r w:rsidRPr="009C6218">
        <w:rPr>
          <w:lang w:val="fr-CA"/>
        </w:rPr>
        <w:t xml:space="preserve">Initialement, la juge de paix a convenu que « quelqu’un qui s’est comporté d’une façon problématique envers moi au tribunal </w:t>
      </w:r>
      <w:r w:rsidRPr="009C6218">
        <w:rPr>
          <w:u w:val="single"/>
          <w:lang w:val="fr-CA"/>
        </w:rPr>
        <w:t>se sentirait probablement un peu offusqué</w:t>
      </w:r>
      <w:r w:rsidRPr="009C6218">
        <w:rPr>
          <w:lang w:val="fr-CA"/>
        </w:rPr>
        <w:t> »</w:t>
      </w:r>
      <w:r w:rsidR="00A556EE" w:rsidRPr="009C6218">
        <w:rPr>
          <w:lang w:val="fr-CA"/>
        </w:rPr>
        <w:t>. (</w:t>
      </w:r>
      <w:r w:rsidRPr="009C6218">
        <w:rPr>
          <w:lang w:val="fr-CA"/>
        </w:rPr>
        <w:t>mise en valeur ajoutée</w:t>
      </w:r>
      <w:r w:rsidR="00A556EE" w:rsidRPr="009C6218">
        <w:rPr>
          <w:lang w:val="fr-CA"/>
        </w:rPr>
        <w:t>)</w:t>
      </w:r>
    </w:p>
    <w:p w14:paraId="3BA08B4C" w14:textId="64F2F7A9" w:rsidR="00A556EE" w:rsidRPr="009C6218" w:rsidRDefault="00006DD4" w:rsidP="00F24A43">
      <w:pPr>
        <w:numPr>
          <w:ilvl w:val="0"/>
          <w:numId w:val="1"/>
        </w:numPr>
        <w:spacing w:after="200" w:line="276" w:lineRule="auto"/>
        <w:ind w:left="567" w:hanging="567"/>
        <w:rPr>
          <w:lang w:val="fr-CA"/>
        </w:rPr>
      </w:pPr>
      <w:r w:rsidRPr="009C6218">
        <w:rPr>
          <w:lang w:val="fr-CA"/>
        </w:rPr>
        <w:t xml:space="preserve">Lorsqu’on lui a dit qu’il semblait qu’elle avait </w:t>
      </w:r>
      <w:r w:rsidR="00563433">
        <w:rPr>
          <w:lang w:val="fr-CA"/>
        </w:rPr>
        <w:t>délibérément utilisé</w:t>
      </w:r>
      <w:r w:rsidRPr="009C6218">
        <w:rPr>
          <w:lang w:val="fr-CA"/>
        </w:rPr>
        <w:t xml:space="preserve"> l’Article </w:t>
      </w:r>
      <w:r w:rsidR="00563433">
        <w:rPr>
          <w:lang w:val="fr-CA"/>
        </w:rPr>
        <w:t xml:space="preserve">pour </w:t>
      </w:r>
      <w:r w:rsidR="00A85183" w:rsidRPr="009C6218">
        <w:rPr>
          <w:lang w:val="fr-CA"/>
        </w:rPr>
        <w:t>enfon</w:t>
      </w:r>
      <w:r w:rsidR="00563433">
        <w:rPr>
          <w:lang w:val="fr-CA"/>
        </w:rPr>
        <w:t>cer</w:t>
      </w:r>
      <w:r w:rsidR="00A85183" w:rsidRPr="009C6218">
        <w:rPr>
          <w:lang w:val="fr-CA"/>
        </w:rPr>
        <w:t xml:space="preserve"> </w:t>
      </w:r>
      <w:proofErr w:type="gramStart"/>
      <w:r w:rsidR="00A85183" w:rsidRPr="009C6218">
        <w:rPr>
          <w:lang w:val="fr-CA"/>
        </w:rPr>
        <w:t xml:space="preserve">un aiguillon </w:t>
      </w:r>
      <w:r w:rsidR="00563433">
        <w:rPr>
          <w:lang w:val="fr-CA"/>
        </w:rPr>
        <w:t>bien ciblé</w:t>
      </w:r>
      <w:proofErr w:type="gramEnd"/>
      <w:r w:rsidR="00563433">
        <w:rPr>
          <w:lang w:val="fr-CA"/>
        </w:rPr>
        <w:t xml:space="preserve"> </w:t>
      </w:r>
      <w:r w:rsidR="00A85183" w:rsidRPr="009C6218">
        <w:rPr>
          <w:lang w:val="fr-CA"/>
        </w:rPr>
        <w:t>contre les avocats qu’elle estimait s’êtr</w:t>
      </w:r>
      <w:r w:rsidR="00563433">
        <w:rPr>
          <w:lang w:val="fr-CA"/>
        </w:rPr>
        <w:t>e</w:t>
      </w:r>
      <w:r w:rsidR="00A85183" w:rsidRPr="009C6218">
        <w:rPr>
          <w:lang w:val="fr-CA"/>
        </w:rPr>
        <w:t xml:space="preserve"> mal comportés, elle a répondu :</w:t>
      </w:r>
      <w:r w:rsidR="00A556EE" w:rsidRPr="009C6218">
        <w:rPr>
          <w:lang w:val="fr-CA"/>
        </w:rPr>
        <w:t xml:space="preserve"> </w:t>
      </w:r>
    </w:p>
    <w:p w14:paraId="190CC54B" w14:textId="12DC729C" w:rsidR="00A556EE" w:rsidRPr="009C6218" w:rsidRDefault="00A85183" w:rsidP="00773409">
      <w:pPr>
        <w:spacing w:after="160" w:line="256" w:lineRule="auto"/>
        <w:ind w:left="851" w:right="851"/>
        <w:rPr>
          <w:lang w:val="fr-CA"/>
        </w:rPr>
      </w:pPr>
      <w:r w:rsidRPr="009C6218">
        <w:rPr>
          <w:lang w:val="fr-CA"/>
        </w:rPr>
        <w:t>Eh bien, si c’est la première fois qu’ils ont senti l’aiguillon, il était grand temps qu’ils le ressentent</w:t>
      </w:r>
      <w:r w:rsidR="00A556EE" w:rsidRPr="009C6218">
        <w:rPr>
          <w:lang w:val="fr-CA"/>
        </w:rPr>
        <w:t>.</w:t>
      </w:r>
    </w:p>
    <w:p w14:paraId="19F98A31" w14:textId="19751801" w:rsidR="00A556EE" w:rsidRPr="009C6218" w:rsidRDefault="00A556EE" w:rsidP="009A3F93">
      <w:pPr>
        <w:spacing w:after="160" w:line="256" w:lineRule="auto"/>
        <w:ind w:left="851" w:right="851"/>
        <w:jc w:val="center"/>
        <w:rPr>
          <w:lang w:val="fr-CA"/>
        </w:rPr>
      </w:pPr>
      <w:r w:rsidRPr="009C6218">
        <w:rPr>
          <w:lang w:val="fr-CA"/>
        </w:rPr>
        <w:t>//…//</w:t>
      </w:r>
    </w:p>
    <w:p w14:paraId="15373945" w14:textId="6D3ADD42" w:rsidR="00A556EE" w:rsidRPr="009C6218" w:rsidRDefault="00A556EE" w:rsidP="00773409">
      <w:pPr>
        <w:spacing w:after="160" w:line="256" w:lineRule="auto"/>
        <w:ind w:left="851" w:right="851"/>
        <w:rPr>
          <w:lang w:val="fr-CA"/>
        </w:rPr>
      </w:pPr>
      <w:r w:rsidRPr="009C6218">
        <w:rPr>
          <w:lang w:val="fr-CA"/>
        </w:rPr>
        <w:t>…</w:t>
      </w:r>
      <w:r w:rsidR="00A85183" w:rsidRPr="009C6218">
        <w:rPr>
          <w:lang w:val="fr-CA"/>
        </w:rPr>
        <w:t xml:space="preserve">lorsque je donne des exemples de comportements que j’ai observés, et je suis sûre qu’ils se reconnaîtront, est-ce qu’ils se sentiront </w:t>
      </w:r>
      <w:r w:rsidR="00563433">
        <w:rPr>
          <w:lang w:val="fr-CA"/>
        </w:rPr>
        <w:t>attaqués</w:t>
      </w:r>
      <w:r w:rsidR="00A85183" w:rsidRPr="009C6218">
        <w:rPr>
          <w:lang w:val="fr-CA"/>
        </w:rPr>
        <w:t xml:space="preserve"> en les lisant</w:t>
      </w:r>
      <w:r w:rsidRPr="009C6218">
        <w:rPr>
          <w:lang w:val="fr-CA"/>
        </w:rPr>
        <w:t xml:space="preserve">? </w:t>
      </w:r>
      <w:r w:rsidR="00A85183" w:rsidRPr="009C6218">
        <w:rPr>
          <w:lang w:val="fr-CA"/>
        </w:rPr>
        <w:t>Eh bien, c’est à eux qu’il faut le demander</w:t>
      </w:r>
      <w:r w:rsidRPr="009C6218">
        <w:rPr>
          <w:rStyle w:val="FootnoteReference"/>
          <w:lang w:val="fr-CA"/>
        </w:rPr>
        <w:footnoteReference w:id="88"/>
      </w:r>
      <w:r w:rsidR="00A85183" w:rsidRPr="009C6218">
        <w:rPr>
          <w:lang w:val="fr-CA"/>
        </w:rPr>
        <w:t>.</w:t>
      </w:r>
    </w:p>
    <w:p w14:paraId="029CB9C7" w14:textId="0D2385F1" w:rsidR="00A556EE" w:rsidRPr="009C6218" w:rsidRDefault="00A85183" w:rsidP="00F24A43">
      <w:pPr>
        <w:numPr>
          <w:ilvl w:val="0"/>
          <w:numId w:val="1"/>
        </w:numPr>
        <w:spacing w:after="200" w:line="276" w:lineRule="auto"/>
        <w:ind w:left="567" w:hanging="567"/>
        <w:rPr>
          <w:lang w:val="fr-CA"/>
        </w:rPr>
      </w:pPr>
      <w:r w:rsidRPr="009C6218">
        <w:rPr>
          <w:lang w:val="fr-CA"/>
        </w:rPr>
        <w:lastRenderedPageBreak/>
        <w:t xml:space="preserve">Plus tard dans son témoignage, la juge de paix a déclaré : « Je n’y ai pas beaucoup pensé, </w:t>
      </w:r>
      <w:proofErr w:type="spellStart"/>
      <w:r w:rsidRPr="009C6218">
        <w:rPr>
          <w:lang w:val="fr-CA"/>
        </w:rPr>
        <w:t>okay</w:t>
      </w:r>
      <w:proofErr w:type="spellEnd"/>
      <w:r w:rsidRPr="009C6218">
        <w:rPr>
          <w:lang w:val="fr-CA"/>
        </w:rPr>
        <w:t>? »</w:t>
      </w:r>
      <w:r w:rsidR="00A556EE" w:rsidRPr="009C6218">
        <w:rPr>
          <w:lang w:val="fr-CA"/>
        </w:rPr>
        <w:t xml:space="preserve"> </w:t>
      </w:r>
      <w:r w:rsidRPr="009C6218">
        <w:rPr>
          <w:lang w:val="fr-CA"/>
        </w:rPr>
        <w:t>Elle a dit que les gens dont le comportement a été décrit se reconnaîtraient, mais « </w:t>
      </w:r>
      <w:r w:rsidRPr="00563433">
        <w:rPr>
          <w:u w:val="single"/>
          <w:lang w:val="fr-CA"/>
        </w:rPr>
        <w:t>comme je ne les ai pas nommés, ils ne devraient pas ressentir d’aiguillon</w:t>
      </w:r>
      <w:r w:rsidRPr="009C6218">
        <w:rPr>
          <w:lang w:val="fr-CA"/>
        </w:rPr>
        <w:t> »</w:t>
      </w:r>
      <w:r w:rsidR="00A556EE" w:rsidRPr="009C6218">
        <w:rPr>
          <w:rStyle w:val="FootnoteReference"/>
          <w:lang w:val="fr-CA"/>
        </w:rPr>
        <w:footnoteReference w:id="89"/>
      </w:r>
      <w:r w:rsidR="00A556EE" w:rsidRPr="009C6218">
        <w:rPr>
          <w:lang w:val="fr-CA"/>
        </w:rPr>
        <w:t xml:space="preserve"> (</w:t>
      </w:r>
      <w:r w:rsidRPr="009C6218">
        <w:rPr>
          <w:lang w:val="fr-CA"/>
        </w:rPr>
        <w:t>mise en valeur ajoutée</w:t>
      </w:r>
      <w:r w:rsidR="00A556EE" w:rsidRPr="009C6218">
        <w:rPr>
          <w:lang w:val="fr-CA"/>
        </w:rPr>
        <w:t>)</w:t>
      </w:r>
      <w:r w:rsidRPr="009C6218">
        <w:rPr>
          <w:lang w:val="fr-CA"/>
        </w:rPr>
        <w:t>. Elle a nié avoir eu l’intention d’insulter ou de jeter le doute sur les avocats de la Couronne lorsqu’elle les a appelés « agresseurs » et « cyniques »</w:t>
      </w:r>
      <w:r w:rsidR="00A556EE" w:rsidRPr="009C6218">
        <w:rPr>
          <w:rStyle w:val="FootnoteReference"/>
          <w:lang w:val="fr-CA"/>
        </w:rPr>
        <w:footnoteReference w:id="90"/>
      </w:r>
      <w:r w:rsidRPr="009C6218">
        <w:rPr>
          <w:lang w:val="fr-CA"/>
        </w:rPr>
        <w:t>.</w:t>
      </w:r>
    </w:p>
    <w:p w14:paraId="518FB320" w14:textId="03107883" w:rsidR="00A556EE" w:rsidRPr="009C6218" w:rsidRDefault="00A85183" w:rsidP="00F24A43">
      <w:pPr>
        <w:numPr>
          <w:ilvl w:val="0"/>
          <w:numId w:val="1"/>
        </w:numPr>
        <w:spacing w:after="200" w:line="276" w:lineRule="auto"/>
        <w:ind w:left="567" w:hanging="567"/>
        <w:rPr>
          <w:lang w:val="fr-CA"/>
        </w:rPr>
      </w:pPr>
      <w:r w:rsidRPr="009C6218">
        <w:rPr>
          <w:lang w:val="fr-CA"/>
        </w:rPr>
        <w:t xml:space="preserve">Il serait juste de déduire du témoignage de la juge de paix qu’elle s’est sentie personnellement attaquée par ce qu’elle a perçu comme un comportement inexcusable de la part de </w:t>
      </w:r>
      <w:r w:rsidR="00A556EE" w:rsidRPr="009C6218">
        <w:rPr>
          <w:lang w:val="fr-CA"/>
        </w:rPr>
        <w:t>M</w:t>
      </w:r>
      <w:r w:rsidRPr="009C6218">
        <w:rPr>
          <w:lang w:val="fr-CA"/>
        </w:rPr>
        <w:t>e</w:t>
      </w:r>
      <w:r w:rsidR="00A556EE" w:rsidRPr="009C6218">
        <w:rPr>
          <w:lang w:val="fr-CA"/>
        </w:rPr>
        <w:t xml:space="preserve"> </w:t>
      </w:r>
      <w:proofErr w:type="spellStart"/>
      <w:r w:rsidR="00A556EE" w:rsidRPr="009C6218">
        <w:rPr>
          <w:lang w:val="fr-CA"/>
        </w:rPr>
        <w:t>Wightman</w:t>
      </w:r>
      <w:proofErr w:type="spellEnd"/>
      <w:r w:rsidR="00A556EE" w:rsidRPr="009C6218">
        <w:rPr>
          <w:lang w:val="fr-CA"/>
        </w:rPr>
        <w:t xml:space="preserve"> </w:t>
      </w:r>
      <w:r w:rsidRPr="009C6218">
        <w:rPr>
          <w:lang w:val="fr-CA"/>
        </w:rPr>
        <w:t>dans une salle d’audience « </w:t>
      </w:r>
      <w:r w:rsidR="00563433">
        <w:rPr>
          <w:lang w:val="fr-CA"/>
        </w:rPr>
        <w:t>pleine à craquer</w:t>
      </w:r>
      <w:r w:rsidRPr="009C6218">
        <w:rPr>
          <w:lang w:val="fr-CA"/>
        </w:rPr>
        <w:t> »</w:t>
      </w:r>
      <w:r w:rsidR="00A556EE" w:rsidRPr="009C6218">
        <w:rPr>
          <w:lang w:val="fr-CA"/>
        </w:rPr>
        <w:t xml:space="preserve">. </w:t>
      </w:r>
      <w:r w:rsidRPr="009C6218">
        <w:rPr>
          <w:lang w:val="fr-CA"/>
        </w:rPr>
        <w:t>Elle se souvient d’avoir considéré l’incident comme « la chose la plus embarrassante, je crois, qu’on puisse voir ». Elle est revenue plus d’une fois sur l’incident présumé dans son témoignage et l’a décrit comme « un cirque »</w:t>
      </w:r>
      <w:r w:rsidR="00A556EE" w:rsidRPr="009C6218">
        <w:rPr>
          <w:rStyle w:val="FootnoteReference"/>
          <w:lang w:val="fr-CA"/>
        </w:rPr>
        <w:footnoteReference w:id="91"/>
      </w:r>
      <w:r w:rsidRPr="009C6218">
        <w:rPr>
          <w:lang w:val="fr-CA"/>
        </w:rPr>
        <w:t>.</w:t>
      </w:r>
    </w:p>
    <w:p w14:paraId="00D91C54" w14:textId="1556FD2A" w:rsidR="00C12889" w:rsidRPr="009C6218" w:rsidRDefault="00FA125C" w:rsidP="00F24A43">
      <w:pPr>
        <w:numPr>
          <w:ilvl w:val="0"/>
          <w:numId w:val="1"/>
        </w:numPr>
        <w:spacing w:after="200" w:line="276" w:lineRule="auto"/>
        <w:ind w:left="567" w:hanging="567"/>
        <w:rPr>
          <w:lang w:val="fr-CA"/>
        </w:rPr>
      </w:pPr>
      <w:r w:rsidRPr="009C6218">
        <w:rPr>
          <w:lang w:val="fr-CA"/>
        </w:rPr>
        <w:t>En montrant du doigt certains individus qui, d’après la juge de paix, lui on</w:t>
      </w:r>
      <w:r w:rsidR="00D35E1C" w:rsidRPr="009C6218">
        <w:rPr>
          <w:lang w:val="fr-CA"/>
        </w:rPr>
        <w:t>t témoigné un manque de respect et qui, elle espérait, se reconnaîtraient dans l’Article, nous estimons que l’Article peut être raisonnablement qualifié de hautement « personnel »</w:t>
      </w:r>
      <w:r w:rsidR="00C12889" w:rsidRPr="009C6218">
        <w:rPr>
          <w:lang w:val="fr-CA"/>
        </w:rPr>
        <w:t>.</w:t>
      </w:r>
    </w:p>
    <w:p w14:paraId="4E706C51" w14:textId="36279722" w:rsidR="007A18CE" w:rsidRPr="009C6218" w:rsidRDefault="00D35E1C" w:rsidP="00BE6325">
      <w:pPr>
        <w:pStyle w:val="Heading2"/>
        <w:rPr>
          <w:lang w:val="fr-CA"/>
        </w:rPr>
      </w:pPr>
      <w:bookmarkStart w:id="53" w:name="_Toc42946558"/>
      <w:r w:rsidRPr="009C6218">
        <w:rPr>
          <w:lang w:val="fr-CA"/>
        </w:rPr>
        <w:t>Dire la vérité et l’apparence de partialité</w:t>
      </w:r>
      <w:bookmarkEnd w:id="53"/>
      <w:r w:rsidRPr="009C6218">
        <w:rPr>
          <w:lang w:val="fr-CA"/>
        </w:rPr>
        <w:t xml:space="preserve"> </w:t>
      </w:r>
    </w:p>
    <w:p w14:paraId="71A1BB8C" w14:textId="0558828D" w:rsidR="007A18CE" w:rsidRPr="009C6218" w:rsidRDefault="00EB383C" w:rsidP="00F24A43">
      <w:pPr>
        <w:numPr>
          <w:ilvl w:val="0"/>
          <w:numId w:val="1"/>
        </w:numPr>
        <w:spacing w:after="200" w:line="276" w:lineRule="auto"/>
        <w:ind w:left="567" w:hanging="567"/>
        <w:rPr>
          <w:lang w:val="fr-CA"/>
        </w:rPr>
      </w:pPr>
      <w:r w:rsidRPr="009C6218">
        <w:rPr>
          <w:lang w:val="fr-CA"/>
        </w:rPr>
        <w:t xml:space="preserve">La juge de paix </w:t>
      </w:r>
      <w:r w:rsidR="007A18CE" w:rsidRPr="009C6218">
        <w:rPr>
          <w:lang w:val="fr-CA"/>
        </w:rPr>
        <w:t xml:space="preserve">Lauzon </w:t>
      </w:r>
      <w:r w:rsidRPr="009C6218">
        <w:rPr>
          <w:lang w:val="fr-CA"/>
        </w:rPr>
        <w:t xml:space="preserve">a affirmé dans son témoignage que « si l’on veut dire la vérité, ce n’est pas toujours politiquement correct et ce n’est pas toujours beau. </w:t>
      </w:r>
      <w:r w:rsidRPr="009C6218">
        <w:rPr>
          <w:u w:val="single"/>
          <w:lang w:val="fr-CA"/>
        </w:rPr>
        <w:t>L’aspect principal … fondamental de l’expression est d’être honnête et s’il faut froisser la susceptibilité de certaines personnes en cours de route</w:t>
      </w:r>
      <w:r w:rsidRPr="009C6218">
        <w:rPr>
          <w:lang w:val="fr-CA"/>
        </w:rPr>
        <w:t>, je pense que le plus important est que lorsqu’on s’exprime on droit être honnête et n’avoir aucun motif autre que de trouver une solution au problème</w:t>
      </w:r>
      <w:r w:rsidR="007A18CE" w:rsidRPr="009C6218">
        <w:rPr>
          <w:rStyle w:val="FootnoteReference"/>
          <w:lang w:val="fr-CA"/>
        </w:rPr>
        <w:footnoteReference w:id="92"/>
      </w:r>
      <w:r w:rsidRPr="009C6218">
        <w:rPr>
          <w:lang w:val="fr-CA"/>
        </w:rPr>
        <w:t> ».</w:t>
      </w:r>
    </w:p>
    <w:p w14:paraId="6CCCA8EF" w14:textId="071E6AC5" w:rsidR="007A18CE" w:rsidRPr="009C6218" w:rsidRDefault="00EB383C" w:rsidP="00F24A43">
      <w:pPr>
        <w:numPr>
          <w:ilvl w:val="0"/>
          <w:numId w:val="1"/>
        </w:numPr>
        <w:spacing w:after="200" w:line="276" w:lineRule="auto"/>
        <w:ind w:left="567" w:hanging="567"/>
        <w:rPr>
          <w:lang w:val="fr-CA"/>
        </w:rPr>
      </w:pPr>
      <w:r w:rsidRPr="009C6218">
        <w:rPr>
          <w:lang w:val="fr-CA"/>
        </w:rPr>
        <w:t>Lorsqu’on lui a demandé dans son contre-interrogatoire si elle avait pensé que l’Article risquerait de susciter une impression de partialité ou de favoritisme, elle a répondu : « Je ne crois pas y avoir pensé. »</w:t>
      </w:r>
    </w:p>
    <w:p w14:paraId="3046EC76" w14:textId="2259EB04" w:rsidR="00773409" w:rsidRPr="009C6218" w:rsidRDefault="00F67F03" w:rsidP="00BE6325">
      <w:pPr>
        <w:pStyle w:val="Heading2"/>
        <w:spacing w:after="360"/>
        <w:rPr>
          <w:lang w:val="fr-CA"/>
        </w:rPr>
      </w:pPr>
      <w:bookmarkStart w:id="54" w:name="_Toc42946559"/>
      <w:r w:rsidRPr="009C6218">
        <w:rPr>
          <w:lang w:val="fr-CA"/>
        </w:rPr>
        <w:t>I</w:t>
      </w:r>
      <w:r w:rsidR="00EB383C" w:rsidRPr="009C6218">
        <w:rPr>
          <w:lang w:val="fr-CA"/>
        </w:rPr>
        <w:t>ncidence sur la confiance du public</w:t>
      </w:r>
      <w:bookmarkEnd w:id="54"/>
    </w:p>
    <w:p w14:paraId="38BD6EDC" w14:textId="7574838B" w:rsidR="005C2288" w:rsidRPr="009C6218" w:rsidRDefault="00DB4012" w:rsidP="00BE6325">
      <w:pPr>
        <w:numPr>
          <w:ilvl w:val="0"/>
          <w:numId w:val="1"/>
        </w:numPr>
        <w:spacing w:after="360" w:line="276" w:lineRule="auto"/>
        <w:ind w:left="567" w:hanging="567"/>
        <w:rPr>
          <w:lang w:val="fr-CA"/>
        </w:rPr>
      </w:pPr>
      <w:r w:rsidRPr="009C6218">
        <w:rPr>
          <w:lang w:val="fr-CA"/>
        </w:rPr>
        <w:t xml:space="preserve">La juge de paix a déclaré dans son témoignage devant notre comité d’audition qu’elle n’avait pas l’intention d’éroder la confiance du public dans l’administration de la justice. Bien au contraire. Elle a affirmé qu’elle avait voulu parler publiquement des problèmes pour que le public continue d’avoir confiance dans le système judiciaire. Cependant, dans son contre-interrogatoire, elle a admis que ce qu’elle </w:t>
      </w:r>
      <w:r w:rsidRPr="009C6218">
        <w:rPr>
          <w:lang w:val="fr-CA"/>
        </w:rPr>
        <w:lastRenderedPageBreak/>
        <w:t>disait essentiellement dans l’Article était que les procureurs tentaient de saboter le processus</w:t>
      </w:r>
      <w:r w:rsidR="005C2288" w:rsidRPr="009C6218">
        <w:rPr>
          <w:rStyle w:val="FootnoteReference"/>
          <w:lang w:val="fr-CA"/>
        </w:rPr>
        <w:footnoteReference w:id="93"/>
      </w:r>
      <w:r w:rsidRPr="009C6218">
        <w:rPr>
          <w:lang w:val="fr-CA"/>
        </w:rPr>
        <w:t>.</w:t>
      </w:r>
    </w:p>
    <w:p w14:paraId="426CE280" w14:textId="0264A928" w:rsidR="005C2288" w:rsidRPr="009C6218" w:rsidRDefault="00DB4012" w:rsidP="00F24A43">
      <w:pPr>
        <w:numPr>
          <w:ilvl w:val="0"/>
          <w:numId w:val="1"/>
        </w:numPr>
        <w:spacing w:after="200" w:line="276" w:lineRule="auto"/>
        <w:ind w:left="567" w:hanging="567"/>
        <w:rPr>
          <w:lang w:val="fr-CA"/>
        </w:rPr>
      </w:pPr>
      <w:r w:rsidRPr="009C6218">
        <w:rPr>
          <w:lang w:val="fr-CA"/>
        </w:rPr>
        <w:t xml:space="preserve">Elle a aussi eu l’échange suivant avec l’avocat chargé </w:t>
      </w:r>
      <w:r w:rsidR="002C390C" w:rsidRPr="009C6218">
        <w:rPr>
          <w:rFonts w:eastAsia="Arial" w:cs="Times New Roman"/>
          <w:szCs w:val="22"/>
          <w:lang w:val="fr-CA"/>
        </w:rPr>
        <w:t xml:space="preserve">de la présentation </w:t>
      </w:r>
      <w:r w:rsidRPr="009C6218">
        <w:rPr>
          <w:lang w:val="fr-CA"/>
        </w:rPr>
        <w:t>sur l’incidence de son Article sur la confiance du public :</w:t>
      </w:r>
    </w:p>
    <w:p w14:paraId="5139F557" w14:textId="0086B466" w:rsidR="00F67F03" w:rsidRPr="009C6218" w:rsidRDefault="00F67F03" w:rsidP="00773409">
      <w:pPr>
        <w:pStyle w:val="ListParagraph"/>
        <w:ind w:left="1134" w:right="855" w:hanging="283"/>
        <w:rPr>
          <w:lang w:val="fr-CA"/>
        </w:rPr>
      </w:pPr>
      <w:r w:rsidRPr="009C6218">
        <w:rPr>
          <w:lang w:val="fr-CA"/>
        </w:rPr>
        <w:t>Q</w:t>
      </w:r>
      <w:r w:rsidR="00DB4012" w:rsidRPr="009C6218">
        <w:rPr>
          <w:lang w:val="fr-CA"/>
        </w:rPr>
        <w:t>.</w:t>
      </w:r>
      <w:r w:rsidRPr="009C6218">
        <w:rPr>
          <w:lang w:val="fr-CA"/>
        </w:rPr>
        <w:t xml:space="preserve"> </w:t>
      </w:r>
      <w:r w:rsidR="00E2754F" w:rsidRPr="009C6218">
        <w:rPr>
          <w:lang w:val="fr-CA"/>
        </w:rPr>
        <w:t xml:space="preserve">En fait, Votre </w:t>
      </w:r>
      <w:proofErr w:type="spellStart"/>
      <w:r w:rsidR="00E2754F" w:rsidRPr="009C6218">
        <w:rPr>
          <w:lang w:val="fr-CA"/>
        </w:rPr>
        <w:t>Honneure</w:t>
      </w:r>
      <w:proofErr w:type="spellEnd"/>
      <w:r w:rsidR="00E2754F" w:rsidRPr="009C6218">
        <w:rPr>
          <w:lang w:val="fr-CA"/>
        </w:rPr>
        <w:t xml:space="preserve">, </w:t>
      </w:r>
      <w:r w:rsidR="007A61F7" w:rsidRPr="009C6218">
        <w:rPr>
          <w:lang w:val="fr-CA"/>
        </w:rPr>
        <w:t>le message ici, le message que vous transmettez est que le public ne devrait pas avoir confiance dans les tribunaux de la mise en liberté sous caution, c’est bien ça</w:t>
      </w:r>
      <w:r w:rsidRPr="009C6218">
        <w:rPr>
          <w:lang w:val="fr-CA"/>
        </w:rPr>
        <w:t>?</w:t>
      </w:r>
    </w:p>
    <w:p w14:paraId="7545FF25" w14:textId="77777777" w:rsidR="00773409" w:rsidRPr="009C6218" w:rsidRDefault="00773409" w:rsidP="00773409">
      <w:pPr>
        <w:pStyle w:val="ListParagraph"/>
        <w:ind w:left="1134" w:right="855" w:hanging="283"/>
        <w:rPr>
          <w:lang w:val="fr-CA"/>
        </w:rPr>
      </w:pPr>
    </w:p>
    <w:p w14:paraId="3785F3CE" w14:textId="76B27989" w:rsidR="00F67F03" w:rsidRPr="009C6218" w:rsidRDefault="00DB4012" w:rsidP="00773409">
      <w:pPr>
        <w:pStyle w:val="ListParagraph"/>
        <w:ind w:left="1134" w:right="855" w:hanging="283"/>
        <w:rPr>
          <w:u w:val="single"/>
          <w:lang w:val="fr-CA"/>
        </w:rPr>
      </w:pPr>
      <w:r w:rsidRPr="009C6218">
        <w:rPr>
          <w:lang w:val="fr-CA"/>
        </w:rPr>
        <w:t>R.</w:t>
      </w:r>
      <w:r w:rsidR="00F67F03" w:rsidRPr="009C6218">
        <w:rPr>
          <w:lang w:val="fr-CA"/>
        </w:rPr>
        <w:t xml:space="preserve"> </w:t>
      </w:r>
      <w:r w:rsidR="007A61F7" w:rsidRPr="009C6218">
        <w:rPr>
          <w:u w:val="single"/>
          <w:lang w:val="fr-CA"/>
        </w:rPr>
        <w:t>Dans l’état où ils sont, comme je les décris dans l’article, pourquoi devrait-il avoir confiance</w:t>
      </w:r>
      <w:r w:rsidR="00F67F03" w:rsidRPr="009C6218">
        <w:rPr>
          <w:u w:val="single"/>
          <w:lang w:val="fr-CA"/>
        </w:rPr>
        <w:t>?</w:t>
      </w:r>
      <w:r w:rsidR="00BC1B85" w:rsidRPr="009C6218">
        <w:rPr>
          <w:lang w:val="fr-CA"/>
        </w:rPr>
        <w:t xml:space="preserve"> (</w:t>
      </w:r>
      <w:r w:rsidR="007A61F7" w:rsidRPr="009C6218">
        <w:rPr>
          <w:lang w:val="fr-CA"/>
        </w:rPr>
        <w:t>mise en valeur ajouté</w:t>
      </w:r>
      <w:r w:rsidR="00776713">
        <w:rPr>
          <w:lang w:val="fr-CA"/>
        </w:rPr>
        <w:t>e</w:t>
      </w:r>
      <w:r w:rsidR="00BC1B85" w:rsidRPr="009C6218">
        <w:rPr>
          <w:lang w:val="fr-CA"/>
        </w:rPr>
        <w:t>)</w:t>
      </w:r>
    </w:p>
    <w:p w14:paraId="3343871F" w14:textId="77777777" w:rsidR="00773409" w:rsidRPr="009C6218" w:rsidRDefault="00773409" w:rsidP="00773409">
      <w:pPr>
        <w:pStyle w:val="ListParagraph"/>
        <w:ind w:left="1134" w:right="855" w:hanging="283"/>
        <w:rPr>
          <w:lang w:val="fr-CA"/>
        </w:rPr>
      </w:pPr>
    </w:p>
    <w:p w14:paraId="28E70093" w14:textId="32DE1B2C" w:rsidR="00F67F03" w:rsidRPr="009C6218" w:rsidRDefault="00F67F03" w:rsidP="00773409">
      <w:pPr>
        <w:pStyle w:val="ListParagraph"/>
        <w:ind w:left="1134" w:right="855" w:hanging="283"/>
        <w:rPr>
          <w:lang w:val="fr-CA"/>
        </w:rPr>
      </w:pPr>
      <w:r w:rsidRPr="009C6218">
        <w:rPr>
          <w:lang w:val="fr-CA"/>
        </w:rPr>
        <w:t xml:space="preserve">Q. </w:t>
      </w:r>
      <w:r w:rsidR="007A61F7" w:rsidRPr="009C6218">
        <w:rPr>
          <w:lang w:val="fr-CA"/>
        </w:rPr>
        <w:t>Vous êtes donc d’accord avec moi que votre message ici est que le public ne devrait pas avoir confiance dans les tribunaux de la mise en liberté sous caution</w:t>
      </w:r>
      <w:r w:rsidRPr="009C6218">
        <w:rPr>
          <w:lang w:val="fr-CA"/>
        </w:rPr>
        <w:t>?</w:t>
      </w:r>
    </w:p>
    <w:p w14:paraId="5B214E32" w14:textId="77777777" w:rsidR="00773409" w:rsidRPr="009C6218" w:rsidRDefault="00773409" w:rsidP="00773409">
      <w:pPr>
        <w:pStyle w:val="ListParagraph"/>
        <w:ind w:left="1134" w:right="855" w:hanging="283"/>
        <w:rPr>
          <w:lang w:val="fr-CA"/>
        </w:rPr>
      </w:pPr>
    </w:p>
    <w:p w14:paraId="410DDFF8" w14:textId="37ED7149" w:rsidR="00F67F03" w:rsidRPr="009C6218" w:rsidRDefault="00DB4012" w:rsidP="00773409">
      <w:pPr>
        <w:pStyle w:val="ListParagraph"/>
        <w:ind w:left="1134" w:right="855" w:hanging="283"/>
        <w:rPr>
          <w:lang w:val="fr-CA"/>
        </w:rPr>
      </w:pPr>
      <w:r w:rsidRPr="009C6218">
        <w:rPr>
          <w:lang w:val="fr-CA"/>
        </w:rPr>
        <w:t>R</w:t>
      </w:r>
      <w:r w:rsidR="00F67F03" w:rsidRPr="009C6218">
        <w:rPr>
          <w:lang w:val="fr-CA"/>
        </w:rPr>
        <w:t xml:space="preserve">. </w:t>
      </w:r>
      <w:r w:rsidR="007A61F7" w:rsidRPr="009C6218">
        <w:rPr>
          <w:lang w:val="fr-CA"/>
        </w:rPr>
        <w:t xml:space="preserve">Ce n’est pas ce que j’ai dit. Et, vous savez, vous devriez faire attention lorsque vous faites des généralisations. </w:t>
      </w:r>
      <w:r w:rsidR="007A61F7" w:rsidRPr="009C6218">
        <w:rPr>
          <w:u w:val="single"/>
          <w:lang w:val="fr-CA"/>
        </w:rPr>
        <w:t>J’ai dit quelque chose de très précis ici, que dans mon tribunal, d’après tout ce que j’ai vu,</w:t>
      </w:r>
      <w:r w:rsidR="00F67F03" w:rsidRPr="009C6218">
        <w:rPr>
          <w:u w:val="single"/>
          <w:lang w:val="fr-CA"/>
        </w:rPr>
        <w:t xml:space="preserve"> … </w:t>
      </w:r>
      <w:r w:rsidR="008848C5">
        <w:rPr>
          <w:u w:val="single"/>
          <w:lang w:val="fr-CA"/>
        </w:rPr>
        <w:t xml:space="preserve">ce n’était pas une </w:t>
      </w:r>
      <w:r w:rsidR="007A61F7" w:rsidRPr="009C6218">
        <w:rPr>
          <w:u w:val="single"/>
          <w:lang w:val="fr-CA"/>
        </w:rPr>
        <w:t>cour de justice</w:t>
      </w:r>
      <w:r w:rsidR="008848C5">
        <w:rPr>
          <w:u w:val="single"/>
          <w:lang w:val="fr-CA"/>
        </w:rPr>
        <w:t xml:space="preserve"> pour moi</w:t>
      </w:r>
      <w:r w:rsidR="007A61F7" w:rsidRPr="009C6218">
        <w:rPr>
          <w:u w:val="single"/>
          <w:lang w:val="fr-CA"/>
        </w:rPr>
        <w:t xml:space="preserve">. </w:t>
      </w:r>
      <w:r w:rsidR="007A61F7" w:rsidRPr="009C6218">
        <w:rPr>
          <w:lang w:val="fr-CA"/>
        </w:rPr>
        <w:t>Je me suis tout de même efforcée de bien faire mon travail</w:t>
      </w:r>
      <w:r w:rsidR="00F67F03" w:rsidRPr="009C6218">
        <w:rPr>
          <w:lang w:val="fr-CA"/>
        </w:rPr>
        <w:t>.</w:t>
      </w:r>
      <w:r w:rsidR="00B11F66" w:rsidRPr="009C6218">
        <w:rPr>
          <w:lang w:val="fr-CA"/>
        </w:rPr>
        <w:t xml:space="preserve"> (</w:t>
      </w:r>
      <w:proofErr w:type="gramStart"/>
      <w:r w:rsidR="007A61F7" w:rsidRPr="009C6218">
        <w:rPr>
          <w:lang w:val="fr-CA"/>
        </w:rPr>
        <w:t>mise</w:t>
      </w:r>
      <w:proofErr w:type="gramEnd"/>
      <w:r w:rsidR="007A61F7" w:rsidRPr="009C6218">
        <w:rPr>
          <w:lang w:val="fr-CA"/>
        </w:rPr>
        <w:t xml:space="preserve"> en valeur ajoutée</w:t>
      </w:r>
      <w:r w:rsidR="00B11F66" w:rsidRPr="009C6218">
        <w:rPr>
          <w:lang w:val="fr-CA"/>
        </w:rPr>
        <w:t>)</w:t>
      </w:r>
    </w:p>
    <w:p w14:paraId="4F1A2D0E" w14:textId="77777777" w:rsidR="00773409" w:rsidRPr="009C6218" w:rsidRDefault="00773409" w:rsidP="00773409">
      <w:pPr>
        <w:pStyle w:val="ListParagraph"/>
        <w:ind w:left="1134" w:right="855" w:hanging="283"/>
        <w:rPr>
          <w:lang w:val="fr-CA"/>
        </w:rPr>
      </w:pPr>
    </w:p>
    <w:p w14:paraId="4C55FB65" w14:textId="409EFCED" w:rsidR="00F67F03" w:rsidRPr="009C6218" w:rsidRDefault="00F67F03" w:rsidP="00773409">
      <w:pPr>
        <w:pStyle w:val="ListParagraph"/>
        <w:ind w:left="1134" w:right="855" w:hanging="283"/>
        <w:rPr>
          <w:lang w:val="fr-CA"/>
        </w:rPr>
      </w:pPr>
      <w:r w:rsidRPr="009C6218">
        <w:rPr>
          <w:lang w:val="fr-CA"/>
        </w:rPr>
        <w:t xml:space="preserve">Q. </w:t>
      </w:r>
      <w:r w:rsidR="007A61F7" w:rsidRPr="009C6218">
        <w:rPr>
          <w:lang w:val="fr-CA"/>
        </w:rPr>
        <w:t>Honnêtement, vous parlez aussi d’autres tribunaux, pas seulement le v</w:t>
      </w:r>
      <w:r w:rsidR="008848C5">
        <w:rPr>
          <w:lang w:val="fr-CA"/>
        </w:rPr>
        <w:t>ô</w:t>
      </w:r>
      <w:r w:rsidR="007A61F7" w:rsidRPr="009C6218">
        <w:rPr>
          <w:lang w:val="fr-CA"/>
        </w:rPr>
        <w:t>tre, n’est-ce pas</w:t>
      </w:r>
      <w:r w:rsidRPr="009C6218">
        <w:rPr>
          <w:lang w:val="fr-CA"/>
        </w:rPr>
        <w:t>?</w:t>
      </w:r>
    </w:p>
    <w:p w14:paraId="5BBBF312" w14:textId="77777777" w:rsidR="004034AD" w:rsidRPr="009C6218" w:rsidRDefault="004034AD" w:rsidP="00773409">
      <w:pPr>
        <w:pStyle w:val="ListParagraph"/>
        <w:ind w:left="1134" w:right="855" w:hanging="283"/>
        <w:rPr>
          <w:lang w:val="fr-CA"/>
        </w:rPr>
      </w:pPr>
    </w:p>
    <w:p w14:paraId="199A246A" w14:textId="09B7A7E8" w:rsidR="00F67F03" w:rsidRPr="009C6218" w:rsidRDefault="00DB4012" w:rsidP="00773409">
      <w:pPr>
        <w:pStyle w:val="ListParagraph"/>
        <w:ind w:left="1134" w:right="855" w:hanging="283"/>
        <w:rPr>
          <w:lang w:val="fr-CA"/>
        </w:rPr>
      </w:pPr>
      <w:r w:rsidRPr="009C6218">
        <w:rPr>
          <w:lang w:val="fr-CA"/>
        </w:rPr>
        <w:t>R</w:t>
      </w:r>
      <w:r w:rsidR="00F67F03" w:rsidRPr="009C6218">
        <w:rPr>
          <w:lang w:val="fr-CA"/>
        </w:rPr>
        <w:t xml:space="preserve">. </w:t>
      </w:r>
      <w:r w:rsidR="007A61F7" w:rsidRPr="009C6218">
        <w:rPr>
          <w:lang w:val="fr-CA"/>
        </w:rPr>
        <w:t>Oui</w:t>
      </w:r>
      <w:r w:rsidR="00F67F03" w:rsidRPr="009C6218">
        <w:rPr>
          <w:lang w:val="fr-CA"/>
        </w:rPr>
        <w:t>.</w:t>
      </w:r>
    </w:p>
    <w:p w14:paraId="2CBD4D54" w14:textId="77777777" w:rsidR="00773409" w:rsidRPr="009C6218" w:rsidRDefault="00773409" w:rsidP="00773409">
      <w:pPr>
        <w:pStyle w:val="ListParagraph"/>
        <w:ind w:left="1134" w:right="855" w:hanging="283"/>
        <w:rPr>
          <w:lang w:val="fr-CA"/>
        </w:rPr>
      </w:pPr>
    </w:p>
    <w:p w14:paraId="4973BE5D" w14:textId="46994DB4" w:rsidR="00F67F03" w:rsidRPr="009C6218" w:rsidRDefault="00F67F03" w:rsidP="00773409">
      <w:pPr>
        <w:pStyle w:val="ListParagraph"/>
        <w:ind w:left="1134" w:right="855" w:hanging="283"/>
        <w:rPr>
          <w:lang w:val="fr-CA"/>
        </w:rPr>
      </w:pPr>
      <w:r w:rsidRPr="009C6218">
        <w:rPr>
          <w:lang w:val="fr-CA"/>
        </w:rPr>
        <w:t xml:space="preserve">Q. </w:t>
      </w:r>
      <w:r w:rsidR="007A61F7" w:rsidRPr="009C6218">
        <w:rPr>
          <w:lang w:val="fr-CA"/>
        </w:rPr>
        <w:t>et</w:t>
      </w:r>
      <w:r w:rsidRPr="009C6218">
        <w:rPr>
          <w:lang w:val="fr-CA"/>
        </w:rPr>
        <w:t>…</w:t>
      </w:r>
    </w:p>
    <w:p w14:paraId="0AFD6D14" w14:textId="77777777" w:rsidR="00773409" w:rsidRPr="009C6218" w:rsidRDefault="00773409" w:rsidP="00773409">
      <w:pPr>
        <w:pStyle w:val="ListParagraph"/>
        <w:ind w:left="1134" w:right="855" w:hanging="283"/>
        <w:rPr>
          <w:lang w:val="fr-CA"/>
        </w:rPr>
      </w:pPr>
    </w:p>
    <w:p w14:paraId="785AD70A" w14:textId="5FC0A694" w:rsidR="00F67F03" w:rsidRPr="009C6218" w:rsidRDefault="00DB4012" w:rsidP="00773409">
      <w:pPr>
        <w:pStyle w:val="ListParagraph"/>
        <w:ind w:left="1134" w:right="855" w:hanging="283"/>
        <w:rPr>
          <w:lang w:val="fr-CA"/>
        </w:rPr>
      </w:pPr>
      <w:r w:rsidRPr="009C6218">
        <w:rPr>
          <w:lang w:val="fr-CA"/>
        </w:rPr>
        <w:t>R</w:t>
      </w:r>
      <w:r w:rsidR="00F67F03" w:rsidRPr="009C6218">
        <w:rPr>
          <w:lang w:val="fr-CA"/>
        </w:rPr>
        <w:t xml:space="preserve">. </w:t>
      </w:r>
      <w:r w:rsidR="007A61F7" w:rsidRPr="009C6218">
        <w:rPr>
          <w:lang w:val="fr-CA"/>
        </w:rPr>
        <w:t xml:space="preserve">Mais, je ne dis pas que tous les tribunaux chargés de la mise en liberté sous caution </w:t>
      </w:r>
      <w:r w:rsidR="00F67F03" w:rsidRPr="009C6218">
        <w:rPr>
          <w:lang w:val="fr-CA"/>
        </w:rPr>
        <w:t xml:space="preserve">… </w:t>
      </w:r>
      <w:r w:rsidR="007A61F7" w:rsidRPr="009C6218">
        <w:rPr>
          <w:lang w:val="fr-CA"/>
        </w:rPr>
        <w:t>Je ne me souviens pas</w:t>
      </w:r>
      <w:r w:rsidR="00F67F03" w:rsidRPr="009C6218">
        <w:rPr>
          <w:lang w:val="fr-CA"/>
        </w:rPr>
        <w:t xml:space="preserve">… </w:t>
      </w:r>
      <w:r w:rsidR="007A61F7" w:rsidRPr="009C6218">
        <w:rPr>
          <w:lang w:val="fr-CA"/>
        </w:rPr>
        <w:t>Je ne</w:t>
      </w:r>
      <w:r w:rsidR="00F67F03" w:rsidRPr="009C6218">
        <w:rPr>
          <w:lang w:val="fr-CA"/>
        </w:rPr>
        <w:t xml:space="preserve"> … </w:t>
      </w:r>
      <w:r w:rsidR="007A61F7" w:rsidRPr="009C6218">
        <w:rPr>
          <w:lang w:val="fr-CA"/>
        </w:rPr>
        <w:t>J’espère que je n’ai pas dit que tous les tribunaux chargés de la mise en liberté sous caution, tous les jours, dans chaque cas, sont une honte</w:t>
      </w:r>
      <w:r w:rsidR="00F67F03" w:rsidRPr="009C6218">
        <w:rPr>
          <w:rStyle w:val="FootnoteReference"/>
          <w:lang w:val="fr-CA"/>
        </w:rPr>
        <w:footnoteReference w:id="94"/>
      </w:r>
      <w:r w:rsidR="007A61F7" w:rsidRPr="009C6218">
        <w:rPr>
          <w:lang w:val="fr-CA"/>
        </w:rPr>
        <w:t>.</w:t>
      </w:r>
    </w:p>
    <w:p w14:paraId="3B392B0C" w14:textId="77777777" w:rsidR="00580F7E" w:rsidRPr="009C6218" w:rsidRDefault="00580F7E" w:rsidP="00F67F03">
      <w:pPr>
        <w:pStyle w:val="ListParagraph"/>
        <w:ind w:left="360" w:firstLine="360"/>
        <w:rPr>
          <w:lang w:val="fr-CA"/>
        </w:rPr>
      </w:pPr>
    </w:p>
    <w:p w14:paraId="5EA10928" w14:textId="10578698" w:rsidR="00BC1B85" w:rsidRPr="009C6218" w:rsidRDefault="00B776E4" w:rsidP="00F24A43">
      <w:pPr>
        <w:numPr>
          <w:ilvl w:val="0"/>
          <w:numId w:val="1"/>
        </w:numPr>
        <w:spacing w:after="200" w:line="276" w:lineRule="auto"/>
        <w:ind w:left="567" w:hanging="567"/>
        <w:rPr>
          <w:lang w:val="fr-CA"/>
        </w:rPr>
      </w:pPr>
      <w:r w:rsidRPr="009C6218">
        <w:rPr>
          <w:lang w:val="fr-CA"/>
        </w:rPr>
        <w:t xml:space="preserve">La juge de paix a reconnu qu’il fallait éviter de généraliser. Elle a maintenu qu’en décrivant le tribunal de « une honte » et de « dénué de toute règle de droit », </w:t>
      </w:r>
      <w:r w:rsidR="00712AAD">
        <w:rPr>
          <w:lang w:val="fr-CA"/>
        </w:rPr>
        <w:t xml:space="preserve">il s’agissait uniquement </w:t>
      </w:r>
      <w:r w:rsidRPr="009C6218">
        <w:rPr>
          <w:lang w:val="fr-CA"/>
        </w:rPr>
        <w:t>de son tribunal</w:t>
      </w:r>
      <w:r w:rsidR="00712AAD">
        <w:rPr>
          <w:lang w:val="fr-CA"/>
        </w:rPr>
        <w:t>, mais e</w:t>
      </w:r>
      <w:r w:rsidRPr="009C6218">
        <w:rPr>
          <w:lang w:val="fr-CA"/>
        </w:rPr>
        <w:t>lle a convenu qu’elle parlait en fait d’autres tribunaux et pas seulement du sien, mais pas de tous, tous les jours et tout le temps.</w:t>
      </w:r>
      <w:r w:rsidR="00E14D36" w:rsidRPr="009C6218">
        <w:rPr>
          <w:lang w:val="fr-CA"/>
        </w:rPr>
        <w:t xml:space="preserve"> </w:t>
      </w:r>
      <w:r w:rsidRPr="009C6218">
        <w:rPr>
          <w:lang w:val="fr-CA"/>
        </w:rPr>
        <w:t>Premièrement, le titre de l’</w:t>
      </w:r>
      <w:r w:rsidR="000A45E8" w:rsidRPr="009C6218">
        <w:rPr>
          <w:lang w:val="fr-CA"/>
        </w:rPr>
        <w:t>A</w:t>
      </w:r>
      <w:r w:rsidR="00E14D36" w:rsidRPr="009C6218">
        <w:rPr>
          <w:lang w:val="fr-CA"/>
        </w:rPr>
        <w:t xml:space="preserve">rticle </w:t>
      </w:r>
      <w:r w:rsidRPr="009C6218">
        <w:rPr>
          <w:lang w:val="fr-CA"/>
        </w:rPr>
        <w:t>lui-même suggère un problème largement répandu, et pas un récit de quelques cas qui se sont produits dans un tribunal de la mise en liberté sous caution, un jour en particulier. Le titre est : « </w:t>
      </w:r>
      <w:proofErr w:type="spellStart"/>
      <w:r w:rsidR="00E14D36" w:rsidRPr="009C6218">
        <w:rPr>
          <w:lang w:val="fr-CA"/>
        </w:rPr>
        <w:t>When</w:t>
      </w:r>
      <w:proofErr w:type="spellEnd"/>
      <w:r w:rsidR="00E14D36" w:rsidRPr="009C6218">
        <w:rPr>
          <w:lang w:val="fr-CA"/>
        </w:rPr>
        <w:t xml:space="preserve"> </w:t>
      </w:r>
      <w:r w:rsidR="00E14D36" w:rsidRPr="009C6218">
        <w:rPr>
          <w:u w:val="single"/>
          <w:lang w:val="fr-CA"/>
        </w:rPr>
        <w:lastRenderedPageBreak/>
        <w:t>bail courts</w:t>
      </w:r>
      <w:r w:rsidR="00E14D36" w:rsidRPr="009C6218">
        <w:rPr>
          <w:lang w:val="fr-CA"/>
        </w:rPr>
        <w:t xml:space="preserve"> </w:t>
      </w:r>
      <w:proofErr w:type="spellStart"/>
      <w:r w:rsidR="00E14D36" w:rsidRPr="009C6218">
        <w:rPr>
          <w:lang w:val="fr-CA"/>
        </w:rPr>
        <w:t>don’t</w:t>
      </w:r>
      <w:proofErr w:type="spellEnd"/>
      <w:r w:rsidR="00E14D36" w:rsidRPr="009C6218">
        <w:rPr>
          <w:lang w:val="fr-CA"/>
        </w:rPr>
        <w:t xml:space="preserve"> follow the </w:t>
      </w:r>
      <w:proofErr w:type="spellStart"/>
      <w:r w:rsidR="00E14D36" w:rsidRPr="009C6218">
        <w:rPr>
          <w:lang w:val="fr-CA"/>
        </w:rPr>
        <w:t>law</w:t>
      </w:r>
      <w:proofErr w:type="spellEnd"/>
      <w:r w:rsidRPr="009C6218">
        <w:rPr>
          <w:lang w:val="fr-CA"/>
        </w:rPr>
        <w:t xml:space="preserve"> » (Lorsque </w:t>
      </w:r>
      <w:r w:rsidRPr="009C6218">
        <w:rPr>
          <w:u w:val="single"/>
          <w:lang w:val="fr-CA"/>
        </w:rPr>
        <w:t>les tribunaux de la mise en liberté sous caution</w:t>
      </w:r>
      <w:r w:rsidRPr="009C6218">
        <w:rPr>
          <w:lang w:val="fr-CA"/>
        </w:rPr>
        <w:t xml:space="preserve"> ne respectent pas la loi)</w:t>
      </w:r>
      <w:r w:rsidR="00060A27" w:rsidRPr="009C6218">
        <w:rPr>
          <w:lang w:val="fr-CA"/>
        </w:rPr>
        <w:t>.</w:t>
      </w:r>
      <w:r w:rsidR="00E14D36" w:rsidRPr="009C6218">
        <w:rPr>
          <w:lang w:val="fr-CA"/>
        </w:rPr>
        <w:t xml:space="preserve"> </w:t>
      </w:r>
      <w:r w:rsidRPr="009C6218">
        <w:rPr>
          <w:lang w:val="fr-CA"/>
        </w:rPr>
        <w:t>Deuxièmement, la toute première phrase : « </w:t>
      </w:r>
      <w:proofErr w:type="spellStart"/>
      <w:r w:rsidR="00060A27" w:rsidRPr="009C6218">
        <w:rPr>
          <w:lang w:val="fr-CA"/>
        </w:rPr>
        <w:t>just</w:t>
      </w:r>
      <w:proofErr w:type="spellEnd"/>
      <w:r w:rsidR="00060A27" w:rsidRPr="009C6218">
        <w:rPr>
          <w:lang w:val="fr-CA"/>
        </w:rPr>
        <w:t xml:space="preserve"> how </w:t>
      </w:r>
      <w:proofErr w:type="spellStart"/>
      <w:r w:rsidR="00060A27" w:rsidRPr="009C6218">
        <w:rPr>
          <w:lang w:val="fr-CA"/>
        </w:rPr>
        <w:t>broken</w:t>
      </w:r>
      <w:proofErr w:type="spellEnd"/>
      <w:r w:rsidR="00060A27" w:rsidRPr="009C6218">
        <w:rPr>
          <w:lang w:val="fr-CA"/>
        </w:rPr>
        <w:t xml:space="preserve"> </w:t>
      </w:r>
      <w:proofErr w:type="spellStart"/>
      <w:r w:rsidR="00060A27" w:rsidRPr="009C6218">
        <w:rPr>
          <w:u w:val="single"/>
          <w:lang w:val="fr-CA"/>
        </w:rPr>
        <w:t>Canada’s</w:t>
      </w:r>
      <w:proofErr w:type="spellEnd"/>
      <w:r w:rsidR="00060A27" w:rsidRPr="009C6218">
        <w:rPr>
          <w:u w:val="single"/>
          <w:lang w:val="fr-CA"/>
        </w:rPr>
        <w:t xml:space="preserve"> bail system</w:t>
      </w:r>
      <w:r w:rsidR="00060A27" w:rsidRPr="009C6218">
        <w:rPr>
          <w:lang w:val="fr-CA"/>
        </w:rPr>
        <w:t xml:space="preserve"> </w:t>
      </w:r>
      <w:proofErr w:type="spellStart"/>
      <w:r w:rsidR="00060A27" w:rsidRPr="009C6218">
        <w:rPr>
          <w:lang w:val="fr-CA"/>
        </w:rPr>
        <w:t>is</w:t>
      </w:r>
      <w:proofErr w:type="spellEnd"/>
      <w:r w:rsidRPr="009C6218">
        <w:rPr>
          <w:lang w:val="fr-CA"/>
        </w:rPr>
        <w:t xml:space="preserve"> » (« à quel point </w:t>
      </w:r>
      <w:r w:rsidRPr="009C6218">
        <w:rPr>
          <w:u w:val="single"/>
          <w:lang w:val="fr-CA"/>
        </w:rPr>
        <w:t>le système de la mise en liberté sous caution au Canada</w:t>
      </w:r>
      <w:r w:rsidRPr="009C6218">
        <w:rPr>
          <w:lang w:val="fr-CA"/>
        </w:rPr>
        <w:t xml:space="preserve"> est défaillant »)</w:t>
      </w:r>
      <w:r w:rsidR="00060A27" w:rsidRPr="009C6218">
        <w:rPr>
          <w:lang w:val="fr-CA"/>
        </w:rPr>
        <w:t>.</w:t>
      </w:r>
      <w:r w:rsidRPr="009C6218">
        <w:rPr>
          <w:lang w:val="fr-CA"/>
        </w:rPr>
        <w:t xml:space="preserve"> Troisièmement : la première phrase du 9</w:t>
      </w:r>
      <w:r w:rsidRPr="009C6218">
        <w:rPr>
          <w:vertAlign w:val="superscript"/>
          <w:lang w:val="fr-CA"/>
        </w:rPr>
        <w:t>e</w:t>
      </w:r>
      <w:r w:rsidRPr="009C6218">
        <w:rPr>
          <w:lang w:val="fr-CA"/>
        </w:rPr>
        <w:t xml:space="preserve"> paragraphe de l’Article : « </w:t>
      </w:r>
      <w:proofErr w:type="spellStart"/>
      <w:r w:rsidR="00E14D36" w:rsidRPr="009C6218">
        <w:rPr>
          <w:lang w:val="fr-CA"/>
        </w:rPr>
        <w:t>Ottawa’s</w:t>
      </w:r>
      <w:proofErr w:type="spellEnd"/>
      <w:r w:rsidR="00E14D36" w:rsidRPr="009C6218">
        <w:rPr>
          <w:lang w:val="fr-CA"/>
        </w:rPr>
        <w:t xml:space="preserve"> main </w:t>
      </w:r>
      <w:proofErr w:type="spellStart"/>
      <w:r w:rsidR="00E14D36" w:rsidRPr="009C6218">
        <w:rPr>
          <w:lang w:val="fr-CA"/>
        </w:rPr>
        <w:t>bailout</w:t>
      </w:r>
      <w:proofErr w:type="spellEnd"/>
      <w:r w:rsidR="00E14D36" w:rsidRPr="009C6218">
        <w:rPr>
          <w:lang w:val="fr-CA"/>
        </w:rPr>
        <w:t xml:space="preserve"> court, </w:t>
      </w:r>
      <w:r w:rsidR="00E14D36" w:rsidRPr="009C6218">
        <w:rPr>
          <w:u w:val="single"/>
          <w:lang w:val="fr-CA"/>
        </w:rPr>
        <w:t xml:space="preserve">and </w:t>
      </w:r>
      <w:proofErr w:type="spellStart"/>
      <w:r w:rsidR="00E14D36" w:rsidRPr="009C6218">
        <w:rPr>
          <w:u w:val="single"/>
          <w:lang w:val="fr-CA"/>
        </w:rPr>
        <w:t>many</w:t>
      </w:r>
      <w:proofErr w:type="spellEnd"/>
      <w:r w:rsidR="00E14D36" w:rsidRPr="009C6218">
        <w:rPr>
          <w:u w:val="single"/>
          <w:lang w:val="fr-CA"/>
        </w:rPr>
        <w:t xml:space="preserve"> </w:t>
      </w:r>
      <w:proofErr w:type="spellStart"/>
      <w:r w:rsidR="00E14D36" w:rsidRPr="009C6218">
        <w:rPr>
          <w:u w:val="single"/>
          <w:lang w:val="fr-CA"/>
        </w:rPr>
        <w:t>others</w:t>
      </w:r>
      <w:proofErr w:type="spellEnd"/>
      <w:r w:rsidR="00E14D36" w:rsidRPr="009C6218">
        <w:rPr>
          <w:u w:val="single"/>
          <w:lang w:val="fr-CA"/>
        </w:rPr>
        <w:t xml:space="preserve"> </w:t>
      </w:r>
      <w:proofErr w:type="spellStart"/>
      <w:r w:rsidR="00E14D36" w:rsidRPr="009C6218">
        <w:rPr>
          <w:u w:val="single"/>
          <w:lang w:val="fr-CA"/>
        </w:rPr>
        <w:t>throughout</w:t>
      </w:r>
      <w:proofErr w:type="spellEnd"/>
      <w:r w:rsidR="00E14D36" w:rsidRPr="009C6218">
        <w:rPr>
          <w:u w:val="single"/>
          <w:lang w:val="fr-CA"/>
        </w:rPr>
        <w:t xml:space="preserve"> the country</w:t>
      </w:r>
      <w:r w:rsidR="00E14D36" w:rsidRPr="009C6218">
        <w:rPr>
          <w:lang w:val="fr-CA"/>
        </w:rPr>
        <w:t xml:space="preserve">, have </w:t>
      </w:r>
      <w:proofErr w:type="spellStart"/>
      <w:r w:rsidR="00E14D36" w:rsidRPr="009C6218">
        <w:rPr>
          <w:lang w:val="fr-CA"/>
        </w:rPr>
        <w:t>devolved</w:t>
      </w:r>
      <w:proofErr w:type="spellEnd"/>
      <w:r w:rsidR="00E14D36" w:rsidRPr="009C6218">
        <w:rPr>
          <w:lang w:val="fr-CA"/>
        </w:rPr>
        <w:t xml:space="preserve"> </w:t>
      </w:r>
      <w:proofErr w:type="spellStart"/>
      <w:r w:rsidR="00E14D36" w:rsidRPr="009C6218">
        <w:rPr>
          <w:lang w:val="fr-CA"/>
        </w:rPr>
        <w:t>into</w:t>
      </w:r>
      <w:proofErr w:type="spellEnd"/>
      <w:r w:rsidR="00E14D36" w:rsidRPr="009C6218">
        <w:rPr>
          <w:lang w:val="fr-CA"/>
        </w:rPr>
        <w:t xml:space="preserve"> </w:t>
      </w:r>
      <w:proofErr w:type="spellStart"/>
      <w:r w:rsidR="00E14D36" w:rsidRPr="009C6218">
        <w:rPr>
          <w:lang w:val="fr-CA"/>
        </w:rPr>
        <w:t>dysfunctional</w:t>
      </w:r>
      <w:proofErr w:type="spellEnd"/>
      <w:r w:rsidR="00E14D36" w:rsidRPr="009C6218">
        <w:rPr>
          <w:lang w:val="fr-CA"/>
        </w:rPr>
        <w:t xml:space="preserve"> and punitive bodies.</w:t>
      </w:r>
      <w:r w:rsidRPr="009C6218">
        <w:rPr>
          <w:lang w:val="fr-CA"/>
        </w:rPr>
        <w:t> »</w:t>
      </w:r>
      <w:r w:rsidR="00E14D36" w:rsidRPr="009C6218">
        <w:rPr>
          <w:rStyle w:val="FootnoteReference"/>
          <w:lang w:val="fr-CA"/>
        </w:rPr>
        <w:footnoteReference w:id="95"/>
      </w:r>
      <w:r w:rsidR="00E14D36" w:rsidRPr="009C6218">
        <w:rPr>
          <w:lang w:val="fr-CA"/>
        </w:rPr>
        <w:t xml:space="preserve"> </w:t>
      </w:r>
      <w:r w:rsidRPr="009C6218">
        <w:rPr>
          <w:lang w:val="fr-CA"/>
        </w:rPr>
        <w:t xml:space="preserve">(« Le principal tribunal chargé de la mise en liberté sous caution d’Ottawa, </w:t>
      </w:r>
      <w:r w:rsidRPr="00712AAD">
        <w:rPr>
          <w:u w:val="single"/>
          <w:lang w:val="fr-CA"/>
        </w:rPr>
        <w:t>et de nombreux autres dans le pays</w:t>
      </w:r>
      <w:r w:rsidRPr="009C6218">
        <w:rPr>
          <w:lang w:val="fr-CA"/>
        </w:rPr>
        <w:t xml:space="preserve">, sont devenus des organismes dysfonctionnels et punitifs. ») </w:t>
      </w:r>
      <w:r w:rsidR="00E14D36" w:rsidRPr="009C6218">
        <w:rPr>
          <w:lang w:val="fr-CA"/>
        </w:rPr>
        <w:t>(</w:t>
      </w:r>
      <w:r w:rsidRPr="009C6218">
        <w:rPr>
          <w:lang w:val="fr-CA"/>
        </w:rPr>
        <w:t>mise en valeur ajoutée</w:t>
      </w:r>
      <w:r w:rsidR="00E14D36" w:rsidRPr="009C6218">
        <w:rPr>
          <w:lang w:val="fr-CA"/>
        </w:rPr>
        <w:t>)</w:t>
      </w:r>
    </w:p>
    <w:p w14:paraId="7BA40E6D" w14:textId="34C4CA11" w:rsidR="006526A4" w:rsidRPr="009C6218" w:rsidRDefault="00B776E4" w:rsidP="00F24A43">
      <w:pPr>
        <w:numPr>
          <w:ilvl w:val="0"/>
          <w:numId w:val="1"/>
        </w:numPr>
        <w:spacing w:after="200" w:line="276" w:lineRule="auto"/>
        <w:ind w:left="567" w:hanging="567"/>
        <w:rPr>
          <w:lang w:val="fr-CA"/>
        </w:rPr>
      </w:pPr>
      <w:r w:rsidRPr="009C6218">
        <w:rPr>
          <w:lang w:val="fr-CA"/>
        </w:rPr>
        <w:t xml:space="preserve">Le comité d’audition estime qu’un lecteur raisonnable qui lit raisonnablement l’Article parviendrait à la conclusion que l’Article soulève un problème largement répandu d’anarchie dans les tribunaux de la mise en liberté sous caution du pays, et pas seulement </w:t>
      </w:r>
      <w:r w:rsidR="00712AAD">
        <w:rPr>
          <w:lang w:val="fr-CA"/>
        </w:rPr>
        <w:t xml:space="preserve">à </w:t>
      </w:r>
      <w:r w:rsidRPr="009C6218">
        <w:rPr>
          <w:lang w:val="fr-CA"/>
        </w:rPr>
        <w:t xml:space="preserve">Ottawa. </w:t>
      </w:r>
    </w:p>
    <w:p w14:paraId="348756C7" w14:textId="7C88C949" w:rsidR="00BC1B85" w:rsidRPr="009C6218" w:rsidRDefault="00B776E4" w:rsidP="00BE6325">
      <w:pPr>
        <w:pStyle w:val="Heading2"/>
        <w:rPr>
          <w:lang w:val="fr-CA"/>
        </w:rPr>
      </w:pPr>
      <w:bookmarkStart w:id="55" w:name="_Toc42946560"/>
      <w:r w:rsidRPr="009C6218">
        <w:rPr>
          <w:lang w:val="fr-CA"/>
        </w:rPr>
        <w:t>Réponse des médias à l’</w:t>
      </w:r>
      <w:r w:rsidR="00BC1B85" w:rsidRPr="009C6218">
        <w:rPr>
          <w:lang w:val="fr-CA"/>
        </w:rPr>
        <w:t xml:space="preserve">Article </w:t>
      </w:r>
      <w:r w:rsidRPr="009C6218">
        <w:rPr>
          <w:lang w:val="fr-CA"/>
        </w:rPr>
        <w:t>–</w:t>
      </w:r>
      <w:r w:rsidR="00471B16" w:rsidRPr="009C6218">
        <w:rPr>
          <w:lang w:val="fr-CA"/>
        </w:rPr>
        <w:t xml:space="preserve"> </w:t>
      </w:r>
      <w:r w:rsidRPr="009C6218">
        <w:rPr>
          <w:lang w:val="fr-CA"/>
        </w:rPr>
        <w:t>« Visibilité » accrue</w:t>
      </w:r>
      <w:bookmarkEnd w:id="55"/>
    </w:p>
    <w:p w14:paraId="5A8F664E" w14:textId="2B1FC261" w:rsidR="00580F7E" w:rsidRPr="009C6218" w:rsidRDefault="00B776E4" w:rsidP="00F24A43">
      <w:pPr>
        <w:numPr>
          <w:ilvl w:val="0"/>
          <w:numId w:val="1"/>
        </w:numPr>
        <w:spacing w:after="200" w:line="276" w:lineRule="auto"/>
        <w:ind w:left="567" w:hanging="567"/>
        <w:rPr>
          <w:lang w:val="fr-CA"/>
        </w:rPr>
      </w:pPr>
      <w:r w:rsidRPr="009C6218">
        <w:rPr>
          <w:lang w:val="fr-CA"/>
        </w:rPr>
        <w:t xml:space="preserve">Après la parution de l’Article dans le </w:t>
      </w:r>
      <w:r w:rsidR="00580F7E" w:rsidRPr="009C6218">
        <w:rPr>
          <w:i/>
          <w:lang w:val="fr-CA"/>
        </w:rPr>
        <w:t>National Post</w:t>
      </w:r>
      <w:r w:rsidR="00580F7E" w:rsidRPr="009C6218">
        <w:rPr>
          <w:lang w:val="fr-CA"/>
        </w:rPr>
        <w:t xml:space="preserve">, </w:t>
      </w:r>
      <w:r w:rsidR="003D3F46" w:rsidRPr="009C6218">
        <w:rPr>
          <w:lang w:val="fr-CA"/>
        </w:rPr>
        <w:t>il a attiré l’attention des médias, ce qui a élargi sa portée et son impact</w:t>
      </w:r>
      <w:r w:rsidR="00580F7E" w:rsidRPr="009C6218">
        <w:rPr>
          <w:lang w:val="fr-CA"/>
        </w:rPr>
        <w:t xml:space="preserve">. </w:t>
      </w:r>
      <w:r w:rsidR="003D3F46" w:rsidRPr="009C6218">
        <w:rPr>
          <w:lang w:val="fr-CA"/>
        </w:rPr>
        <w:t>Cela rentre dans le facteur « visibilité » mentionné dans la décision</w:t>
      </w:r>
      <w:r w:rsidR="00E7078D" w:rsidRPr="009C6218">
        <w:rPr>
          <w:lang w:val="fr-CA"/>
        </w:rPr>
        <w:t xml:space="preserve"> </w:t>
      </w:r>
      <w:proofErr w:type="spellStart"/>
      <w:r w:rsidR="00E7078D" w:rsidRPr="009C6218">
        <w:rPr>
          <w:i/>
          <w:lang w:val="fr-CA"/>
        </w:rPr>
        <w:t>Ruffo</w:t>
      </w:r>
      <w:proofErr w:type="spellEnd"/>
      <w:r w:rsidR="000100C0" w:rsidRPr="009C6218">
        <w:rPr>
          <w:i/>
          <w:lang w:val="fr-CA"/>
        </w:rPr>
        <w:t xml:space="preserve"> (2005)</w:t>
      </w:r>
      <w:r w:rsidR="00BC1B85" w:rsidRPr="009C6218">
        <w:rPr>
          <w:i/>
          <w:lang w:val="fr-CA"/>
        </w:rPr>
        <w:t>, supra</w:t>
      </w:r>
      <w:r w:rsidR="00BC1B85" w:rsidRPr="009C6218">
        <w:rPr>
          <w:rStyle w:val="FootnoteReference"/>
          <w:i/>
          <w:lang w:val="fr-CA"/>
        </w:rPr>
        <w:footnoteReference w:id="96"/>
      </w:r>
      <w:r w:rsidR="003D3F46" w:rsidRPr="009C6218">
        <w:rPr>
          <w:i/>
          <w:lang w:val="fr-CA"/>
        </w:rPr>
        <w:t>.</w:t>
      </w:r>
      <w:r w:rsidR="00490A79" w:rsidRPr="009C6218">
        <w:rPr>
          <w:lang w:val="fr-CA"/>
        </w:rPr>
        <w:t xml:space="preserve"> </w:t>
      </w:r>
      <w:r w:rsidR="003D3F46" w:rsidRPr="009C6218">
        <w:rPr>
          <w:lang w:val="fr-CA"/>
        </w:rPr>
        <w:t>Deux articles de journaux ont été écrits et publiés, le premier par l’</w:t>
      </w:r>
      <w:r w:rsidR="00580F7E" w:rsidRPr="009C6218">
        <w:rPr>
          <w:i/>
          <w:lang w:val="fr-CA"/>
        </w:rPr>
        <w:t>Ottawa Sun</w:t>
      </w:r>
      <w:r w:rsidR="003D3F46" w:rsidRPr="009C6218">
        <w:rPr>
          <w:i/>
          <w:lang w:val="fr-CA"/>
        </w:rPr>
        <w:t xml:space="preserve">, </w:t>
      </w:r>
      <w:r w:rsidR="003D3F46" w:rsidRPr="009C6218">
        <w:rPr>
          <w:lang w:val="fr-CA"/>
        </w:rPr>
        <w:t xml:space="preserve">le 15 mars </w:t>
      </w:r>
      <w:r w:rsidR="00580F7E" w:rsidRPr="009C6218">
        <w:rPr>
          <w:lang w:val="fr-CA"/>
        </w:rPr>
        <w:t>2016</w:t>
      </w:r>
      <w:r w:rsidR="00580F7E" w:rsidRPr="009C6218">
        <w:rPr>
          <w:rStyle w:val="FootnoteReference"/>
          <w:lang w:val="fr-CA"/>
        </w:rPr>
        <w:footnoteReference w:id="97"/>
      </w:r>
      <w:r w:rsidR="003D3F46" w:rsidRPr="009C6218">
        <w:rPr>
          <w:lang w:val="fr-CA"/>
        </w:rPr>
        <w:t>.</w:t>
      </w:r>
    </w:p>
    <w:p w14:paraId="10D266DA" w14:textId="63B54F2D" w:rsidR="00773409" w:rsidRPr="009C6218" w:rsidRDefault="003D3F46" w:rsidP="00F24A43">
      <w:pPr>
        <w:numPr>
          <w:ilvl w:val="0"/>
          <w:numId w:val="1"/>
        </w:numPr>
        <w:spacing w:after="200" w:line="276" w:lineRule="auto"/>
        <w:ind w:left="567" w:hanging="567"/>
        <w:rPr>
          <w:lang w:val="fr-CA"/>
        </w:rPr>
      </w:pPr>
      <w:r w:rsidRPr="009C6218">
        <w:rPr>
          <w:lang w:val="fr-CA"/>
        </w:rPr>
        <w:t xml:space="preserve">Certains des éléments les plus provocateurs de l’Article y ont été repris, dont les suivants </w:t>
      </w:r>
      <w:r w:rsidR="00580F7E" w:rsidRPr="009C6218">
        <w:rPr>
          <w:lang w:val="fr-CA"/>
        </w:rPr>
        <w:t>:</w:t>
      </w:r>
    </w:p>
    <w:p w14:paraId="43DB36E1" w14:textId="0E4C222A" w:rsidR="00773409" w:rsidRPr="009C6218" w:rsidRDefault="00580F7E" w:rsidP="00773409">
      <w:pPr>
        <w:pStyle w:val="MAINPARAGRAPH"/>
        <w:numPr>
          <w:ilvl w:val="0"/>
          <w:numId w:val="0"/>
        </w:numPr>
        <w:spacing w:before="0" w:after="160" w:line="276" w:lineRule="auto"/>
        <w:ind w:left="1134" w:right="855" w:hanging="283"/>
        <w:rPr>
          <w:lang w:val="fr-CA"/>
        </w:rPr>
      </w:pPr>
      <w:r w:rsidRPr="009C6218">
        <w:rPr>
          <w:lang w:val="fr-CA"/>
        </w:rPr>
        <w:t>1)</w:t>
      </w:r>
      <w:r w:rsidR="003D3F46" w:rsidRPr="009C6218">
        <w:rPr>
          <w:lang w:val="fr-CA"/>
        </w:rPr>
        <w:t xml:space="preserve"> une juge de paix a caractérisé le tribunal de la mise en liberté sous caution d’Ottawa de « une honte »</w:t>
      </w:r>
      <w:r w:rsidRPr="009C6218">
        <w:rPr>
          <w:lang w:val="fr-CA"/>
        </w:rPr>
        <w:t>;</w:t>
      </w:r>
    </w:p>
    <w:p w14:paraId="4BD15AF9" w14:textId="25E0F35D" w:rsidR="00773409" w:rsidRPr="009C6218" w:rsidRDefault="00580F7E" w:rsidP="00773409">
      <w:pPr>
        <w:pStyle w:val="MAINPARAGRAPH"/>
        <w:numPr>
          <w:ilvl w:val="0"/>
          <w:numId w:val="0"/>
        </w:numPr>
        <w:spacing w:before="0" w:after="160" w:line="276" w:lineRule="auto"/>
        <w:ind w:left="1134" w:right="855" w:hanging="283"/>
        <w:rPr>
          <w:lang w:val="fr-CA"/>
        </w:rPr>
      </w:pPr>
      <w:r w:rsidRPr="009C6218">
        <w:rPr>
          <w:lang w:val="fr-CA"/>
        </w:rPr>
        <w:t xml:space="preserve">2) </w:t>
      </w:r>
      <w:r w:rsidR="003D3F46" w:rsidRPr="009C6218">
        <w:rPr>
          <w:lang w:val="fr-CA"/>
        </w:rPr>
        <w:t>le système de la mise en liberté sous caution en Ontario est « dénué de toute règle de droit »</w:t>
      </w:r>
      <w:r w:rsidRPr="009C6218">
        <w:rPr>
          <w:lang w:val="fr-CA"/>
        </w:rPr>
        <w:t>;</w:t>
      </w:r>
    </w:p>
    <w:p w14:paraId="2BD21C1C" w14:textId="7A538BC7" w:rsidR="00773409" w:rsidRPr="009C6218" w:rsidRDefault="00580F7E" w:rsidP="00773409">
      <w:pPr>
        <w:pStyle w:val="MAINPARAGRAPH"/>
        <w:numPr>
          <w:ilvl w:val="0"/>
          <w:numId w:val="0"/>
        </w:numPr>
        <w:spacing w:before="0" w:after="160" w:line="276" w:lineRule="auto"/>
        <w:ind w:left="1134" w:right="855" w:hanging="283"/>
        <w:rPr>
          <w:lang w:val="fr-CA"/>
        </w:rPr>
      </w:pPr>
      <w:r w:rsidRPr="009C6218">
        <w:rPr>
          <w:lang w:val="fr-CA"/>
        </w:rPr>
        <w:t xml:space="preserve">3) </w:t>
      </w:r>
      <w:r w:rsidR="003D3F46" w:rsidRPr="009C6218">
        <w:rPr>
          <w:lang w:val="fr-CA"/>
        </w:rPr>
        <w:t>les tribunaux de la mise en liberté sous caution en Ontario « sont devenus des organismes dysfonctionnels et punitifs »</w:t>
      </w:r>
      <w:r w:rsidRPr="009C6218">
        <w:rPr>
          <w:lang w:val="fr-CA"/>
        </w:rPr>
        <w:t>;</w:t>
      </w:r>
    </w:p>
    <w:p w14:paraId="60E47132" w14:textId="6A377BE9" w:rsidR="00773409" w:rsidRPr="009C6218" w:rsidRDefault="00580F7E" w:rsidP="00773409">
      <w:pPr>
        <w:pStyle w:val="MAINPARAGRAPH"/>
        <w:numPr>
          <w:ilvl w:val="0"/>
          <w:numId w:val="0"/>
        </w:numPr>
        <w:spacing w:before="0" w:after="160" w:line="276" w:lineRule="auto"/>
        <w:ind w:left="1134" w:right="855" w:hanging="283"/>
        <w:rPr>
          <w:lang w:val="fr-CA"/>
        </w:rPr>
      </w:pPr>
      <w:r w:rsidRPr="009C6218">
        <w:rPr>
          <w:lang w:val="fr-CA"/>
        </w:rPr>
        <w:t xml:space="preserve">4) </w:t>
      </w:r>
      <w:r w:rsidR="00202500" w:rsidRPr="009C6218">
        <w:rPr>
          <w:lang w:val="fr-CA"/>
        </w:rPr>
        <w:t>« la loi s’est volatilisée et le cynisme et l’intimidation règnent”</w:t>
      </w:r>
      <w:r w:rsidRPr="009C6218">
        <w:rPr>
          <w:lang w:val="fr-CA"/>
        </w:rPr>
        <w:t>;</w:t>
      </w:r>
    </w:p>
    <w:p w14:paraId="7440005E" w14:textId="33DC3EF9" w:rsidR="00773409" w:rsidRPr="009C6218" w:rsidRDefault="00580F7E" w:rsidP="00773409">
      <w:pPr>
        <w:pStyle w:val="MAINPARAGRAPH"/>
        <w:numPr>
          <w:ilvl w:val="0"/>
          <w:numId w:val="0"/>
        </w:numPr>
        <w:spacing w:before="0" w:after="160" w:line="276" w:lineRule="auto"/>
        <w:ind w:left="1134" w:right="855" w:hanging="283"/>
        <w:rPr>
          <w:lang w:val="fr-CA"/>
        </w:rPr>
      </w:pPr>
      <w:r w:rsidRPr="009C6218">
        <w:rPr>
          <w:lang w:val="fr-CA"/>
        </w:rPr>
        <w:t xml:space="preserve">5) </w:t>
      </w:r>
      <w:r w:rsidR="00202500" w:rsidRPr="009C6218">
        <w:rPr>
          <w:lang w:val="fr-CA"/>
        </w:rPr>
        <w:t>Le procureur de la Couronne a eu une conduite inappropriée selon la juge de paix</w:t>
      </w:r>
      <w:r w:rsidRPr="009C6218">
        <w:rPr>
          <w:lang w:val="fr-CA"/>
        </w:rPr>
        <w:t>;</w:t>
      </w:r>
      <w:r w:rsidR="00624531" w:rsidRPr="009C6218">
        <w:rPr>
          <w:lang w:val="fr-CA"/>
        </w:rPr>
        <w:t xml:space="preserve"> </w:t>
      </w:r>
    </w:p>
    <w:p w14:paraId="4A54AAFB" w14:textId="4522417D" w:rsidR="00580F7E" w:rsidRPr="009C6218" w:rsidRDefault="00580F7E" w:rsidP="00773409">
      <w:pPr>
        <w:pStyle w:val="MAINPARAGRAPH"/>
        <w:numPr>
          <w:ilvl w:val="0"/>
          <w:numId w:val="0"/>
        </w:numPr>
        <w:spacing w:before="0" w:after="160" w:line="276" w:lineRule="auto"/>
        <w:ind w:left="1134" w:right="855" w:hanging="283"/>
        <w:rPr>
          <w:lang w:val="fr-CA"/>
        </w:rPr>
      </w:pPr>
      <w:r w:rsidRPr="009C6218">
        <w:rPr>
          <w:lang w:val="fr-CA"/>
        </w:rPr>
        <w:t xml:space="preserve">6) </w:t>
      </w:r>
      <w:r w:rsidR="00202500" w:rsidRPr="009C6218">
        <w:rPr>
          <w:lang w:val="fr-CA"/>
        </w:rPr>
        <w:t>le procureur de la Couronne recourait à des tactiques inacceptables</w:t>
      </w:r>
      <w:r w:rsidRPr="009C6218">
        <w:rPr>
          <w:lang w:val="fr-CA"/>
        </w:rPr>
        <w:t>.</w:t>
      </w:r>
    </w:p>
    <w:p w14:paraId="2D30478F" w14:textId="1B0620E3" w:rsidR="00580F7E" w:rsidRPr="009C6218" w:rsidRDefault="004962B5" w:rsidP="00F24A43">
      <w:pPr>
        <w:numPr>
          <w:ilvl w:val="0"/>
          <w:numId w:val="1"/>
        </w:numPr>
        <w:spacing w:after="200" w:line="276" w:lineRule="auto"/>
        <w:ind w:left="567" w:hanging="567"/>
        <w:rPr>
          <w:lang w:val="fr-CA"/>
        </w:rPr>
      </w:pPr>
      <w:r w:rsidRPr="009C6218">
        <w:rPr>
          <w:lang w:val="fr-CA"/>
        </w:rPr>
        <w:lastRenderedPageBreak/>
        <w:t>La juge de paix a convenu que les points relevés dans l’</w:t>
      </w:r>
      <w:r w:rsidR="00624531" w:rsidRPr="009C6218">
        <w:rPr>
          <w:i/>
          <w:lang w:val="fr-CA"/>
        </w:rPr>
        <w:t xml:space="preserve">Ottawa </w:t>
      </w:r>
      <w:r w:rsidR="00580F7E" w:rsidRPr="009C6218">
        <w:rPr>
          <w:i/>
          <w:lang w:val="fr-CA"/>
        </w:rPr>
        <w:t>Sun</w:t>
      </w:r>
      <w:r w:rsidR="00580F7E" w:rsidRPr="009C6218">
        <w:rPr>
          <w:lang w:val="fr-CA"/>
        </w:rPr>
        <w:t xml:space="preserve"> </w:t>
      </w:r>
      <w:r w:rsidRPr="009C6218">
        <w:rPr>
          <w:lang w:val="fr-CA"/>
        </w:rPr>
        <w:t>sont importants pour elle</w:t>
      </w:r>
      <w:r w:rsidR="00580F7E" w:rsidRPr="009C6218">
        <w:rPr>
          <w:rStyle w:val="FootnoteReference"/>
          <w:lang w:val="fr-CA"/>
        </w:rPr>
        <w:footnoteReference w:id="98"/>
      </w:r>
      <w:r w:rsidRPr="009C6218">
        <w:rPr>
          <w:lang w:val="fr-CA"/>
        </w:rPr>
        <w:t xml:space="preserve">. Les lecteurs de l’article du </w:t>
      </w:r>
      <w:r w:rsidR="00580F7E" w:rsidRPr="009C6218">
        <w:rPr>
          <w:i/>
          <w:lang w:val="fr-CA"/>
        </w:rPr>
        <w:t>Sun</w:t>
      </w:r>
      <w:r w:rsidR="00580F7E" w:rsidRPr="009C6218">
        <w:rPr>
          <w:lang w:val="fr-CA"/>
        </w:rPr>
        <w:t xml:space="preserve"> </w:t>
      </w:r>
      <w:r w:rsidRPr="009C6218">
        <w:rPr>
          <w:lang w:val="fr-CA"/>
        </w:rPr>
        <w:t>pourraient raisonnablement parvenir à la conclusion que le tribunal de la mise en liberté sous caution d’Ottawa est une honte parce que des procureurs de la Couronne s’y comportent d’une manière inappropriée</w:t>
      </w:r>
      <w:r w:rsidR="00580F7E" w:rsidRPr="009C6218">
        <w:rPr>
          <w:lang w:val="fr-CA"/>
        </w:rPr>
        <w:t>.</w:t>
      </w:r>
    </w:p>
    <w:p w14:paraId="303613C3" w14:textId="0F8E4DB5" w:rsidR="00580F7E" w:rsidRPr="009C6218" w:rsidRDefault="004962B5" w:rsidP="00F24A43">
      <w:pPr>
        <w:numPr>
          <w:ilvl w:val="0"/>
          <w:numId w:val="1"/>
        </w:numPr>
        <w:spacing w:after="200" w:line="276" w:lineRule="auto"/>
        <w:ind w:left="567" w:hanging="567"/>
        <w:rPr>
          <w:lang w:val="fr-CA"/>
        </w:rPr>
      </w:pPr>
      <w:r w:rsidRPr="009C6218">
        <w:rPr>
          <w:lang w:val="fr-CA"/>
        </w:rPr>
        <w:t xml:space="preserve">Le deuxième article était un éditorial paru le 16 mars </w:t>
      </w:r>
      <w:r w:rsidR="00580F7E" w:rsidRPr="009C6218">
        <w:rPr>
          <w:lang w:val="fr-CA"/>
        </w:rPr>
        <w:t xml:space="preserve">2016, </w:t>
      </w:r>
      <w:r w:rsidRPr="009C6218">
        <w:rPr>
          <w:lang w:val="fr-CA"/>
        </w:rPr>
        <w:t>dans l’</w:t>
      </w:r>
      <w:r w:rsidR="00580F7E" w:rsidRPr="009C6218">
        <w:rPr>
          <w:i/>
          <w:lang w:val="fr-CA"/>
        </w:rPr>
        <w:t>Ottawa Citizen</w:t>
      </w:r>
      <w:r w:rsidRPr="009C6218">
        <w:rPr>
          <w:i/>
          <w:lang w:val="fr-CA"/>
        </w:rPr>
        <w:t>,</w:t>
      </w:r>
      <w:r w:rsidR="00580F7E" w:rsidRPr="009C6218">
        <w:rPr>
          <w:lang w:val="fr-CA"/>
        </w:rPr>
        <w:t xml:space="preserve"> </w:t>
      </w:r>
      <w:r w:rsidRPr="009C6218">
        <w:rPr>
          <w:lang w:val="fr-CA"/>
        </w:rPr>
        <w:t>et intitulé « </w:t>
      </w:r>
      <w:proofErr w:type="spellStart"/>
      <w:r w:rsidR="00580F7E" w:rsidRPr="009C6218">
        <w:rPr>
          <w:lang w:val="fr-CA"/>
        </w:rPr>
        <w:t>Find</w:t>
      </w:r>
      <w:proofErr w:type="spellEnd"/>
      <w:r w:rsidR="00580F7E" w:rsidRPr="009C6218">
        <w:rPr>
          <w:lang w:val="fr-CA"/>
        </w:rPr>
        <w:t xml:space="preserve"> out </w:t>
      </w:r>
      <w:proofErr w:type="spellStart"/>
      <w:r w:rsidR="00580F7E" w:rsidRPr="009C6218">
        <w:rPr>
          <w:lang w:val="fr-CA"/>
        </w:rPr>
        <w:t>what’s</w:t>
      </w:r>
      <w:proofErr w:type="spellEnd"/>
      <w:r w:rsidR="00580F7E" w:rsidRPr="009C6218">
        <w:rPr>
          <w:lang w:val="fr-CA"/>
        </w:rPr>
        <w:t xml:space="preserve"> </w:t>
      </w:r>
      <w:proofErr w:type="spellStart"/>
      <w:r w:rsidR="00580F7E" w:rsidRPr="009C6218">
        <w:rPr>
          <w:lang w:val="fr-CA"/>
        </w:rPr>
        <w:t>going</w:t>
      </w:r>
      <w:proofErr w:type="spellEnd"/>
      <w:r w:rsidR="00580F7E" w:rsidRPr="009C6218">
        <w:rPr>
          <w:lang w:val="fr-CA"/>
        </w:rPr>
        <w:t xml:space="preserve"> on </w:t>
      </w:r>
      <w:proofErr w:type="spellStart"/>
      <w:r w:rsidR="00580F7E" w:rsidRPr="009C6218">
        <w:rPr>
          <w:lang w:val="fr-CA"/>
        </w:rPr>
        <w:t>with</w:t>
      </w:r>
      <w:proofErr w:type="spellEnd"/>
      <w:r w:rsidR="00580F7E" w:rsidRPr="009C6218">
        <w:rPr>
          <w:lang w:val="fr-CA"/>
        </w:rPr>
        <w:t xml:space="preserve"> the bail system</w:t>
      </w:r>
      <w:r w:rsidRPr="009C6218">
        <w:rPr>
          <w:lang w:val="fr-CA"/>
        </w:rPr>
        <w:t> »</w:t>
      </w:r>
      <w:r w:rsidR="00580F7E" w:rsidRPr="009C6218">
        <w:rPr>
          <w:rStyle w:val="FootnoteReference"/>
          <w:lang w:val="fr-CA"/>
        </w:rPr>
        <w:footnoteReference w:id="99"/>
      </w:r>
      <w:r w:rsidRPr="009C6218">
        <w:rPr>
          <w:lang w:val="fr-CA"/>
        </w:rPr>
        <w:t>.</w:t>
      </w:r>
    </w:p>
    <w:p w14:paraId="25A0FF60" w14:textId="269EF0EE" w:rsidR="00580F7E" w:rsidRPr="009C6218" w:rsidRDefault="004962B5" w:rsidP="00F24A43">
      <w:pPr>
        <w:numPr>
          <w:ilvl w:val="0"/>
          <w:numId w:val="1"/>
        </w:numPr>
        <w:spacing w:after="200" w:line="276" w:lineRule="auto"/>
        <w:ind w:left="567" w:hanging="567"/>
        <w:rPr>
          <w:lang w:val="fr-CA"/>
        </w:rPr>
      </w:pPr>
      <w:r w:rsidRPr="009C6218">
        <w:rPr>
          <w:lang w:val="fr-CA"/>
        </w:rPr>
        <w:t>Cet article commence ainsi : « </w:t>
      </w:r>
      <w:r w:rsidR="00580F7E" w:rsidRPr="009C6218">
        <w:rPr>
          <w:lang w:val="fr-CA"/>
        </w:rPr>
        <w:t xml:space="preserve">An Ottawa justice of the </w:t>
      </w:r>
      <w:proofErr w:type="spellStart"/>
      <w:r w:rsidR="00580F7E" w:rsidRPr="009C6218">
        <w:rPr>
          <w:lang w:val="fr-CA"/>
        </w:rPr>
        <w:t>peace</w:t>
      </w:r>
      <w:proofErr w:type="spellEnd"/>
      <w:r w:rsidR="00580F7E" w:rsidRPr="009C6218">
        <w:rPr>
          <w:lang w:val="fr-CA"/>
        </w:rPr>
        <w:t xml:space="preserve"> </w:t>
      </w:r>
      <w:proofErr w:type="spellStart"/>
      <w:r w:rsidR="00580F7E" w:rsidRPr="009C6218">
        <w:rPr>
          <w:lang w:val="fr-CA"/>
        </w:rPr>
        <w:t>took</w:t>
      </w:r>
      <w:proofErr w:type="spellEnd"/>
      <w:r w:rsidR="00580F7E" w:rsidRPr="009C6218">
        <w:rPr>
          <w:lang w:val="fr-CA"/>
        </w:rPr>
        <w:t xml:space="preserve"> the </w:t>
      </w:r>
      <w:proofErr w:type="spellStart"/>
      <w:r w:rsidR="00580F7E" w:rsidRPr="009C6218">
        <w:rPr>
          <w:lang w:val="fr-CA"/>
        </w:rPr>
        <w:t>unusual</w:t>
      </w:r>
      <w:proofErr w:type="spellEnd"/>
      <w:r w:rsidR="00580F7E" w:rsidRPr="009C6218">
        <w:rPr>
          <w:lang w:val="fr-CA"/>
        </w:rPr>
        <w:t xml:space="preserve"> </w:t>
      </w:r>
      <w:proofErr w:type="spellStart"/>
      <w:r w:rsidR="00580F7E" w:rsidRPr="009C6218">
        <w:rPr>
          <w:lang w:val="fr-CA"/>
        </w:rPr>
        <w:t>step</w:t>
      </w:r>
      <w:proofErr w:type="spellEnd"/>
      <w:r w:rsidR="00580F7E" w:rsidRPr="009C6218">
        <w:rPr>
          <w:lang w:val="fr-CA"/>
        </w:rPr>
        <w:t xml:space="preserve"> Tuesday of </w:t>
      </w:r>
      <w:proofErr w:type="spellStart"/>
      <w:r w:rsidR="00580F7E" w:rsidRPr="009C6218">
        <w:rPr>
          <w:lang w:val="fr-CA"/>
        </w:rPr>
        <w:t>decrying</w:t>
      </w:r>
      <w:proofErr w:type="spellEnd"/>
      <w:r w:rsidR="00580F7E" w:rsidRPr="009C6218">
        <w:rPr>
          <w:lang w:val="fr-CA"/>
        </w:rPr>
        <w:t xml:space="preserve"> – </w:t>
      </w:r>
      <w:proofErr w:type="spellStart"/>
      <w:r w:rsidR="00580F7E" w:rsidRPr="009C6218">
        <w:rPr>
          <w:lang w:val="fr-CA"/>
        </w:rPr>
        <w:t>publicly</w:t>
      </w:r>
      <w:proofErr w:type="spellEnd"/>
      <w:r w:rsidR="00580F7E" w:rsidRPr="009C6218">
        <w:rPr>
          <w:lang w:val="fr-CA"/>
        </w:rPr>
        <w:t xml:space="preserve"> in an opinion </w:t>
      </w:r>
      <w:proofErr w:type="spellStart"/>
      <w:r w:rsidR="00580F7E" w:rsidRPr="009C6218">
        <w:rPr>
          <w:lang w:val="fr-CA"/>
        </w:rPr>
        <w:t>piece</w:t>
      </w:r>
      <w:proofErr w:type="spellEnd"/>
      <w:r w:rsidR="00580F7E" w:rsidRPr="009C6218">
        <w:rPr>
          <w:lang w:val="fr-CA"/>
        </w:rPr>
        <w:t xml:space="preserve"> for the National Post – </w:t>
      </w:r>
      <w:proofErr w:type="spellStart"/>
      <w:r w:rsidR="00580F7E" w:rsidRPr="009C6218">
        <w:rPr>
          <w:lang w:val="fr-CA"/>
        </w:rPr>
        <w:t>what</w:t>
      </w:r>
      <w:proofErr w:type="spellEnd"/>
      <w:r w:rsidR="00580F7E" w:rsidRPr="009C6218">
        <w:rPr>
          <w:lang w:val="fr-CA"/>
        </w:rPr>
        <w:t xml:space="preserve"> </w:t>
      </w:r>
      <w:proofErr w:type="spellStart"/>
      <w:r w:rsidR="00580F7E" w:rsidRPr="009C6218">
        <w:rPr>
          <w:lang w:val="fr-CA"/>
        </w:rPr>
        <w:t>she</w:t>
      </w:r>
      <w:proofErr w:type="spellEnd"/>
      <w:r w:rsidR="00580F7E" w:rsidRPr="009C6218">
        <w:rPr>
          <w:lang w:val="fr-CA"/>
        </w:rPr>
        <w:t xml:space="preserve"> </w:t>
      </w:r>
      <w:proofErr w:type="spellStart"/>
      <w:r w:rsidR="00580F7E" w:rsidRPr="009C6218">
        <w:rPr>
          <w:lang w:val="fr-CA"/>
        </w:rPr>
        <w:t>sees</w:t>
      </w:r>
      <w:proofErr w:type="spellEnd"/>
      <w:r w:rsidR="00580F7E" w:rsidRPr="009C6218">
        <w:rPr>
          <w:lang w:val="fr-CA"/>
        </w:rPr>
        <w:t xml:space="preserve"> as </w:t>
      </w:r>
      <w:proofErr w:type="spellStart"/>
      <w:r w:rsidR="00580F7E" w:rsidRPr="009C6218">
        <w:rPr>
          <w:lang w:val="fr-CA"/>
        </w:rPr>
        <w:t>dysfunction</w:t>
      </w:r>
      <w:proofErr w:type="spellEnd"/>
      <w:r w:rsidR="00580F7E" w:rsidRPr="009C6218">
        <w:rPr>
          <w:lang w:val="fr-CA"/>
        </w:rPr>
        <w:t xml:space="preserve"> in the bail system, </w:t>
      </w:r>
      <w:proofErr w:type="spellStart"/>
      <w:r w:rsidR="00580F7E" w:rsidRPr="009C6218">
        <w:rPr>
          <w:lang w:val="fr-CA"/>
        </w:rPr>
        <w:t>suggesting</w:t>
      </w:r>
      <w:proofErr w:type="spellEnd"/>
      <w:r w:rsidR="00580F7E" w:rsidRPr="009C6218">
        <w:rPr>
          <w:lang w:val="fr-CA"/>
        </w:rPr>
        <w:t xml:space="preserve"> </w:t>
      </w:r>
      <w:proofErr w:type="spellStart"/>
      <w:r w:rsidR="00580F7E" w:rsidRPr="009C6218">
        <w:rPr>
          <w:lang w:val="fr-CA"/>
        </w:rPr>
        <w:t>there’s</w:t>
      </w:r>
      <w:proofErr w:type="spellEnd"/>
      <w:r w:rsidR="00580F7E" w:rsidRPr="009C6218">
        <w:rPr>
          <w:lang w:val="fr-CA"/>
        </w:rPr>
        <w:t xml:space="preserve"> a </w:t>
      </w:r>
      <w:proofErr w:type="spellStart"/>
      <w:r w:rsidR="00580F7E" w:rsidRPr="009C6218">
        <w:rPr>
          <w:lang w:val="fr-CA"/>
        </w:rPr>
        <w:t>deep</w:t>
      </w:r>
      <w:proofErr w:type="spellEnd"/>
      <w:r w:rsidR="00580F7E" w:rsidRPr="009C6218">
        <w:rPr>
          <w:lang w:val="fr-CA"/>
        </w:rPr>
        <w:t xml:space="preserve"> </w:t>
      </w:r>
      <w:proofErr w:type="spellStart"/>
      <w:r w:rsidR="00580F7E" w:rsidRPr="009C6218">
        <w:rPr>
          <w:lang w:val="fr-CA"/>
        </w:rPr>
        <w:t>lack</w:t>
      </w:r>
      <w:proofErr w:type="spellEnd"/>
      <w:r w:rsidR="00580F7E" w:rsidRPr="009C6218">
        <w:rPr>
          <w:lang w:val="fr-CA"/>
        </w:rPr>
        <w:t xml:space="preserve"> of respect for the </w:t>
      </w:r>
      <w:proofErr w:type="spellStart"/>
      <w:r w:rsidR="00580F7E" w:rsidRPr="009C6218">
        <w:rPr>
          <w:lang w:val="fr-CA"/>
        </w:rPr>
        <w:t>rule</w:t>
      </w:r>
      <w:proofErr w:type="spellEnd"/>
      <w:r w:rsidR="00580F7E" w:rsidRPr="009C6218">
        <w:rPr>
          <w:lang w:val="fr-CA"/>
        </w:rPr>
        <w:t xml:space="preserve"> of </w:t>
      </w:r>
      <w:proofErr w:type="spellStart"/>
      <w:r w:rsidR="00580F7E" w:rsidRPr="009C6218">
        <w:rPr>
          <w:lang w:val="fr-CA"/>
        </w:rPr>
        <w:t>law</w:t>
      </w:r>
      <w:proofErr w:type="spellEnd"/>
      <w:r w:rsidR="006D7554" w:rsidRPr="009C6218">
        <w:rPr>
          <w:lang w:val="fr-CA"/>
        </w:rPr>
        <w:t xml:space="preserve"> » (Dans une mesure tout à fait inhabituelle, une juge de paix d’Ottawa a dénoncé publiquement, dans un article d’opinion paru, mardi, dans le </w:t>
      </w:r>
      <w:r w:rsidR="006D7554" w:rsidRPr="009C6218">
        <w:rPr>
          <w:i/>
          <w:lang w:val="fr-CA"/>
        </w:rPr>
        <w:t>National Post</w:t>
      </w:r>
      <w:r w:rsidR="006D7554" w:rsidRPr="009C6218">
        <w:rPr>
          <w:lang w:val="fr-CA"/>
        </w:rPr>
        <w:t>, ce qu’elle considère comme le dysfonctionnement du système de mise en liberté sous caution, suggérant un manque profond de r</w:t>
      </w:r>
      <w:r w:rsidR="00712AAD">
        <w:rPr>
          <w:lang w:val="fr-CA"/>
        </w:rPr>
        <w:t>e</w:t>
      </w:r>
      <w:r w:rsidR="006D7554" w:rsidRPr="009C6218">
        <w:rPr>
          <w:lang w:val="fr-CA"/>
        </w:rPr>
        <w:t>spect pour la règle de droit » [traduction])</w:t>
      </w:r>
      <w:r w:rsidR="00580F7E" w:rsidRPr="009C6218">
        <w:rPr>
          <w:lang w:val="fr-CA"/>
        </w:rPr>
        <w:t xml:space="preserve">. </w:t>
      </w:r>
      <w:r w:rsidR="006D7554" w:rsidRPr="009C6218">
        <w:rPr>
          <w:lang w:val="fr-CA"/>
        </w:rPr>
        <w:t>La juge de paix a convenu qu’un lecteur raisonnable tirerait cette conclusion de l’</w:t>
      </w:r>
      <w:r w:rsidR="000A45E8" w:rsidRPr="009C6218">
        <w:rPr>
          <w:lang w:val="fr-CA"/>
        </w:rPr>
        <w:t>A</w:t>
      </w:r>
      <w:r w:rsidR="00580F7E" w:rsidRPr="009C6218">
        <w:rPr>
          <w:lang w:val="fr-CA"/>
        </w:rPr>
        <w:t>rticle.</w:t>
      </w:r>
    </w:p>
    <w:p w14:paraId="2C71D00E" w14:textId="0168D034" w:rsidR="00580F7E" w:rsidRPr="009C6218" w:rsidRDefault="00381992" w:rsidP="00F24A43">
      <w:pPr>
        <w:numPr>
          <w:ilvl w:val="0"/>
          <w:numId w:val="1"/>
        </w:numPr>
        <w:spacing w:after="200" w:line="276" w:lineRule="auto"/>
        <w:ind w:left="567" w:hanging="567"/>
        <w:rPr>
          <w:lang w:val="fr-CA"/>
        </w:rPr>
      </w:pPr>
      <w:r w:rsidRPr="009C6218">
        <w:rPr>
          <w:lang w:val="fr-CA"/>
        </w:rPr>
        <w:t xml:space="preserve">L’article décrivait ensuite le comportement des procureurs de la Couronne que la juge de paix avait décrit, mais en rajoutant des détails </w:t>
      </w:r>
      <w:r w:rsidR="0073186F" w:rsidRPr="009C6218">
        <w:rPr>
          <w:lang w:val="fr-CA"/>
        </w:rPr>
        <w:t>plus colorés</w:t>
      </w:r>
      <w:r w:rsidRPr="009C6218">
        <w:rPr>
          <w:lang w:val="fr-CA"/>
        </w:rPr>
        <w:t>, comme « </w:t>
      </w:r>
      <w:r w:rsidR="00580F7E" w:rsidRPr="009C6218">
        <w:rPr>
          <w:lang w:val="fr-CA"/>
        </w:rPr>
        <w:t xml:space="preserve">…more </w:t>
      </w:r>
      <w:proofErr w:type="spellStart"/>
      <w:r w:rsidR="00580F7E" w:rsidRPr="009C6218">
        <w:rPr>
          <w:lang w:val="fr-CA"/>
        </w:rPr>
        <w:t>suited</w:t>
      </w:r>
      <w:proofErr w:type="spellEnd"/>
      <w:r w:rsidR="00580F7E" w:rsidRPr="009C6218">
        <w:rPr>
          <w:lang w:val="fr-CA"/>
        </w:rPr>
        <w:t xml:space="preserve"> to a </w:t>
      </w:r>
      <w:proofErr w:type="spellStart"/>
      <w:r w:rsidR="00580F7E" w:rsidRPr="009C6218">
        <w:rPr>
          <w:lang w:val="fr-CA"/>
        </w:rPr>
        <w:t>toddler</w:t>
      </w:r>
      <w:proofErr w:type="spellEnd"/>
      <w:r w:rsidR="00580F7E" w:rsidRPr="009C6218">
        <w:rPr>
          <w:lang w:val="fr-CA"/>
        </w:rPr>
        <w:t xml:space="preserve"> </w:t>
      </w:r>
      <w:proofErr w:type="spellStart"/>
      <w:r w:rsidR="00580F7E" w:rsidRPr="009C6218">
        <w:rPr>
          <w:lang w:val="fr-CA"/>
        </w:rPr>
        <w:t>denied</w:t>
      </w:r>
      <w:proofErr w:type="spellEnd"/>
      <w:r w:rsidR="00580F7E" w:rsidRPr="009C6218">
        <w:rPr>
          <w:lang w:val="fr-CA"/>
        </w:rPr>
        <w:t xml:space="preserve"> </w:t>
      </w:r>
      <w:proofErr w:type="spellStart"/>
      <w:r w:rsidR="00580F7E" w:rsidRPr="009C6218">
        <w:rPr>
          <w:lang w:val="fr-CA"/>
        </w:rPr>
        <w:t>Twizzlers</w:t>
      </w:r>
      <w:proofErr w:type="spellEnd"/>
      <w:r w:rsidR="00580F7E" w:rsidRPr="009C6218">
        <w:rPr>
          <w:lang w:val="fr-CA"/>
        </w:rPr>
        <w:t xml:space="preserve"> at a </w:t>
      </w:r>
      <w:proofErr w:type="spellStart"/>
      <w:r w:rsidR="00580F7E" w:rsidRPr="009C6218">
        <w:rPr>
          <w:lang w:val="fr-CA"/>
        </w:rPr>
        <w:t>Loblaws</w:t>
      </w:r>
      <w:proofErr w:type="spellEnd"/>
      <w:r w:rsidR="00580F7E" w:rsidRPr="009C6218">
        <w:rPr>
          <w:lang w:val="fr-CA"/>
        </w:rPr>
        <w:t xml:space="preserve"> </w:t>
      </w:r>
      <w:proofErr w:type="spellStart"/>
      <w:r w:rsidR="00580F7E" w:rsidRPr="009C6218">
        <w:rPr>
          <w:lang w:val="fr-CA"/>
        </w:rPr>
        <w:t>checkout</w:t>
      </w:r>
      <w:proofErr w:type="spellEnd"/>
      <w:r w:rsidR="00580F7E" w:rsidRPr="009C6218">
        <w:rPr>
          <w:lang w:val="fr-CA"/>
        </w:rPr>
        <w:t xml:space="preserve"> </w:t>
      </w:r>
      <w:proofErr w:type="spellStart"/>
      <w:r w:rsidR="00580F7E" w:rsidRPr="009C6218">
        <w:rPr>
          <w:lang w:val="fr-CA"/>
        </w:rPr>
        <w:t>than</w:t>
      </w:r>
      <w:proofErr w:type="spellEnd"/>
      <w:r w:rsidR="00580F7E" w:rsidRPr="009C6218">
        <w:rPr>
          <w:lang w:val="fr-CA"/>
        </w:rPr>
        <w:t xml:space="preserve"> to justice system </w:t>
      </w:r>
      <w:proofErr w:type="spellStart"/>
      <w:r w:rsidR="00580F7E" w:rsidRPr="009C6218">
        <w:rPr>
          <w:lang w:val="fr-CA"/>
        </w:rPr>
        <w:t>professionals</w:t>
      </w:r>
      <w:proofErr w:type="spellEnd"/>
      <w:r w:rsidRPr="009C6218">
        <w:rPr>
          <w:lang w:val="fr-CA"/>
        </w:rPr>
        <w:t> » (</w:t>
      </w:r>
      <w:r w:rsidR="0073186F" w:rsidRPr="009C6218">
        <w:rPr>
          <w:lang w:val="fr-CA"/>
        </w:rPr>
        <w:t xml:space="preserve">« qui ressemble plus à un bambin à qui l’on a refusé des </w:t>
      </w:r>
      <w:proofErr w:type="spellStart"/>
      <w:r w:rsidR="0073186F" w:rsidRPr="009C6218">
        <w:rPr>
          <w:lang w:val="fr-CA"/>
        </w:rPr>
        <w:t>Twizzlers</w:t>
      </w:r>
      <w:proofErr w:type="spellEnd"/>
      <w:r w:rsidR="0073186F" w:rsidRPr="009C6218">
        <w:rPr>
          <w:lang w:val="fr-CA"/>
        </w:rPr>
        <w:t xml:space="preserve"> à la caisse d’un magasin </w:t>
      </w:r>
      <w:proofErr w:type="spellStart"/>
      <w:r w:rsidR="0073186F" w:rsidRPr="009C6218">
        <w:rPr>
          <w:lang w:val="fr-CA"/>
        </w:rPr>
        <w:t>Loblaws</w:t>
      </w:r>
      <w:proofErr w:type="spellEnd"/>
      <w:r w:rsidR="0073186F" w:rsidRPr="009C6218">
        <w:rPr>
          <w:lang w:val="fr-CA"/>
        </w:rPr>
        <w:t xml:space="preserve"> qu’à des professionnels du système judiciaire »)</w:t>
      </w:r>
      <w:r w:rsidR="00580F7E" w:rsidRPr="009C6218">
        <w:rPr>
          <w:lang w:val="fr-CA"/>
        </w:rPr>
        <w:t>.</w:t>
      </w:r>
    </w:p>
    <w:p w14:paraId="0AD9591E" w14:textId="15EDED21" w:rsidR="00A36A2C" w:rsidRPr="009C6218" w:rsidRDefault="0073186F" w:rsidP="00BE6325">
      <w:pPr>
        <w:numPr>
          <w:ilvl w:val="0"/>
          <w:numId w:val="1"/>
        </w:numPr>
        <w:spacing w:after="200" w:line="276" w:lineRule="auto"/>
        <w:ind w:left="567" w:hanging="567"/>
        <w:rPr>
          <w:lang w:val="fr-CA"/>
        </w:rPr>
      </w:pPr>
      <w:r w:rsidRPr="009C6218">
        <w:rPr>
          <w:lang w:val="fr-CA"/>
        </w:rPr>
        <w:t>Il serait raisonnable de penser que l’auteur de l’article paru dans l’</w:t>
      </w:r>
      <w:r w:rsidR="00E64017" w:rsidRPr="009C6218">
        <w:rPr>
          <w:i/>
          <w:lang w:val="fr-CA"/>
        </w:rPr>
        <w:t>Ottawa Citizen</w:t>
      </w:r>
      <w:r w:rsidR="004034AD" w:rsidRPr="009C6218">
        <w:rPr>
          <w:lang w:val="fr-CA"/>
        </w:rPr>
        <w:t xml:space="preserve"> </w:t>
      </w:r>
      <w:r w:rsidRPr="009C6218">
        <w:rPr>
          <w:lang w:val="fr-CA"/>
        </w:rPr>
        <w:t>a compris que l’objet de l’Article de la juge de paix était de critiquer et de ridiculiser le comportement dénué de professionnalisme des procureurs de la Couronne qu’elle a décrits et qu’il s’agissait d’un reproche qu’ils méritaient bien. À notre avis, l’auteur de l’article de l’</w:t>
      </w:r>
      <w:r w:rsidR="00FF29A8" w:rsidRPr="009C6218">
        <w:rPr>
          <w:i/>
          <w:lang w:val="fr-CA"/>
        </w:rPr>
        <w:t>Ottawa Citizen</w:t>
      </w:r>
      <w:r w:rsidRPr="009C6218">
        <w:rPr>
          <w:i/>
          <w:lang w:val="fr-CA"/>
        </w:rPr>
        <w:t xml:space="preserve"> </w:t>
      </w:r>
      <w:r w:rsidRPr="009C6218">
        <w:rPr>
          <w:lang w:val="fr-CA"/>
        </w:rPr>
        <w:t xml:space="preserve">a porté ce reproche à un niveau supérieur, en </w:t>
      </w:r>
      <w:r w:rsidR="00712AAD">
        <w:rPr>
          <w:lang w:val="fr-CA"/>
        </w:rPr>
        <w:t>donnant plus de détails à</w:t>
      </w:r>
      <w:r w:rsidRPr="009C6218">
        <w:rPr>
          <w:lang w:val="fr-CA"/>
        </w:rPr>
        <w:t xml:space="preserve"> l’image, présentée par la juge de paix, d’un professionnel adulte piquant une crise de colère et en ajoutant des descripteurs visuels familiers</w:t>
      </w:r>
      <w:r w:rsidR="00FF29A8" w:rsidRPr="009C6218">
        <w:rPr>
          <w:lang w:val="fr-CA"/>
        </w:rPr>
        <w:t xml:space="preserve">. </w:t>
      </w:r>
      <w:r w:rsidRPr="009C6218">
        <w:rPr>
          <w:lang w:val="fr-CA"/>
        </w:rPr>
        <w:t xml:space="preserve">La juge de paix </w:t>
      </w:r>
      <w:r w:rsidR="00A35ADA" w:rsidRPr="009C6218">
        <w:rPr>
          <w:lang w:val="fr-CA"/>
        </w:rPr>
        <w:t>Lauzon</w:t>
      </w:r>
      <w:r w:rsidR="00E7312D" w:rsidRPr="009C6218">
        <w:rPr>
          <w:lang w:val="fr-CA"/>
        </w:rPr>
        <w:t xml:space="preserve"> </w:t>
      </w:r>
      <w:r w:rsidRPr="009C6218">
        <w:rPr>
          <w:lang w:val="fr-CA"/>
        </w:rPr>
        <w:t xml:space="preserve">a déclaré dans son témoignage que la description de </w:t>
      </w:r>
      <w:r w:rsidR="00E7312D" w:rsidRPr="009C6218">
        <w:rPr>
          <w:lang w:val="fr-CA"/>
        </w:rPr>
        <w:t>M.</w:t>
      </w:r>
      <w:r w:rsidRPr="009C6218">
        <w:rPr>
          <w:lang w:val="fr-CA"/>
        </w:rPr>
        <w:t> </w:t>
      </w:r>
      <w:proofErr w:type="spellStart"/>
      <w:r w:rsidRPr="009C6218">
        <w:rPr>
          <w:lang w:val="fr-CA"/>
        </w:rPr>
        <w:t>Tallim</w:t>
      </w:r>
      <w:proofErr w:type="spellEnd"/>
      <w:r w:rsidRPr="009C6218">
        <w:rPr>
          <w:lang w:val="fr-CA"/>
        </w:rPr>
        <w:t>, dans son article de l’</w:t>
      </w:r>
      <w:r w:rsidR="00C40033" w:rsidRPr="009C6218">
        <w:rPr>
          <w:i/>
          <w:lang w:val="fr-CA"/>
        </w:rPr>
        <w:t>Ottawa Citizen</w:t>
      </w:r>
      <w:r w:rsidRPr="009C6218">
        <w:rPr>
          <w:lang w:val="fr-CA"/>
        </w:rPr>
        <w:t>, était à ses yeux « insultant envers les procureurs de la Couronne ». Elle a expliqué que c’était une conséquence sur laquelle elle n’avait aucun contrôle. Le journal était « libre de le faire et l’article lui appartient »</w:t>
      </w:r>
      <w:r w:rsidR="001113E7" w:rsidRPr="009C6218">
        <w:rPr>
          <w:rStyle w:val="FootnoteReference"/>
          <w:lang w:val="fr-CA"/>
        </w:rPr>
        <w:footnoteReference w:id="100"/>
      </w:r>
      <w:r w:rsidRPr="009C6218">
        <w:rPr>
          <w:lang w:val="fr-CA"/>
        </w:rPr>
        <w:t>.</w:t>
      </w:r>
    </w:p>
    <w:p w14:paraId="0D12455E" w14:textId="77777777" w:rsidR="00055B97" w:rsidRPr="009C6218" w:rsidRDefault="00055B97">
      <w:pPr>
        <w:rPr>
          <w:b/>
          <w:lang w:val="fr-CA"/>
        </w:rPr>
      </w:pPr>
      <w:r w:rsidRPr="009C6218">
        <w:rPr>
          <w:lang w:val="fr-CA"/>
        </w:rPr>
        <w:lastRenderedPageBreak/>
        <w:br w:type="page"/>
      </w:r>
    </w:p>
    <w:p w14:paraId="6DA5975C" w14:textId="0C88230A" w:rsidR="0057447E" w:rsidRPr="009C6218" w:rsidRDefault="00435FF5" w:rsidP="00BE6325">
      <w:pPr>
        <w:pStyle w:val="Heading2"/>
        <w:rPr>
          <w:lang w:val="fr-CA"/>
        </w:rPr>
      </w:pPr>
      <w:bookmarkStart w:id="56" w:name="_Toc42946561"/>
      <w:r w:rsidRPr="009C6218">
        <w:rPr>
          <w:lang w:val="fr-CA"/>
        </w:rPr>
        <w:lastRenderedPageBreak/>
        <w:t>Preuve de l’apparence de partialité</w:t>
      </w:r>
      <w:bookmarkEnd w:id="56"/>
    </w:p>
    <w:p w14:paraId="07C5BAFA" w14:textId="49E5EE43" w:rsidR="00A5224C" w:rsidRPr="009C6218" w:rsidRDefault="004B1A38" w:rsidP="00F24A43">
      <w:pPr>
        <w:numPr>
          <w:ilvl w:val="0"/>
          <w:numId w:val="1"/>
        </w:numPr>
        <w:spacing w:after="200" w:line="276" w:lineRule="auto"/>
        <w:ind w:left="567" w:hanging="567"/>
        <w:rPr>
          <w:lang w:val="fr-CA"/>
        </w:rPr>
      </w:pPr>
      <w:r w:rsidRPr="009C6218">
        <w:rPr>
          <w:lang w:val="fr-CA"/>
        </w:rPr>
        <w:t xml:space="preserve">Le comité d’audition a entendu le témoignage de Mme </w:t>
      </w:r>
      <w:r w:rsidR="0057447E" w:rsidRPr="009C6218">
        <w:rPr>
          <w:lang w:val="fr-CA"/>
        </w:rPr>
        <w:t xml:space="preserve">Kate Matthews, </w:t>
      </w:r>
      <w:r w:rsidRPr="009C6218">
        <w:rPr>
          <w:lang w:val="fr-CA"/>
        </w:rPr>
        <w:t>ancienne présidente de l’</w:t>
      </w:r>
      <w:r w:rsidR="00975975" w:rsidRPr="009C6218">
        <w:rPr>
          <w:lang w:val="fr-CA"/>
        </w:rPr>
        <w:t>OCAA</w:t>
      </w:r>
      <w:r w:rsidR="0057447E" w:rsidRPr="009C6218">
        <w:rPr>
          <w:lang w:val="fr-CA"/>
        </w:rPr>
        <w:t xml:space="preserve">, </w:t>
      </w:r>
      <w:r w:rsidRPr="009C6218">
        <w:rPr>
          <w:lang w:val="fr-CA"/>
        </w:rPr>
        <w:t>un</w:t>
      </w:r>
      <w:r w:rsidR="009C5390" w:rsidRPr="009C6218">
        <w:rPr>
          <w:lang w:val="fr-CA"/>
        </w:rPr>
        <w:t>e plaignante dans l’affaire</w:t>
      </w:r>
      <w:r w:rsidR="0057447E" w:rsidRPr="009C6218">
        <w:rPr>
          <w:lang w:val="fr-CA"/>
        </w:rPr>
        <w:t>.</w:t>
      </w:r>
    </w:p>
    <w:p w14:paraId="4F5DB32E" w14:textId="6E112CA0" w:rsidR="00580F7E" w:rsidRPr="009C6218" w:rsidRDefault="00580F7E" w:rsidP="00F24A43">
      <w:pPr>
        <w:numPr>
          <w:ilvl w:val="0"/>
          <w:numId w:val="1"/>
        </w:numPr>
        <w:spacing w:after="200" w:line="276" w:lineRule="auto"/>
        <w:ind w:left="567" w:hanging="567"/>
        <w:rPr>
          <w:lang w:val="fr-CA"/>
        </w:rPr>
      </w:pPr>
      <w:r w:rsidRPr="009C6218">
        <w:rPr>
          <w:lang w:val="fr-CA"/>
        </w:rPr>
        <w:t>M</w:t>
      </w:r>
      <w:r w:rsidR="009C5390" w:rsidRPr="009C6218">
        <w:rPr>
          <w:lang w:val="fr-CA"/>
        </w:rPr>
        <w:t>me</w:t>
      </w:r>
      <w:r w:rsidRPr="009C6218">
        <w:rPr>
          <w:lang w:val="fr-CA"/>
        </w:rPr>
        <w:t xml:space="preserve"> Matthews </w:t>
      </w:r>
      <w:r w:rsidR="009C5390" w:rsidRPr="009C6218">
        <w:rPr>
          <w:lang w:val="fr-CA"/>
        </w:rPr>
        <w:t xml:space="preserve">a déclaré que l’OCAA était préoccupée par le fait que l’Article ne décrivait pas avec exactitude et équité le rôle du procureur adjoint de la Couronne dans les tribunaux de la mise en liberté sous caution, les pressions qui pèsent sur </w:t>
      </w:r>
      <w:r w:rsidR="00524777">
        <w:rPr>
          <w:lang w:val="fr-CA"/>
        </w:rPr>
        <w:t>lui</w:t>
      </w:r>
      <w:r w:rsidR="009C5390" w:rsidRPr="009C6218">
        <w:rPr>
          <w:lang w:val="fr-CA"/>
        </w:rPr>
        <w:t xml:space="preserve"> et les décisions qu’il doit prendre quotidiennement. </w:t>
      </w:r>
      <w:r w:rsidR="005D40BA" w:rsidRPr="009C6218">
        <w:rPr>
          <w:lang w:val="fr-CA"/>
        </w:rPr>
        <w:t>Les procureurs adjoints de la Couronne doivent tenir compte de divers intérêts : les intérêts du public, de la sécurité publique, de l’accusé</w:t>
      </w:r>
      <w:r w:rsidRPr="009C6218">
        <w:rPr>
          <w:lang w:val="fr-CA"/>
        </w:rPr>
        <w:t xml:space="preserve">, </w:t>
      </w:r>
      <w:r w:rsidR="005D40BA" w:rsidRPr="009C6218">
        <w:rPr>
          <w:lang w:val="fr-CA"/>
        </w:rPr>
        <w:t>de l’administration de la justice et de la magistrature</w:t>
      </w:r>
      <w:r w:rsidRPr="009C6218">
        <w:rPr>
          <w:rStyle w:val="FootnoteReference"/>
          <w:lang w:val="fr-CA"/>
        </w:rPr>
        <w:footnoteReference w:id="101"/>
      </w:r>
      <w:r w:rsidR="005D40BA" w:rsidRPr="009C6218">
        <w:rPr>
          <w:lang w:val="fr-CA"/>
        </w:rPr>
        <w:t>.</w:t>
      </w:r>
    </w:p>
    <w:p w14:paraId="58AFBA29" w14:textId="3462378F" w:rsidR="00580F7E" w:rsidRPr="009C6218" w:rsidRDefault="005D40BA" w:rsidP="00F24A43">
      <w:pPr>
        <w:numPr>
          <w:ilvl w:val="0"/>
          <w:numId w:val="1"/>
        </w:numPr>
        <w:spacing w:after="200" w:line="276" w:lineRule="auto"/>
        <w:ind w:left="567" w:hanging="567"/>
        <w:rPr>
          <w:lang w:val="fr-CA"/>
        </w:rPr>
      </w:pPr>
      <w:r w:rsidRPr="009C6218">
        <w:rPr>
          <w:lang w:val="fr-CA"/>
        </w:rPr>
        <w:t>Selon Mme</w:t>
      </w:r>
      <w:r w:rsidR="00624531" w:rsidRPr="009C6218">
        <w:rPr>
          <w:lang w:val="fr-CA"/>
        </w:rPr>
        <w:t xml:space="preserve"> Matthew</w:t>
      </w:r>
      <w:r w:rsidRPr="009C6218">
        <w:rPr>
          <w:lang w:val="fr-CA"/>
        </w:rPr>
        <w:t xml:space="preserve">, l’Article « semblait tenir les procureurs de la Couronne responsables de tous les défauts du système de mise en liberté sous caution. </w:t>
      </w:r>
      <w:r w:rsidRPr="009C6218">
        <w:rPr>
          <w:u w:val="single"/>
          <w:lang w:val="fr-CA"/>
        </w:rPr>
        <w:t>Il était très déséquilibré</w:t>
      </w:r>
      <w:r w:rsidRPr="009C6218">
        <w:rPr>
          <w:lang w:val="fr-CA"/>
        </w:rPr>
        <w:t xml:space="preserve"> et il y a vraiment peu de choses que nous puissions faire pour contrer le ton, </w:t>
      </w:r>
      <w:r w:rsidR="005D40C4" w:rsidRPr="009C6218">
        <w:rPr>
          <w:lang w:val="fr-CA"/>
        </w:rPr>
        <w:t>le style</w:t>
      </w:r>
      <w:r w:rsidRPr="009C6218">
        <w:rPr>
          <w:lang w:val="fr-CA"/>
        </w:rPr>
        <w:t xml:space="preserve"> et le contenu de l’article »</w:t>
      </w:r>
      <w:r w:rsidR="00580F7E" w:rsidRPr="009C6218">
        <w:rPr>
          <w:vertAlign w:val="superscript"/>
          <w:lang w:val="fr-CA"/>
        </w:rPr>
        <w:footnoteReference w:id="102"/>
      </w:r>
      <w:r w:rsidRPr="009C6218">
        <w:rPr>
          <w:lang w:val="fr-CA"/>
        </w:rPr>
        <w:t>.</w:t>
      </w:r>
      <w:r w:rsidR="000A629D" w:rsidRPr="009C6218">
        <w:rPr>
          <w:lang w:val="fr-CA"/>
        </w:rPr>
        <w:t xml:space="preserve"> </w:t>
      </w:r>
      <w:r w:rsidR="00580F7E" w:rsidRPr="009C6218">
        <w:rPr>
          <w:lang w:val="fr-CA"/>
        </w:rPr>
        <w:t>(</w:t>
      </w:r>
      <w:r w:rsidRPr="009C6218">
        <w:rPr>
          <w:lang w:val="fr-CA"/>
        </w:rPr>
        <w:t>mise en valeur ajoutée</w:t>
      </w:r>
      <w:r w:rsidR="00580F7E" w:rsidRPr="009C6218">
        <w:rPr>
          <w:lang w:val="fr-CA"/>
        </w:rPr>
        <w:t>)</w:t>
      </w:r>
    </w:p>
    <w:p w14:paraId="6885978D" w14:textId="4A16ACE8" w:rsidR="00580F7E" w:rsidRPr="009C6218" w:rsidRDefault="00580F7E" w:rsidP="00F24A43">
      <w:pPr>
        <w:numPr>
          <w:ilvl w:val="0"/>
          <w:numId w:val="1"/>
        </w:numPr>
        <w:spacing w:after="200" w:line="276" w:lineRule="auto"/>
        <w:ind w:left="567" w:hanging="567"/>
        <w:rPr>
          <w:lang w:val="fr-CA"/>
        </w:rPr>
      </w:pPr>
      <w:r w:rsidRPr="009C6218">
        <w:rPr>
          <w:lang w:val="fr-CA"/>
        </w:rPr>
        <w:t>M</w:t>
      </w:r>
      <w:r w:rsidR="00B52783" w:rsidRPr="009C6218">
        <w:rPr>
          <w:lang w:val="fr-CA"/>
        </w:rPr>
        <w:t>me </w:t>
      </w:r>
      <w:r w:rsidRPr="009C6218">
        <w:rPr>
          <w:lang w:val="fr-CA"/>
        </w:rPr>
        <w:t xml:space="preserve">Matthews </w:t>
      </w:r>
      <w:r w:rsidR="00B52783" w:rsidRPr="009C6218">
        <w:rPr>
          <w:lang w:val="fr-CA"/>
        </w:rPr>
        <w:t xml:space="preserve">a expliqué que la mise en liberté sous caution est un processus très compliqué, pas simple du tout. Les procureurs suivent une longue formation sur la mise en liberté sous caution et sont avertis qu’il s’agit d’un aspect essentiel de la justice pénale. Cependant, </w:t>
      </w:r>
      <w:r w:rsidR="00D324D8">
        <w:rPr>
          <w:lang w:val="fr-CA"/>
        </w:rPr>
        <w:t>il est</w:t>
      </w:r>
      <w:r w:rsidR="00B52783" w:rsidRPr="009C6218">
        <w:rPr>
          <w:lang w:val="fr-CA"/>
        </w:rPr>
        <w:t xml:space="preserve"> difficile de tenir ces audiences avec des ressources insuffisantes. « Les pressions sont très fortes de respecter le droit à une décision rapide sur la mise en liberté sous caution. Toutes ces pressions pèsent sur le procureur de la Couronne qui comparaît au tribunal de la mise en liberté sou</w:t>
      </w:r>
      <w:r w:rsidR="00D324D8">
        <w:rPr>
          <w:lang w:val="fr-CA"/>
        </w:rPr>
        <w:t>s</w:t>
      </w:r>
      <w:r w:rsidR="00B52783" w:rsidRPr="009C6218">
        <w:rPr>
          <w:lang w:val="fr-CA"/>
        </w:rPr>
        <w:t xml:space="preserve"> caution et j’ai eu l’impression que cet article réduisait à néant tous nos efforts. »</w:t>
      </w:r>
      <w:r w:rsidRPr="009C6218">
        <w:rPr>
          <w:rStyle w:val="FootnoteReference"/>
          <w:lang w:val="fr-CA"/>
        </w:rPr>
        <w:footnoteReference w:id="103"/>
      </w:r>
    </w:p>
    <w:p w14:paraId="6813E233" w14:textId="62F41FAA" w:rsidR="00580F7E" w:rsidRPr="009C6218" w:rsidRDefault="00B52783" w:rsidP="00F24A43">
      <w:pPr>
        <w:numPr>
          <w:ilvl w:val="0"/>
          <w:numId w:val="1"/>
        </w:numPr>
        <w:spacing w:after="200" w:line="276" w:lineRule="auto"/>
        <w:ind w:left="567" w:hanging="567"/>
        <w:rPr>
          <w:lang w:val="fr-CA"/>
        </w:rPr>
      </w:pPr>
      <w:r w:rsidRPr="009C6218">
        <w:rPr>
          <w:lang w:val="fr-CA"/>
        </w:rPr>
        <w:t xml:space="preserve">Elle a affirmé dans son témoignage qu’elle a interprété la description des procureurs par la juge de paix comme </w:t>
      </w:r>
      <w:r w:rsidR="00D324D8">
        <w:rPr>
          <w:lang w:val="fr-CA"/>
        </w:rPr>
        <w:t xml:space="preserve">étant </w:t>
      </w:r>
      <w:r w:rsidRPr="009C6218">
        <w:rPr>
          <w:lang w:val="fr-CA"/>
        </w:rPr>
        <w:t xml:space="preserve">« cyniques » et « intimidateurs » comme signifiant qu’ils n’avaient aucun respect pour la loi et que cela ne les dérangeait pas le moins du monde. Mme </w:t>
      </w:r>
      <w:r w:rsidR="00624531" w:rsidRPr="009C6218">
        <w:rPr>
          <w:lang w:val="fr-CA"/>
        </w:rPr>
        <w:t xml:space="preserve">Matthews </w:t>
      </w:r>
      <w:r w:rsidRPr="009C6218">
        <w:rPr>
          <w:lang w:val="fr-CA"/>
        </w:rPr>
        <w:t>a déclaré que c’était « terriblement offensant »</w:t>
      </w:r>
      <w:r w:rsidR="00580F7E" w:rsidRPr="009C6218">
        <w:rPr>
          <w:rStyle w:val="FootnoteReference"/>
          <w:lang w:val="fr-CA"/>
        </w:rPr>
        <w:footnoteReference w:id="104"/>
      </w:r>
      <w:r w:rsidRPr="009C6218">
        <w:rPr>
          <w:lang w:val="fr-CA"/>
        </w:rPr>
        <w:t>.</w:t>
      </w:r>
    </w:p>
    <w:p w14:paraId="5DD9A088" w14:textId="25AC0A64" w:rsidR="00580F7E" w:rsidRPr="009C6218" w:rsidRDefault="00580F7E" w:rsidP="00F24A43">
      <w:pPr>
        <w:numPr>
          <w:ilvl w:val="0"/>
          <w:numId w:val="1"/>
        </w:numPr>
        <w:spacing w:after="200" w:line="276" w:lineRule="auto"/>
        <w:ind w:left="567" w:hanging="567"/>
        <w:rPr>
          <w:lang w:val="fr-CA"/>
        </w:rPr>
      </w:pPr>
      <w:r w:rsidRPr="009C6218">
        <w:rPr>
          <w:lang w:val="fr-CA"/>
        </w:rPr>
        <w:t>M</w:t>
      </w:r>
      <w:r w:rsidR="00655DC3" w:rsidRPr="009C6218">
        <w:rPr>
          <w:lang w:val="fr-CA"/>
        </w:rPr>
        <w:t>me</w:t>
      </w:r>
      <w:r w:rsidRPr="009C6218">
        <w:rPr>
          <w:lang w:val="fr-CA"/>
        </w:rPr>
        <w:t xml:space="preserve"> Matthews </w:t>
      </w:r>
      <w:r w:rsidR="007A7A41" w:rsidRPr="009C6218">
        <w:rPr>
          <w:lang w:val="fr-CA"/>
        </w:rPr>
        <w:t>a aussi déclaré dans son témoignage que les procureurs de la Couronne prenaient leur travail très au sérieux ainsi que les obligations qui en découlent. Être décrits comme des bambins en pleine crise de colère est « incroyablement dénigrant »</w:t>
      </w:r>
      <w:r w:rsidRPr="009C6218">
        <w:rPr>
          <w:rStyle w:val="FootnoteReference"/>
          <w:lang w:val="fr-CA"/>
        </w:rPr>
        <w:footnoteReference w:id="105"/>
      </w:r>
      <w:r w:rsidR="007A7A41" w:rsidRPr="009C6218">
        <w:rPr>
          <w:lang w:val="fr-CA"/>
        </w:rPr>
        <w:t>.</w:t>
      </w:r>
      <w:r w:rsidRPr="009C6218">
        <w:rPr>
          <w:lang w:val="fr-CA"/>
        </w:rPr>
        <w:t xml:space="preserve"> </w:t>
      </w:r>
    </w:p>
    <w:p w14:paraId="00F071BA" w14:textId="7C70DA4D" w:rsidR="00580F7E" w:rsidRPr="009C6218" w:rsidRDefault="00C859B2" w:rsidP="00F24A43">
      <w:pPr>
        <w:numPr>
          <w:ilvl w:val="0"/>
          <w:numId w:val="1"/>
        </w:numPr>
        <w:spacing w:after="200" w:line="276" w:lineRule="auto"/>
        <w:ind w:left="567" w:hanging="567"/>
        <w:rPr>
          <w:lang w:val="fr-CA"/>
        </w:rPr>
      </w:pPr>
      <w:r w:rsidRPr="009C6218">
        <w:rPr>
          <w:lang w:val="fr-CA"/>
        </w:rPr>
        <w:lastRenderedPageBreak/>
        <w:t>En ce qui concerne la phrase du 11</w:t>
      </w:r>
      <w:r w:rsidRPr="009C6218">
        <w:rPr>
          <w:vertAlign w:val="superscript"/>
          <w:lang w:val="fr-CA"/>
        </w:rPr>
        <w:t>e</w:t>
      </w:r>
      <w:r w:rsidRPr="009C6218">
        <w:rPr>
          <w:lang w:val="fr-CA"/>
        </w:rPr>
        <w:t xml:space="preserve"> paragraphe de l’</w:t>
      </w:r>
      <w:r w:rsidR="000A45E8" w:rsidRPr="009C6218">
        <w:rPr>
          <w:lang w:val="fr-CA"/>
        </w:rPr>
        <w:t>A</w:t>
      </w:r>
      <w:r w:rsidR="00580F7E" w:rsidRPr="009C6218">
        <w:rPr>
          <w:lang w:val="fr-CA"/>
        </w:rPr>
        <w:t>rticle</w:t>
      </w:r>
      <w:r w:rsidRPr="009C6218">
        <w:rPr>
          <w:lang w:val="fr-CA"/>
        </w:rPr>
        <w:t xml:space="preserve">, affirmant que les procureurs tentent de s’approprier la compétence du tribunal, Mme </w:t>
      </w:r>
      <w:r w:rsidR="00580F7E" w:rsidRPr="009C6218">
        <w:rPr>
          <w:lang w:val="fr-CA"/>
        </w:rPr>
        <w:t xml:space="preserve">Matthews </w:t>
      </w:r>
      <w:r w:rsidRPr="009C6218">
        <w:rPr>
          <w:lang w:val="fr-CA"/>
        </w:rPr>
        <w:t>a déclaré : « </w:t>
      </w:r>
      <w:r w:rsidRPr="009C6218">
        <w:rPr>
          <w:u w:val="single"/>
          <w:lang w:val="fr-CA"/>
        </w:rPr>
        <w:t>le problème avec cette phrase est que</w:t>
      </w:r>
      <w:r w:rsidRPr="009C6218">
        <w:rPr>
          <w:lang w:val="fr-CA"/>
        </w:rPr>
        <w:t xml:space="preserve"> </w:t>
      </w:r>
      <w:r w:rsidR="00580F7E" w:rsidRPr="009C6218">
        <w:rPr>
          <w:u w:val="single"/>
          <w:lang w:val="fr-CA"/>
        </w:rPr>
        <w:t xml:space="preserve">… </w:t>
      </w:r>
      <w:r w:rsidRPr="009C6218">
        <w:rPr>
          <w:u w:val="single"/>
          <w:lang w:val="fr-CA"/>
        </w:rPr>
        <w:t>elle est complètement unilatérale</w:t>
      </w:r>
      <w:r w:rsidR="00580F7E" w:rsidRPr="009C6218">
        <w:rPr>
          <w:u w:val="single"/>
          <w:lang w:val="fr-CA"/>
        </w:rPr>
        <w:t>.</w:t>
      </w:r>
      <w:r w:rsidR="00580F7E" w:rsidRPr="009C6218">
        <w:rPr>
          <w:lang w:val="fr-CA"/>
        </w:rPr>
        <w:t xml:space="preserve"> </w:t>
      </w:r>
      <w:r w:rsidRPr="009C6218">
        <w:rPr>
          <w:lang w:val="fr-CA"/>
        </w:rPr>
        <w:t>Le public</w:t>
      </w:r>
      <w:r w:rsidR="00580F7E" w:rsidRPr="009C6218">
        <w:rPr>
          <w:lang w:val="fr-CA"/>
        </w:rPr>
        <w:t xml:space="preserve"> … </w:t>
      </w:r>
      <w:r w:rsidRPr="009C6218">
        <w:rPr>
          <w:lang w:val="fr-CA"/>
        </w:rPr>
        <w:t>n’importe qui qui lit cet article ne connaîtra que ce point de vue, n’aura aucun renseignement sur la raison pour laquelle le procureur prend les décisions qu’il prend, pourquoi il décide d’interjeter appel ou non, ou sur ce que dit la loi au sujet des appels</w:t>
      </w:r>
      <w:r w:rsidR="00580F7E" w:rsidRPr="009C6218">
        <w:rPr>
          <w:lang w:val="fr-CA"/>
        </w:rPr>
        <w:t xml:space="preserve">. </w:t>
      </w:r>
      <w:r w:rsidRPr="009C6218">
        <w:rPr>
          <w:u w:val="single"/>
          <w:lang w:val="fr-CA"/>
        </w:rPr>
        <w:t>Il ne dresse pas un tableau complet. »</w:t>
      </w:r>
      <w:r w:rsidR="00580F7E" w:rsidRPr="009C6218">
        <w:rPr>
          <w:lang w:val="fr-CA"/>
        </w:rPr>
        <w:t xml:space="preserve"> (</w:t>
      </w:r>
      <w:r w:rsidRPr="009C6218">
        <w:rPr>
          <w:lang w:val="fr-CA"/>
        </w:rPr>
        <w:t>mise en valeur ajoutée</w:t>
      </w:r>
      <w:r w:rsidR="00580F7E" w:rsidRPr="009C6218">
        <w:rPr>
          <w:lang w:val="fr-CA"/>
        </w:rPr>
        <w:t>)</w:t>
      </w:r>
    </w:p>
    <w:p w14:paraId="2347AAC3" w14:textId="14B94050" w:rsidR="00580F7E" w:rsidRPr="009C6218" w:rsidRDefault="00580F7E" w:rsidP="00F24A43">
      <w:pPr>
        <w:numPr>
          <w:ilvl w:val="0"/>
          <w:numId w:val="1"/>
        </w:numPr>
        <w:spacing w:after="200" w:line="276" w:lineRule="auto"/>
        <w:ind w:left="567" w:hanging="567"/>
        <w:rPr>
          <w:lang w:val="fr-CA"/>
        </w:rPr>
      </w:pPr>
      <w:r w:rsidRPr="009C6218">
        <w:rPr>
          <w:lang w:val="fr-CA"/>
        </w:rPr>
        <w:t>M</w:t>
      </w:r>
      <w:r w:rsidR="00C859B2" w:rsidRPr="009C6218">
        <w:rPr>
          <w:lang w:val="fr-CA"/>
        </w:rPr>
        <w:t>me</w:t>
      </w:r>
      <w:r w:rsidRPr="009C6218">
        <w:rPr>
          <w:lang w:val="fr-CA"/>
        </w:rPr>
        <w:t xml:space="preserve"> Matthews </w:t>
      </w:r>
      <w:r w:rsidR="00C859B2" w:rsidRPr="009C6218">
        <w:rPr>
          <w:lang w:val="fr-CA"/>
        </w:rPr>
        <w:t xml:space="preserve">a expliqué que le fait que les trois procureurs dont a parlé la juge de paix n’aient pas été nommés était en fait pire, car cela mettait tous les procureurs du Bureau du procureur de la Couronne d’Ottawa dans le même panier. </w:t>
      </w:r>
    </w:p>
    <w:p w14:paraId="0F6ECB8B" w14:textId="05F6D3AE" w:rsidR="00580F7E" w:rsidRPr="009C6218" w:rsidRDefault="00C859B2" w:rsidP="00F24A43">
      <w:pPr>
        <w:numPr>
          <w:ilvl w:val="0"/>
          <w:numId w:val="1"/>
        </w:numPr>
        <w:spacing w:after="200" w:line="276" w:lineRule="auto"/>
        <w:ind w:left="567" w:hanging="567"/>
        <w:rPr>
          <w:lang w:val="fr-CA"/>
        </w:rPr>
      </w:pPr>
      <w:r w:rsidRPr="009C6218">
        <w:rPr>
          <w:lang w:val="fr-CA"/>
        </w:rPr>
        <w:t>Elle a souligné que le fait que l’Article ait reçu une telle attention des médias a soulevé un autre problème pour l’</w:t>
      </w:r>
      <w:r w:rsidR="00975975" w:rsidRPr="009C6218">
        <w:rPr>
          <w:lang w:val="fr-CA"/>
        </w:rPr>
        <w:t>OCAA</w:t>
      </w:r>
      <w:r w:rsidRPr="009C6218">
        <w:rPr>
          <w:lang w:val="fr-CA"/>
        </w:rPr>
        <w:t xml:space="preserve">, à savoir que lorsqu’un article unilatéral est rédigé par un juge de paix </w:t>
      </w:r>
      <w:r w:rsidR="00707A11" w:rsidRPr="009C6218">
        <w:rPr>
          <w:lang w:val="fr-CA"/>
        </w:rPr>
        <w:t>en exercice</w:t>
      </w:r>
      <w:r w:rsidRPr="009C6218">
        <w:rPr>
          <w:lang w:val="fr-CA"/>
        </w:rPr>
        <w:t>, le public va l’accepter comme étant la vérité, comme un fait établi</w:t>
      </w:r>
      <w:r w:rsidR="006D28E6">
        <w:rPr>
          <w:lang w:val="fr-CA"/>
        </w:rPr>
        <w:t>,</w:t>
      </w:r>
      <w:r w:rsidRPr="009C6218">
        <w:rPr>
          <w:lang w:val="fr-CA"/>
        </w:rPr>
        <w:t xml:space="preserve"> et en parler</w:t>
      </w:r>
      <w:r w:rsidR="00580F7E" w:rsidRPr="009C6218">
        <w:rPr>
          <w:rStyle w:val="FootnoteReference"/>
          <w:lang w:val="fr-CA"/>
        </w:rPr>
        <w:footnoteReference w:id="106"/>
      </w:r>
      <w:r w:rsidRPr="009C6218">
        <w:rPr>
          <w:lang w:val="fr-CA"/>
        </w:rPr>
        <w:t>.</w:t>
      </w:r>
    </w:p>
    <w:p w14:paraId="2883442A" w14:textId="6E15CC67" w:rsidR="00580F7E" w:rsidRPr="009C6218" w:rsidRDefault="00580F7E" w:rsidP="00F24A43">
      <w:pPr>
        <w:numPr>
          <w:ilvl w:val="0"/>
          <w:numId w:val="1"/>
        </w:numPr>
        <w:spacing w:after="200" w:line="276" w:lineRule="auto"/>
        <w:ind w:left="567" w:hanging="567"/>
        <w:rPr>
          <w:lang w:val="fr-CA"/>
        </w:rPr>
      </w:pPr>
      <w:r w:rsidRPr="009C6218">
        <w:rPr>
          <w:lang w:val="fr-CA"/>
        </w:rPr>
        <w:t>M</w:t>
      </w:r>
      <w:r w:rsidR="00C859B2" w:rsidRPr="009C6218">
        <w:rPr>
          <w:lang w:val="fr-CA"/>
        </w:rPr>
        <w:t>me</w:t>
      </w:r>
      <w:r w:rsidRPr="009C6218">
        <w:rPr>
          <w:lang w:val="fr-CA"/>
        </w:rPr>
        <w:t xml:space="preserve"> Matthews </w:t>
      </w:r>
      <w:r w:rsidR="00C859B2" w:rsidRPr="009C6218">
        <w:rPr>
          <w:lang w:val="fr-CA"/>
        </w:rPr>
        <w:t>a expliqué pourquoi l’</w:t>
      </w:r>
      <w:r w:rsidR="00975975" w:rsidRPr="009C6218">
        <w:rPr>
          <w:lang w:val="fr-CA"/>
        </w:rPr>
        <w:t xml:space="preserve">OCAA </w:t>
      </w:r>
      <w:r w:rsidR="00C859B2" w:rsidRPr="009C6218">
        <w:rPr>
          <w:lang w:val="fr-CA"/>
        </w:rPr>
        <w:t>n’avait pas répondu à l’</w:t>
      </w:r>
      <w:r w:rsidR="00624531" w:rsidRPr="009C6218">
        <w:rPr>
          <w:lang w:val="fr-CA"/>
        </w:rPr>
        <w:t>A</w:t>
      </w:r>
      <w:r w:rsidRPr="009C6218">
        <w:rPr>
          <w:lang w:val="fr-CA"/>
        </w:rPr>
        <w:t>rticle</w:t>
      </w:r>
      <w:r w:rsidR="00C859B2" w:rsidRPr="009C6218">
        <w:rPr>
          <w:lang w:val="fr-CA"/>
        </w:rPr>
        <w:t xml:space="preserve"> dans les médias. Il serait « tout à fait inconvenant » pour une association provinciale de procureurs de la Couronne de se lancer dans une </w:t>
      </w:r>
      <w:r w:rsidR="00BD0FC2" w:rsidRPr="009C6218">
        <w:rPr>
          <w:lang w:val="fr-CA"/>
        </w:rPr>
        <w:t>querelle ou un argument avec un juge de paix en exercice dans les médias</w:t>
      </w:r>
      <w:r w:rsidRPr="009C6218">
        <w:rPr>
          <w:lang w:val="fr-CA"/>
        </w:rPr>
        <w:t xml:space="preserve">. </w:t>
      </w:r>
      <w:r w:rsidR="00BD0FC2" w:rsidRPr="009C6218">
        <w:rPr>
          <w:lang w:val="fr-CA"/>
        </w:rPr>
        <w:t>Ce serait considéré comme « une attaque contre un juge de paix en exercice », ce que l’</w:t>
      </w:r>
      <w:r w:rsidR="00604A59" w:rsidRPr="009C6218">
        <w:rPr>
          <w:lang w:val="fr-CA"/>
        </w:rPr>
        <w:t>OCAA</w:t>
      </w:r>
      <w:r w:rsidRPr="009C6218">
        <w:rPr>
          <w:lang w:val="fr-CA"/>
        </w:rPr>
        <w:t xml:space="preserve"> </w:t>
      </w:r>
      <w:r w:rsidR="00BD0FC2" w:rsidRPr="009C6218">
        <w:rPr>
          <w:lang w:val="fr-CA"/>
        </w:rPr>
        <w:t>n’a jamais fait et ne fera jamais dans un forum public</w:t>
      </w:r>
      <w:r w:rsidRPr="009C6218">
        <w:rPr>
          <w:rStyle w:val="FootnoteReference"/>
          <w:lang w:val="fr-CA"/>
        </w:rPr>
        <w:footnoteReference w:id="107"/>
      </w:r>
      <w:r w:rsidR="00BD0FC2" w:rsidRPr="009C6218">
        <w:rPr>
          <w:lang w:val="fr-CA"/>
        </w:rPr>
        <w:t>.</w:t>
      </w:r>
    </w:p>
    <w:p w14:paraId="4EDAC4FA" w14:textId="1CAE639C" w:rsidR="00580F7E" w:rsidRPr="009C6218" w:rsidRDefault="00580F7E" w:rsidP="00F24A43">
      <w:pPr>
        <w:numPr>
          <w:ilvl w:val="0"/>
          <w:numId w:val="1"/>
        </w:numPr>
        <w:spacing w:after="200" w:line="276" w:lineRule="auto"/>
        <w:ind w:left="567" w:hanging="567"/>
        <w:rPr>
          <w:lang w:val="fr-CA"/>
        </w:rPr>
      </w:pPr>
      <w:r w:rsidRPr="009C6218">
        <w:rPr>
          <w:lang w:val="fr-CA"/>
        </w:rPr>
        <w:t>M</w:t>
      </w:r>
      <w:r w:rsidR="00707A11" w:rsidRPr="009C6218">
        <w:rPr>
          <w:lang w:val="fr-CA"/>
        </w:rPr>
        <w:t>me</w:t>
      </w:r>
      <w:r w:rsidRPr="009C6218">
        <w:rPr>
          <w:lang w:val="fr-CA"/>
        </w:rPr>
        <w:t xml:space="preserve"> Matthews </w:t>
      </w:r>
      <w:r w:rsidR="00707A11" w:rsidRPr="009C6218">
        <w:rPr>
          <w:lang w:val="fr-CA"/>
        </w:rPr>
        <w:t>a ajouté « ce n’est pas une mince affaire, c’est ce qu’il se passe dans le système de la mise en liberté sous caution. C’est compliqué et c’est un sujet qui ne se prête pas à des éditoriaux dans un journal</w:t>
      </w:r>
      <w:r w:rsidRPr="009C6218">
        <w:rPr>
          <w:lang w:val="fr-CA"/>
        </w:rPr>
        <w:t xml:space="preserve">. </w:t>
      </w:r>
      <w:r w:rsidR="00707A11" w:rsidRPr="009C6218">
        <w:rPr>
          <w:lang w:val="fr-CA"/>
        </w:rPr>
        <w:t>Elle a ensuite déclaré qu’elle ne pensait pas qu’il existait une façon appropriée pour les médias de parler des propos incendiaires de l’Article de la juge de paix</w:t>
      </w:r>
      <w:r w:rsidRPr="009C6218">
        <w:rPr>
          <w:rStyle w:val="FootnoteReference"/>
          <w:lang w:val="fr-CA"/>
        </w:rPr>
        <w:footnoteReference w:id="108"/>
      </w:r>
      <w:r w:rsidR="00707A11" w:rsidRPr="009C6218">
        <w:rPr>
          <w:lang w:val="fr-CA"/>
        </w:rPr>
        <w:t>.</w:t>
      </w:r>
    </w:p>
    <w:p w14:paraId="39C3987B" w14:textId="05EDE874" w:rsidR="00580F7E" w:rsidRPr="009C6218" w:rsidRDefault="006571A0" w:rsidP="00F24A43">
      <w:pPr>
        <w:numPr>
          <w:ilvl w:val="0"/>
          <w:numId w:val="1"/>
        </w:numPr>
        <w:spacing w:after="200" w:line="276" w:lineRule="auto"/>
        <w:ind w:left="567" w:hanging="567"/>
        <w:rPr>
          <w:lang w:val="fr-CA"/>
        </w:rPr>
      </w:pPr>
      <w:r w:rsidRPr="009C6218">
        <w:rPr>
          <w:lang w:val="fr-CA"/>
        </w:rPr>
        <w:t xml:space="preserve">Dans son contre-interrogatoire, on a posé une question à Mme </w:t>
      </w:r>
      <w:r w:rsidR="00580F7E" w:rsidRPr="009C6218">
        <w:rPr>
          <w:lang w:val="fr-CA"/>
        </w:rPr>
        <w:t xml:space="preserve">Matthews </w:t>
      </w:r>
      <w:r w:rsidRPr="009C6218">
        <w:rPr>
          <w:lang w:val="fr-CA"/>
        </w:rPr>
        <w:t xml:space="preserve">sur </w:t>
      </w:r>
      <w:r w:rsidR="006D28E6">
        <w:rPr>
          <w:lang w:val="fr-CA"/>
        </w:rPr>
        <w:t xml:space="preserve">un </w:t>
      </w:r>
      <w:r w:rsidRPr="009C6218">
        <w:rPr>
          <w:lang w:val="fr-CA"/>
        </w:rPr>
        <w:t>article qu’elle avait écrit en réponse aux critiques essuyées par les procureurs de la Couronne au sujet des retards dans les tribunaux</w:t>
      </w:r>
      <w:r w:rsidR="00580F7E" w:rsidRPr="009C6218">
        <w:rPr>
          <w:rStyle w:val="FootnoteReference"/>
          <w:lang w:val="fr-CA"/>
        </w:rPr>
        <w:footnoteReference w:id="109"/>
      </w:r>
      <w:r w:rsidRPr="009C6218">
        <w:rPr>
          <w:lang w:val="fr-CA"/>
        </w:rPr>
        <w:t>. Elle a expliqué qu’elle ava</w:t>
      </w:r>
      <w:r w:rsidR="006D28E6">
        <w:rPr>
          <w:lang w:val="fr-CA"/>
        </w:rPr>
        <w:t>i</w:t>
      </w:r>
      <w:r w:rsidRPr="009C6218">
        <w:rPr>
          <w:lang w:val="fr-CA"/>
        </w:rPr>
        <w:t xml:space="preserve">t effectivement répondu à un article sur les retards, mais que la différence était que l’article auquel elle </w:t>
      </w:r>
      <w:r w:rsidR="006D28E6">
        <w:rPr>
          <w:lang w:val="fr-CA"/>
        </w:rPr>
        <w:t xml:space="preserve">a </w:t>
      </w:r>
      <w:r w:rsidRPr="009C6218">
        <w:rPr>
          <w:lang w:val="fr-CA"/>
        </w:rPr>
        <w:t>répond</w:t>
      </w:r>
      <w:r w:rsidR="006D28E6">
        <w:rPr>
          <w:lang w:val="fr-CA"/>
        </w:rPr>
        <w:t>u</w:t>
      </w:r>
      <w:r w:rsidRPr="009C6218">
        <w:rPr>
          <w:lang w:val="fr-CA"/>
        </w:rPr>
        <w:t xml:space="preserve"> était rédigé par un avocat de la défense et pas par un </w:t>
      </w:r>
      <w:r w:rsidRPr="009C6218">
        <w:rPr>
          <w:lang w:val="fr-CA"/>
        </w:rPr>
        <w:lastRenderedPageBreak/>
        <w:t>juge de paix en exercice. En outre, l’article était une publication juridique, dont le public cible était des avocats, pas le grand public</w:t>
      </w:r>
      <w:r w:rsidR="00580F7E" w:rsidRPr="009C6218">
        <w:rPr>
          <w:rStyle w:val="FootnoteReference"/>
          <w:lang w:val="fr-CA"/>
        </w:rPr>
        <w:footnoteReference w:id="110"/>
      </w:r>
      <w:r w:rsidRPr="009C6218">
        <w:rPr>
          <w:lang w:val="fr-CA"/>
        </w:rPr>
        <w:t>.</w:t>
      </w:r>
    </w:p>
    <w:p w14:paraId="7C0BDC96" w14:textId="61D89F9B" w:rsidR="00A36A2C" w:rsidRPr="009C6218" w:rsidRDefault="006571A0" w:rsidP="00BE6325">
      <w:pPr>
        <w:numPr>
          <w:ilvl w:val="0"/>
          <w:numId w:val="1"/>
        </w:numPr>
        <w:spacing w:after="200" w:line="276" w:lineRule="auto"/>
        <w:ind w:left="567" w:hanging="567"/>
        <w:rPr>
          <w:lang w:val="fr-CA"/>
        </w:rPr>
      </w:pPr>
      <w:r w:rsidRPr="009C6218">
        <w:rPr>
          <w:lang w:val="fr-CA"/>
        </w:rPr>
        <w:t xml:space="preserve">Sur la question de la partialité, Mme </w:t>
      </w:r>
      <w:r w:rsidR="00580F7E" w:rsidRPr="009C6218">
        <w:rPr>
          <w:lang w:val="fr-CA"/>
        </w:rPr>
        <w:t xml:space="preserve">Matthews </w:t>
      </w:r>
      <w:r w:rsidRPr="009C6218">
        <w:rPr>
          <w:lang w:val="fr-CA"/>
        </w:rPr>
        <w:t>a déclaré dans son témoignage que le problème soulevé par l’article de la juge de paix était que « </w:t>
      </w:r>
      <w:r w:rsidR="00580F7E" w:rsidRPr="009C6218">
        <w:rPr>
          <w:lang w:val="fr-CA"/>
        </w:rPr>
        <w:t>[</w:t>
      </w:r>
      <w:r w:rsidRPr="009C6218">
        <w:rPr>
          <w:lang w:val="fr-CA"/>
        </w:rPr>
        <w:t>les procureurs de la Couronne</w:t>
      </w:r>
      <w:r w:rsidR="00580F7E" w:rsidRPr="009C6218">
        <w:rPr>
          <w:lang w:val="fr-CA"/>
        </w:rPr>
        <w:t xml:space="preserve">] </w:t>
      </w:r>
      <w:r w:rsidRPr="009C6218">
        <w:rPr>
          <w:lang w:val="fr-CA"/>
        </w:rPr>
        <w:t>n’auront jamais l’impression qu’ils pourront avoir une audience juste et impartiale devant cette juge de paix, qui a, à mon avis, démontré clairement son dédain pour chaque procureur adjoint de la Couronne du Bureau du procureur de la Couronne d’</w:t>
      </w:r>
      <w:r w:rsidR="00580F7E" w:rsidRPr="009C6218">
        <w:rPr>
          <w:lang w:val="fr-CA"/>
        </w:rPr>
        <w:t xml:space="preserve">Ottawa. </w:t>
      </w:r>
      <w:r w:rsidRPr="009C6218">
        <w:rPr>
          <w:lang w:val="fr-CA"/>
        </w:rPr>
        <w:t xml:space="preserve">Je ne pense pas qu’ils pourront croire </w:t>
      </w:r>
      <w:r w:rsidR="00900F88" w:rsidRPr="009C6218">
        <w:rPr>
          <w:lang w:val="fr-CA"/>
        </w:rPr>
        <w:t>qu’il serait possible d’obtenir une audience équitable devant elle »</w:t>
      </w:r>
      <w:r w:rsidR="00580F7E" w:rsidRPr="009C6218">
        <w:rPr>
          <w:rStyle w:val="FootnoteReference"/>
          <w:lang w:val="fr-CA"/>
        </w:rPr>
        <w:footnoteReference w:id="111"/>
      </w:r>
      <w:r w:rsidR="00900F88" w:rsidRPr="009C6218">
        <w:rPr>
          <w:lang w:val="fr-CA"/>
        </w:rPr>
        <w:t>.</w:t>
      </w:r>
    </w:p>
    <w:p w14:paraId="21F66E8F" w14:textId="0717FFBA" w:rsidR="009623FF" w:rsidRPr="009C6218" w:rsidRDefault="00900F88" w:rsidP="00BE6325">
      <w:pPr>
        <w:pStyle w:val="Heading2"/>
        <w:spacing w:after="360"/>
        <w:rPr>
          <w:lang w:val="fr-CA"/>
        </w:rPr>
      </w:pPr>
      <w:bookmarkStart w:id="57" w:name="_Toc42946562"/>
      <w:r w:rsidRPr="009C6218">
        <w:rPr>
          <w:lang w:val="fr-CA"/>
        </w:rPr>
        <w:t xml:space="preserve">Demande de récusation </w:t>
      </w:r>
      <w:r w:rsidR="00580F7E" w:rsidRPr="009C6218">
        <w:rPr>
          <w:i/>
          <w:lang w:val="fr-CA"/>
        </w:rPr>
        <w:t>a</w:t>
      </w:r>
      <w:r w:rsidRPr="009C6218">
        <w:rPr>
          <w:i/>
          <w:lang w:val="fr-CA"/>
        </w:rPr>
        <w:t>près</w:t>
      </w:r>
      <w:r w:rsidR="00580F7E" w:rsidRPr="009C6218">
        <w:rPr>
          <w:lang w:val="fr-CA"/>
        </w:rPr>
        <w:t xml:space="preserve"> </w:t>
      </w:r>
      <w:r w:rsidRPr="009C6218">
        <w:rPr>
          <w:lang w:val="fr-CA"/>
        </w:rPr>
        <w:t>la p</w:t>
      </w:r>
      <w:r w:rsidR="00580F7E" w:rsidRPr="009C6218">
        <w:rPr>
          <w:lang w:val="fr-CA"/>
        </w:rPr>
        <w:t xml:space="preserve">ublication </w:t>
      </w:r>
      <w:r w:rsidRPr="009C6218">
        <w:rPr>
          <w:lang w:val="fr-CA"/>
        </w:rPr>
        <w:t>de l’</w:t>
      </w:r>
      <w:r w:rsidR="00580F7E" w:rsidRPr="009C6218">
        <w:rPr>
          <w:lang w:val="fr-CA"/>
        </w:rPr>
        <w:t>Article</w:t>
      </w:r>
      <w:bookmarkEnd w:id="57"/>
    </w:p>
    <w:p w14:paraId="702A1635" w14:textId="24D58C65" w:rsidR="009A7C56" w:rsidRPr="009C6218" w:rsidRDefault="004E6B5A" w:rsidP="00BE6325">
      <w:pPr>
        <w:numPr>
          <w:ilvl w:val="0"/>
          <w:numId w:val="1"/>
        </w:numPr>
        <w:spacing w:after="360" w:line="276" w:lineRule="auto"/>
        <w:ind w:left="567" w:hanging="567"/>
        <w:rPr>
          <w:lang w:val="fr-CA"/>
        </w:rPr>
      </w:pPr>
      <w:r w:rsidRPr="009C6218">
        <w:rPr>
          <w:lang w:val="fr-CA"/>
        </w:rPr>
        <w:t xml:space="preserve">Le 12 octobre </w:t>
      </w:r>
      <w:r w:rsidR="009A7C56" w:rsidRPr="009C6218">
        <w:rPr>
          <w:lang w:val="fr-CA"/>
        </w:rPr>
        <w:t>2016</w:t>
      </w:r>
      <w:r w:rsidR="00AD2F1F" w:rsidRPr="009C6218">
        <w:rPr>
          <w:lang w:val="fr-CA"/>
        </w:rPr>
        <w:t xml:space="preserve">, </w:t>
      </w:r>
      <w:r w:rsidRPr="009C6218">
        <w:rPr>
          <w:lang w:val="fr-CA"/>
        </w:rPr>
        <w:t>plus de six mois après la parution de l’</w:t>
      </w:r>
      <w:r w:rsidR="000A45E8" w:rsidRPr="009C6218">
        <w:rPr>
          <w:lang w:val="fr-CA"/>
        </w:rPr>
        <w:t>A</w:t>
      </w:r>
      <w:r w:rsidR="00AD2F1F" w:rsidRPr="009C6218">
        <w:rPr>
          <w:lang w:val="fr-CA"/>
        </w:rPr>
        <w:t>rticle,</w:t>
      </w:r>
      <w:r w:rsidR="009A7C56" w:rsidRPr="009C6218">
        <w:rPr>
          <w:lang w:val="fr-CA"/>
        </w:rPr>
        <w:t xml:space="preserve"> </w:t>
      </w:r>
      <w:r w:rsidRPr="009C6218">
        <w:rPr>
          <w:lang w:val="fr-CA"/>
        </w:rPr>
        <w:t>le procureur adjoint de la Couronne, Me</w:t>
      </w:r>
      <w:r w:rsidR="009A7C56" w:rsidRPr="009C6218">
        <w:rPr>
          <w:lang w:val="fr-CA"/>
        </w:rPr>
        <w:t xml:space="preserve"> </w:t>
      </w:r>
      <w:proofErr w:type="spellStart"/>
      <w:r w:rsidR="00F97318" w:rsidRPr="009C6218">
        <w:rPr>
          <w:lang w:val="fr-CA"/>
        </w:rPr>
        <w:t>Wightman</w:t>
      </w:r>
      <w:proofErr w:type="spellEnd"/>
      <w:r w:rsidRPr="009C6218">
        <w:rPr>
          <w:lang w:val="fr-CA"/>
        </w:rPr>
        <w:t xml:space="preserve">, devait représenter la Couronne dans une audience sur le cautionnement dans l’affaire </w:t>
      </w:r>
      <w:r w:rsidR="009A7C56" w:rsidRPr="009C6218">
        <w:rPr>
          <w:i/>
          <w:lang w:val="fr-CA"/>
        </w:rPr>
        <w:t xml:space="preserve">R. v. Cody </w:t>
      </w:r>
      <w:proofErr w:type="spellStart"/>
      <w:r w:rsidR="009A7C56" w:rsidRPr="009C6218">
        <w:rPr>
          <w:i/>
          <w:lang w:val="fr-CA"/>
        </w:rPr>
        <w:t>Boast</w:t>
      </w:r>
      <w:proofErr w:type="spellEnd"/>
      <w:r w:rsidR="00AD2F1F" w:rsidRPr="009C6218">
        <w:rPr>
          <w:i/>
          <w:lang w:val="fr-CA"/>
        </w:rPr>
        <w:t xml:space="preserve"> (</w:t>
      </w:r>
      <w:proofErr w:type="spellStart"/>
      <w:r w:rsidR="00AD2F1F" w:rsidRPr="009C6218">
        <w:rPr>
          <w:i/>
          <w:lang w:val="fr-CA"/>
        </w:rPr>
        <w:t>Boast</w:t>
      </w:r>
      <w:proofErr w:type="spellEnd"/>
      <w:r w:rsidR="00AD2F1F" w:rsidRPr="009C6218">
        <w:rPr>
          <w:i/>
          <w:lang w:val="fr-CA"/>
        </w:rPr>
        <w:t>)</w:t>
      </w:r>
      <w:r w:rsidR="009A7C56" w:rsidRPr="009C6218">
        <w:rPr>
          <w:lang w:val="fr-CA"/>
        </w:rPr>
        <w:t>. M</w:t>
      </w:r>
      <w:r w:rsidRPr="009C6218">
        <w:rPr>
          <w:lang w:val="fr-CA"/>
        </w:rPr>
        <w:t>e </w:t>
      </w:r>
      <w:proofErr w:type="spellStart"/>
      <w:r w:rsidR="00F97318" w:rsidRPr="009C6218">
        <w:rPr>
          <w:lang w:val="fr-CA"/>
        </w:rPr>
        <w:t>Wightman</w:t>
      </w:r>
      <w:proofErr w:type="spellEnd"/>
      <w:r w:rsidR="009A7C56" w:rsidRPr="009C6218">
        <w:rPr>
          <w:lang w:val="fr-CA"/>
        </w:rPr>
        <w:t xml:space="preserve"> </w:t>
      </w:r>
      <w:r w:rsidRPr="009C6218">
        <w:rPr>
          <w:lang w:val="fr-CA"/>
        </w:rPr>
        <w:t xml:space="preserve">est l’un des trois procureurs de la Couronne dont la conduite a été décrite par la juge de paix dans son </w:t>
      </w:r>
      <w:r w:rsidR="000A45E8" w:rsidRPr="009C6218">
        <w:rPr>
          <w:lang w:val="fr-CA"/>
        </w:rPr>
        <w:t>A</w:t>
      </w:r>
      <w:r w:rsidR="009A7C56" w:rsidRPr="009C6218">
        <w:rPr>
          <w:lang w:val="fr-CA"/>
        </w:rPr>
        <w:t>rticle</w:t>
      </w:r>
      <w:r w:rsidR="00F97318" w:rsidRPr="009C6218">
        <w:rPr>
          <w:lang w:val="fr-CA"/>
        </w:rPr>
        <w:t xml:space="preserve">. </w:t>
      </w:r>
      <w:r w:rsidRPr="009C6218">
        <w:rPr>
          <w:lang w:val="fr-CA"/>
        </w:rPr>
        <w:t>Même si elle ne l’a pas nommé, il savait, tout comme la procureure de la Couronne Me</w:t>
      </w:r>
      <w:r w:rsidR="00F97318" w:rsidRPr="009C6218">
        <w:rPr>
          <w:lang w:val="fr-CA"/>
        </w:rPr>
        <w:t xml:space="preserve"> </w:t>
      </w:r>
      <w:proofErr w:type="spellStart"/>
      <w:r w:rsidR="00F97318" w:rsidRPr="009C6218">
        <w:rPr>
          <w:lang w:val="fr-CA"/>
        </w:rPr>
        <w:t>Bair</w:t>
      </w:r>
      <w:proofErr w:type="spellEnd"/>
      <w:r w:rsidR="00F97318" w:rsidRPr="009C6218">
        <w:rPr>
          <w:lang w:val="fr-CA"/>
        </w:rPr>
        <w:t xml:space="preserve">, </w:t>
      </w:r>
      <w:r w:rsidRPr="009C6218">
        <w:rPr>
          <w:lang w:val="fr-CA"/>
        </w:rPr>
        <w:t>que la juge de paix parlait de lui. Dans l’</w:t>
      </w:r>
      <w:r w:rsidR="009A3F93" w:rsidRPr="009C6218">
        <w:rPr>
          <w:lang w:val="fr-CA"/>
        </w:rPr>
        <w:t>Article,</w:t>
      </w:r>
      <w:r w:rsidR="009A7C56" w:rsidRPr="009C6218">
        <w:rPr>
          <w:lang w:val="fr-CA"/>
        </w:rPr>
        <w:t xml:space="preserve"> </w:t>
      </w:r>
      <w:r w:rsidRPr="009C6218">
        <w:rPr>
          <w:lang w:val="fr-CA"/>
        </w:rPr>
        <w:t xml:space="preserve">la juge de paix a soutenu qu’il lui avait tourné le dos lorsqu’elle a remis en question certaines conditions proposées pour la mise en liberté sous caution et qu’il a annoncé aux avocats de la défense présents dans la salle d’audience qu’ils ne pourraient plus obtenir des mises en liberté sous caution sur consentement tant que la juge de paix siégeait. </w:t>
      </w:r>
    </w:p>
    <w:p w14:paraId="558B2FD7" w14:textId="7E47FB10" w:rsidR="00AD2F1F" w:rsidRPr="009C6218" w:rsidRDefault="00AD2F1F" w:rsidP="00F24A43">
      <w:pPr>
        <w:numPr>
          <w:ilvl w:val="0"/>
          <w:numId w:val="1"/>
        </w:numPr>
        <w:spacing w:after="200" w:line="276" w:lineRule="auto"/>
        <w:ind w:left="567" w:hanging="567"/>
        <w:rPr>
          <w:lang w:val="fr-CA"/>
        </w:rPr>
      </w:pPr>
      <w:r w:rsidRPr="009C6218">
        <w:rPr>
          <w:lang w:val="fr-CA"/>
        </w:rPr>
        <w:t>M</w:t>
      </w:r>
      <w:r w:rsidR="006F339A" w:rsidRPr="009C6218">
        <w:rPr>
          <w:lang w:val="fr-CA"/>
        </w:rPr>
        <w:t>e</w:t>
      </w:r>
      <w:r w:rsidRPr="009C6218">
        <w:rPr>
          <w:lang w:val="fr-CA"/>
        </w:rPr>
        <w:t xml:space="preserve"> </w:t>
      </w:r>
      <w:proofErr w:type="spellStart"/>
      <w:r w:rsidRPr="009C6218">
        <w:rPr>
          <w:lang w:val="fr-CA"/>
        </w:rPr>
        <w:t>Bair</w:t>
      </w:r>
      <w:proofErr w:type="spellEnd"/>
      <w:r w:rsidR="00471B16" w:rsidRPr="009C6218">
        <w:rPr>
          <w:lang w:val="fr-CA"/>
        </w:rPr>
        <w:t xml:space="preserve"> </w:t>
      </w:r>
      <w:r w:rsidR="004E6B5A" w:rsidRPr="009C6218">
        <w:rPr>
          <w:lang w:val="fr-CA"/>
        </w:rPr>
        <w:t>a comparu au tribunal, avec Me</w:t>
      </w:r>
      <w:r w:rsidRPr="009C6218">
        <w:rPr>
          <w:lang w:val="fr-CA"/>
        </w:rPr>
        <w:t xml:space="preserve"> </w:t>
      </w:r>
      <w:proofErr w:type="spellStart"/>
      <w:r w:rsidR="00F97318" w:rsidRPr="009C6218">
        <w:rPr>
          <w:lang w:val="fr-CA"/>
        </w:rPr>
        <w:t>Wightman</w:t>
      </w:r>
      <w:proofErr w:type="spellEnd"/>
      <w:r w:rsidRPr="009C6218">
        <w:rPr>
          <w:lang w:val="fr-CA"/>
        </w:rPr>
        <w:t xml:space="preserve">, </w:t>
      </w:r>
      <w:r w:rsidR="004E6B5A" w:rsidRPr="009C6218">
        <w:rPr>
          <w:lang w:val="fr-CA"/>
        </w:rPr>
        <w:t xml:space="preserve">à l’audience sur l’affaire </w:t>
      </w:r>
      <w:proofErr w:type="spellStart"/>
      <w:r w:rsidR="004E6B5A" w:rsidRPr="009C6218">
        <w:rPr>
          <w:i/>
          <w:lang w:val="fr-CA"/>
        </w:rPr>
        <w:t>B</w:t>
      </w:r>
      <w:r w:rsidRPr="009C6218">
        <w:rPr>
          <w:i/>
          <w:lang w:val="fr-CA"/>
        </w:rPr>
        <w:t>oast</w:t>
      </w:r>
      <w:proofErr w:type="spellEnd"/>
      <w:r w:rsidRPr="009C6218">
        <w:rPr>
          <w:lang w:val="fr-CA"/>
        </w:rPr>
        <w:t xml:space="preserve">. </w:t>
      </w:r>
      <w:r w:rsidR="004E6B5A" w:rsidRPr="009C6218">
        <w:rPr>
          <w:lang w:val="fr-CA"/>
        </w:rPr>
        <w:t xml:space="preserve">Elle a demandé une brève </w:t>
      </w:r>
      <w:r w:rsidR="00E51950" w:rsidRPr="009C6218">
        <w:rPr>
          <w:lang w:val="fr-CA"/>
        </w:rPr>
        <w:t>suspension</w:t>
      </w:r>
      <w:r w:rsidR="006D28E6">
        <w:rPr>
          <w:lang w:val="fr-CA"/>
        </w:rPr>
        <w:t xml:space="preserve"> de l’affaire</w:t>
      </w:r>
      <w:r w:rsidR="004E6B5A" w:rsidRPr="009C6218">
        <w:rPr>
          <w:lang w:val="fr-CA"/>
        </w:rPr>
        <w:t xml:space="preserve">. Elle avait l’intention de demander qu’un autre juge de paix préside l’affaire, mais la juge de paix a demandé pour quelle raison elle demandait </w:t>
      </w:r>
      <w:r w:rsidR="00E51950" w:rsidRPr="009C6218">
        <w:rPr>
          <w:lang w:val="fr-CA"/>
        </w:rPr>
        <w:t>la suspension</w:t>
      </w:r>
      <w:r w:rsidR="004E6B5A" w:rsidRPr="009C6218">
        <w:rPr>
          <w:lang w:val="fr-CA"/>
        </w:rPr>
        <w:t>.</w:t>
      </w:r>
      <w:r w:rsidR="00E51950" w:rsidRPr="009C6218">
        <w:rPr>
          <w:lang w:val="fr-CA"/>
        </w:rPr>
        <w:t xml:space="preserve"> C’est alors que Me </w:t>
      </w:r>
      <w:proofErr w:type="spellStart"/>
      <w:r w:rsidRPr="009C6218">
        <w:rPr>
          <w:lang w:val="fr-CA"/>
        </w:rPr>
        <w:t>Bair</w:t>
      </w:r>
      <w:proofErr w:type="spellEnd"/>
      <w:r w:rsidRPr="009C6218">
        <w:rPr>
          <w:lang w:val="fr-CA"/>
        </w:rPr>
        <w:t xml:space="preserve"> </w:t>
      </w:r>
      <w:r w:rsidR="00E51950" w:rsidRPr="009C6218">
        <w:rPr>
          <w:lang w:val="fr-CA"/>
        </w:rPr>
        <w:t xml:space="preserve">a donné son explication </w:t>
      </w:r>
      <w:r w:rsidRPr="009C6218">
        <w:rPr>
          <w:lang w:val="fr-CA"/>
        </w:rPr>
        <w:t>:</w:t>
      </w:r>
    </w:p>
    <w:p w14:paraId="5C4001FC" w14:textId="26AACB2C" w:rsidR="00AD2F1F" w:rsidRPr="009C6218" w:rsidRDefault="00AD2F1F" w:rsidP="009623FF">
      <w:pPr>
        <w:spacing w:after="160" w:line="257" w:lineRule="auto"/>
        <w:ind w:left="851" w:right="851"/>
        <w:rPr>
          <w:lang w:val="fr-CA"/>
        </w:rPr>
      </w:pPr>
      <w:r w:rsidRPr="009C6218">
        <w:rPr>
          <w:lang w:val="fr-CA"/>
        </w:rPr>
        <w:t>…</w:t>
      </w:r>
      <w:r w:rsidR="00E51950" w:rsidRPr="009C6218">
        <w:rPr>
          <w:u w:val="single"/>
          <w:lang w:val="fr-CA"/>
        </w:rPr>
        <w:t xml:space="preserve">vous êtes la juge de paix qui préside et vous avez quelque chose contre Me </w:t>
      </w:r>
      <w:proofErr w:type="spellStart"/>
      <w:r w:rsidR="00F97318" w:rsidRPr="009C6218">
        <w:rPr>
          <w:u w:val="single"/>
          <w:lang w:val="fr-CA"/>
        </w:rPr>
        <w:t>Wightman</w:t>
      </w:r>
      <w:proofErr w:type="spellEnd"/>
      <w:r w:rsidR="00E51950" w:rsidRPr="009C6218">
        <w:rPr>
          <w:u w:val="single"/>
          <w:lang w:val="fr-CA"/>
        </w:rPr>
        <w:t xml:space="preserve"> parce que vous vous êtes plainte de lui dans mon bureau par le passé et vous avez parlé de la même histoire dans votre </w:t>
      </w:r>
      <w:r w:rsidRPr="009C6218">
        <w:rPr>
          <w:u w:val="single"/>
          <w:lang w:val="fr-CA"/>
        </w:rPr>
        <w:t>article</w:t>
      </w:r>
      <w:r w:rsidR="00E51950" w:rsidRPr="009C6218">
        <w:rPr>
          <w:u w:val="single"/>
          <w:lang w:val="fr-CA"/>
        </w:rPr>
        <w:t xml:space="preserve"> paru dans le journal</w:t>
      </w:r>
      <w:r w:rsidRPr="009C6218">
        <w:rPr>
          <w:lang w:val="fr-CA"/>
        </w:rPr>
        <w:t xml:space="preserve">. </w:t>
      </w:r>
      <w:r w:rsidR="00E51950" w:rsidRPr="009C6218">
        <w:rPr>
          <w:lang w:val="fr-CA"/>
        </w:rPr>
        <w:t xml:space="preserve">Donc, au lieu de déposer une demande de récusation, nous espérons que l’affaire peut être affectée à un autre juge de paix </w:t>
      </w:r>
      <w:r w:rsidR="00E36BCA" w:rsidRPr="009C6218">
        <w:rPr>
          <w:lang w:val="fr-CA"/>
        </w:rPr>
        <w:t>d’une façon quelconque</w:t>
      </w:r>
      <w:r w:rsidR="009B2539" w:rsidRPr="009C6218">
        <w:rPr>
          <w:rStyle w:val="FootnoteReference"/>
          <w:lang w:val="fr-CA"/>
        </w:rPr>
        <w:footnoteReference w:id="112"/>
      </w:r>
      <w:r w:rsidR="00E36BCA" w:rsidRPr="009C6218">
        <w:rPr>
          <w:lang w:val="fr-CA"/>
        </w:rPr>
        <w:t>.</w:t>
      </w:r>
    </w:p>
    <w:p w14:paraId="7E6E6183" w14:textId="408AAC26" w:rsidR="00F97318" w:rsidRPr="009C6218" w:rsidRDefault="006F339A" w:rsidP="006F339A">
      <w:pPr>
        <w:numPr>
          <w:ilvl w:val="0"/>
          <w:numId w:val="1"/>
        </w:numPr>
        <w:spacing w:after="200" w:line="276" w:lineRule="auto"/>
        <w:ind w:left="567" w:hanging="567"/>
        <w:rPr>
          <w:lang w:val="fr-CA"/>
        </w:rPr>
      </w:pPr>
      <w:r w:rsidRPr="009C6218">
        <w:rPr>
          <w:lang w:val="fr-CA"/>
        </w:rPr>
        <w:lastRenderedPageBreak/>
        <w:t xml:space="preserve">A suivi une discussion sur la date à laquelle Me </w:t>
      </w:r>
      <w:proofErr w:type="spellStart"/>
      <w:r w:rsidR="00F97318" w:rsidRPr="009C6218">
        <w:rPr>
          <w:lang w:val="fr-CA"/>
        </w:rPr>
        <w:t>Wightman</w:t>
      </w:r>
      <w:proofErr w:type="spellEnd"/>
      <w:r w:rsidR="00F92F51" w:rsidRPr="009C6218">
        <w:rPr>
          <w:lang w:val="fr-CA"/>
        </w:rPr>
        <w:t xml:space="preserve"> </w:t>
      </w:r>
      <w:r w:rsidRPr="009C6218">
        <w:rPr>
          <w:lang w:val="fr-CA"/>
        </w:rPr>
        <w:t>avait comparu la dernière fois devant la juge de paix. La juge de paix a affirmé qu’elle n’avait aucun problème avec Me</w:t>
      </w:r>
      <w:r w:rsidR="009B2539" w:rsidRPr="009C6218">
        <w:rPr>
          <w:lang w:val="fr-CA"/>
        </w:rPr>
        <w:t xml:space="preserve"> </w:t>
      </w:r>
      <w:proofErr w:type="spellStart"/>
      <w:r w:rsidR="00F97318" w:rsidRPr="009C6218">
        <w:rPr>
          <w:lang w:val="fr-CA"/>
        </w:rPr>
        <w:t>Wightman</w:t>
      </w:r>
      <w:proofErr w:type="spellEnd"/>
      <w:r w:rsidR="00F97318" w:rsidRPr="009C6218">
        <w:rPr>
          <w:lang w:val="fr-CA"/>
        </w:rPr>
        <w:t>,</w:t>
      </w:r>
      <w:r w:rsidR="009B2539" w:rsidRPr="009C6218">
        <w:rPr>
          <w:lang w:val="fr-CA"/>
        </w:rPr>
        <w:t xml:space="preserve"> </w:t>
      </w:r>
      <w:r w:rsidRPr="009C6218">
        <w:rPr>
          <w:lang w:val="fr-CA"/>
        </w:rPr>
        <w:t>et qu’elle se souvenait qu’il avait comparu devant elle depuis la publication de l’</w:t>
      </w:r>
      <w:r w:rsidR="000A45E8" w:rsidRPr="009C6218">
        <w:rPr>
          <w:lang w:val="fr-CA"/>
        </w:rPr>
        <w:t>A</w:t>
      </w:r>
      <w:r w:rsidR="009B2539" w:rsidRPr="009C6218">
        <w:rPr>
          <w:lang w:val="fr-CA"/>
        </w:rPr>
        <w:t xml:space="preserve">rticle. </w:t>
      </w:r>
      <w:r w:rsidRPr="009C6218">
        <w:rPr>
          <w:lang w:val="fr-CA"/>
        </w:rPr>
        <w:t>Son souvenir ne coïncidait pas avec celui de Me </w:t>
      </w:r>
      <w:proofErr w:type="spellStart"/>
      <w:r w:rsidR="00880134" w:rsidRPr="009C6218">
        <w:rPr>
          <w:lang w:val="fr-CA"/>
        </w:rPr>
        <w:t>W</w:t>
      </w:r>
      <w:r w:rsidR="00D404C3" w:rsidRPr="009C6218">
        <w:rPr>
          <w:lang w:val="fr-CA"/>
        </w:rPr>
        <w:t>ightman</w:t>
      </w:r>
      <w:proofErr w:type="spellEnd"/>
      <w:r w:rsidR="00880134" w:rsidRPr="009C6218">
        <w:rPr>
          <w:lang w:val="fr-CA"/>
        </w:rPr>
        <w:t xml:space="preserve">. </w:t>
      </w:r>
      <w:r w:rsidRPr="009C6218">
        <w:rPr>
          <w:lang w:val="fr-CA"/>
        </w:rPr>
        <w:t>Ce dernier a affirmé qu’en fait il n’avait pas comparu devant la juge de paix dans une affaire contestée après la publication de l’</w:t>
      </w:r>
      <w:r w:rsidR="000A45E8" w:rsidRPr="009C6218">
        <w:rPr>
          <w:lang w:val="fr-CA"/>
        </w:rPr>
        <w:t>A</w:t>
      </w:r>
      <w:r w:rsidR="009B2539" w:rsidRPr="009C6218">
        <w:rPr>
          <w:lang w:val="fr-CA"/>
        </w:rPr>
        <w:t>rticle</w:t>
      </w:r>
      <w:r w:rsidR="00F97318" w:rsidRPr="009C6218">
        <w:rPr>
          <w:lang w:val="fr-CA"/>
        </w:rPr>
        <w:t>.</w:t>
      </w:r>
      <w:r w:rsidR="009B2539" w:rsidRPr="009C6218">
        <w:rPr>
          <w:lang w:val="fr-CA"/>
        </w:rPr>
        <w:t xml:space="preserve"> </w:t>
      </w:r>
      <w:r w:rsidRPr="009C6218">
        <w:rPr>
          <w:lang w:val="fr-CA"/>
        </w:rPr>
        <w:t>Me </w:t>
      </w:r>
      <w:proofErr w:type="spellStart"/>
      <w:r w:rsidR="00F97318" w:rsidRPr="009C6218">
        <w:rPr>
          <w:lang w:val="fr-CA"/>
        </w:rPr>
        <w:t>Bair</w:t>
      </w:r>
      <w:proofErr w:type="spellEnd"/>
      <w:r w:rsidR="00F97318" w:rsidRPr="009C6218">
        <w:rPr>
          <w:lang w:val="fr-CA"/>
        </w:rPr>
        <w:t xml:space="preserve"> </w:t>
      </w:r>
      <w:r w:rsidRPr="009C6218">
        <w:rPr>
          <w:lang w:val="fr-CA"/>
        </w:rPr>
        <w:t>a informé le tribunal que c’était délibéré</w:t>
      </w:r>
      <w:r w:rsidR="00880134" w:rsidRPr="009C6218">
        <w:rPr>
          <w:rStyle w:val="FootnoteReference"/>
          <w:lang w:val="fr-CA"/>
        </w:rPr>
        <w:footnoteReference w:id="113"/>
      </w:r>
      <w:r w:rsidRPr="009C6218">
        <w:rPr>
          <w:lang w:val="fr-CA"/>
        </w:rPr>
        <w:t>.</w:t>
      </w:r>
    </w:p>
    <w:p w14:paraId="259613AB" w14:textId="425B244F" w:rsidR="00F97318" w:rsidRPr="009C6218" w:rsidRDefault="006F339A" w:rsidP="006E766D">
      <w:pPr>
        <w:numPr>
          <w:ilvl w:val="0"/>
          <w:numId w:val="1"/>
        </w:numPr>
        <w:spacing w:after="200" w:line="276" w:lineRule="auto"/>
        <w:ind w:left="567" w:hanging="567"/>
        <w:rPr>
          <w:lang w:val="fr-CA"/>
        </w:rPr>
      </w:pPr>
      <w:r w:rsidRPr="009C6218">
        <w:rPr>
          <w:lang w:val="fr-CA"/>
        </w:rPr>
        <w:t xml:space="preserve">Pendant l’audience sur l’affaire </w:t>
      </w:r>
      <w:proofErr w:type="spellStart"/>
      <w:r w:rsidR="0025085E" w:rsidRPr="009C6218">
        <w:rPr>
          <w:i/>
          <w:lang w:val="fr-CA"/>
        </w:rPr>
        <w:t>Boast</w:t>
      </w:r>
      <w:proofErr w:type="spellEnd"/>
      <w:r w:rsidRPr="009C6218">
        <w:rPr>
          <w:lang w:val="fr-CA"/>
        </w:rPr>
        <w:t>, Me</w:t>
      </w:r>
      <w:r w:rsidR="00F97318" w:rsidRPr="009C6218">
        <w:rPr>
          <w:lang w:val="fr-CA"/>
        </w:rPr>
        <w:t xml:space="preserve"> </w:t>
      </w:r>
      <w:proofErr w:type="spellStart"/>
      <w:r w:rsidR="00F97318" w:rsidRPr="009C6218">
        <w:rPr>
          <w:lang w:val="fr-CA"/>
        </w:rPr>
        <w:t>Bair</w:t>
      </w:r>
      <w:proofErr w:type="spellEnd"/>
      <w:r w:rsidR="00F97318" w:rsidRPr="009C6218">
        <w:rPr>
          <w:lang w:val="fr-CA"/>
        </w:rPr>
        <w:t xml:space="preserve"> </w:t>
      </w:r>
      <w:r w:rsidRPr="009C6218">
        <w:rPr>
          <w:lang w:val="fr-CA"/>
        </w:rPr>
        <w:t xml:space="preserve">et la juge de paix ont discuté de l’incident antérieur qui avait fait l’objet d’une plainte et que la juge de paix a décrit dans son Article. Il n’est pas contesté que la juge de paix a déposé une plainte formelle par le biais du </w:t>
      </w:r>
      <w:r w:rsidR="006E766D" w:rsidRPr="009C6218">
        <w:rPr>
          <w:lang w:val="fr-CA"/>
        </w:rPr>
        <w:t>juge de paix et chef régional de l'administration au suje</w:t>
      </w:r>
      <w:r w:rsidR="006D28E6">
        <w:rPr>
          <w:lang w:val="fr-CA"/>
        </w:rPr>
        <w:t>t</w:t>
      </w:r>
      <w:r w:rsidR="006E766D" w:rsidRPr="009C6218">
        <w:rPr>
          <w:lang w:val="fr-CA"/>
        </w:rPr>
        <w:t xml:space="preserve"> de </w:t>
      </w:r>
      <w:r w:rsidR="00F97318" w:rsidRPr="009C6218">
        <w:rPr>
          <w:lang w:val="fr-CA"/>
        </w:rPr>
        <w:t>M</w:t>
      </w:r>
      <w:r w:rsidR="006E766D" w:rsidRPr="009C6218">
        <w:rPr>
          <w:lang w:val="fr-CA"/>
        </w:rPr>
        <w:t>e </w:t>
      </w:r>
      <w:proofErr w:type="spellStart"/>
      <w:r w:rsidR="00F97318" w:rsidRPr="009C6218">
        <w:rPr>
          <w:lang w:val="fr-CA"/>
        </w:rPr>
        <w:t>Wightman</w:t>
      </w:r>
      <w:proofErr w:type="spellEnd"/>
      <w:r w:rsidR="00F97318" w:rsidRPr="009C6218">
        <w:rPr>
          <w:lang w:val="fr-CA"/>
        </w:rPr>
        <w:t xml:space="preserve"> </w:t>
      </w:r>
      <w:r w:rsidR="006E766D" w:rsidRPr="009C6218">
        <w:rPr>
          <w:lang w:val="fr-CA"/>
        </w:rPr>
        <w:t xml:space="preserve">en ce qui concerne l’incident présumé qu’elle a mentionné dans son </w:t>
      </w:r>
      <w:r w:rsidR="00A84298" w:rsidRPr="009C6218">
        <w:rPr>
          <w:lang w:val="fr-CA"/>
        </w:rPr>
        <w:t>A</w:t>
      </w:r>
      <w:r w:rsidR="00880134" w:rsidRPr="009C6218">
        <w:rPr>
          <w:lang w:val="fr-CA"/>
        </w:rPr>
        <w:t xml:space="preserve">rticle. </w:t>
      </w:r>
      <w:r w:rsidR="006E766D" w:rsidRPr="009C6218">
        <w:rPr>
          <w:lang w:val="fr-CA"/>
        </w:rPr>
        <w:t>Cette plainte a été ensuite portée à l’attention de Me</w:t>
      </w:r>
      <w:r w:rsidR="00880134" w:rsidRPr="009C6218">
        <w:rPr>
          <w:lang w:val="fr-CA"/>
        </w:rPr>
        <w:t xml:space="preserve"> </w:t>
      </w:r>
      <w:proofErr w:type="spellStart"/>
      <w:r w:rsidR="00880134" w:rsidRPr="009C6218">
        <w:rPr>
          <w:lang w:val="fr-CA"/>
        </w:rPr>
        <w:t>Bair</w:t>
      </w:r>
      <w:proofErr w:type="spellEnd"/>
      <w:r w:rsidR="006E766D" w:rsidRPr="009C6218">
        <w:rPr>
          <w:lang w:val="fr-CA"/>
        </w:rPr>
        <w:t xml:space="preserve">, qui est la supérieure de Me </w:t>
      </w:r>
      <w:proofErr w:type="spellStart"/>
      <w:r w:rsidR="00880134" w:rsidRPr="009C6218">
        <w:rPr>
          <w:lang w:val="fr-CA"/>
        </w:rPr>
        <w:t>W</w:t>
      </w:r>
      <w:r w:rsidR="00F850F5" w:rsidRPr="009C6218">
        <w:rPr>
          <w:lang w:val="fr-CA"/>
        </w:rPr>
        <w:t>ight</w:t>
      </w:r>
      <w:r w:rsidR="00880134" w:rsidRPr="009C6218">
        <w:rPr>
          <w:lang w:val="fr-CA"/>
        </w:rPr>
        <w:t>man</w:t>
      </w:r>
      <w:proofErr w:type="spellEnd"/>
      <w:r w:rsidR="00880134" w:rsidRPr="009C6218">
        <w:rPr>
          <w:lang w:val="fr-CA"/>
        </w:rPr>
        <w:t xml:space="preserve">. </w:t>
      </w:r>
      <w:r w:rsidR="006E766D" w:rsidRPr="009C6218">
        <w:rPr>
          <w:lang w:val="fr-CA"/>
        </w:rPr>
        <w:t xml:space="preserve">L’incident présumé a fait l’objet d’une enquête. Le souvenir de Me </w:t>
      </w:r>
      <w:proofErr w:type="spellStart"/>
      <w:r w:rsidR="00880134" w:rsidRPr="009C6218">
        <w:rPr>
          <w:lang w:val="fr-CA"/>
        </w:rPr>
        <w:t>W</w:t>
      </w:r>
      <w:r w:rsidR="00D404C3" w:rsidRPr="009C6218">
        <w:rPr>
          <w:lang w:val="fr-CA"/>
        </w:rPr>
        <w:t>ightman</w:t>
      </w:r>
      <w:proofErr w:type="spellEnd"/>
      <w:r w:rsidR="006E766D" w:rsidRPr="009C6218">
        <w:rPr>
          <w:lang w:val="fr-CA"/>
        </w:rPr>
        <w:t xml:space="preserve"> était différent de celui de la juge de paix. Il a nié avait tourné le dos à la juge de paix. À la conclusion de l’enquête, Me </w:t>
      </w:r>
      <w:proofErr w:type="spellStart"/>
      <w:r w:rsidR="00F97318" w:rsidRPr="009C6218">
        <w:rPr>
          <w:lang w:val="fr-CA"/>
        </w:rPr>
        <w:t>Bair</w:t>
      </w:r>
      <w:proofErr w:type="spellEnd"/>
      <w:r w:rsidR="00F97318" w:rsidRPr="009C6218">
        <w:rPr>
          <w:lang w:val="fr-CA"/>
        </w:rPr>
        <w:t xml:space="preserve"> </w:t>
      </w:r>
      <w:r w:rsidR="006E766D" w:rsidRPr="009C6218">
        <w:rPr>
          <w:lang w:val="fr-CA"/>
        </w:rPr>
        <w:t>a envoyé une lettre à la juge de paix pour l’informer des résultats de son enquête. Il semble que la juge de paix ait bien reçu cette lettre. Elle a cependant choisi de ne pas la lire. Peu de temps après, elle a relaté cet incident dans l’</w:t>
      </w:r>
      <w:r w:rsidR="000A45E8" w:rsidRPr="009C6218">
        <w:rPr>
          <w:lang w:val="fr-CA"/>
        </w:rPr>
        <w:t>A</w:t>
      </w:r>
      <w:r w:rsidR="00FF58AB" w:rsidRPr="009C6218">
        <w:rPr>
          <w:lang w:val="fr-CA"/>
        </w:rPr>
        <w:t>rticle</w:t>
      </w:r>
      <w:r w:rsidR="00880134" w:rsidRPr="009C6218">
        <w:rPr>
          <w:rStyle w:val="FootnoteReference"/>
          <w:lang w:val="fr-CA"/>
        </w:rPr>
        <w:footnoteReference w:id="114"/>
      </w:r>
      <w:r w:rsidR="006E766D" w:rsidRPr="009C6218">
        <w:rPr>
          <w:lang w:val="fr-CA"/>
        </w:rPr>
        <w:t>.</w:t>
      </w:r>
    </w:p>
    <w:p w14:paraId="1A2F481A" w14:textId="18A76E1D" w:rsidR="0057447E" w:rsidRPr="009C6218" w:rsidRDefault="006E766D" w:rsidP="00F24A43">
      <w:pPr>
        <w:numPr>
          <w:ilvl w:val="0"/>
          <w:numId w:val="1"/>
        </w:numPr>
        <w:spacing w:after="200" w:line="276" w:lineRule="auto"/>
        <w:ind w:left="567" w:hanging="567"/>
        <w:rPr>
          <w:lang w:val="fr-CA"/>
        </w:rPr>
      </w:pPr>
      <w:r w:rsidRPr="009C6218">
        <w:rPr>
          <w:lang w:val="fr-CA"/>
        </w:rPr>
        <w:t xml:space="preserve">En ce qui concerne l’audience sur l’affaire </w:t>
      </w:r>
      <w:proofErr w:type="spellStart"/>
      <w:r w:rsidR="0025085E" w:rsidRPr="009C6218">
        <w:rPr>
          <w:i/>
          <w:lang w:val="fr-CA"/>
        </w:rPr>
        <w:t>Boast</w:t>
      </w:r>
      <w:proofErr w:type="spellEnd"/>
      <w:r w:rsidR="0025085E" w:rsidRPr="009C6218">
        <w:rPr>
          <w:lang w:val="fr-CA"/>
        </w:rPr>
        <w:t xml:space="preserve">, </w:t>
      </w:r>
      <w:r w:rsidRPr="009C6218">
        <w:rPr>
          <w:lang w:val="fr-CA"/>
        </w:rPr>
        <w:t xml:space="preserve">la juge de paix a demandé à l’avocat de la défense ce qu’il avait à dire au sujet de la demande du procureur de la Couronne « me demandant en fait de me récuser de cette audience de mise en liberté sous caution … » et, après avoir entendu sa réponse qu’il préférerait avoir la possibilité de préparer un argument juridique sur la demande de récusation, elle a entamé une longue conversation avec Me </w:t>
      </w:r>
      <w:proofErr w:type="spellStart"/>
      <w:r w:rsidR="0025085E" w:rsidRPr="009C6218">
        <w:rPr>
          <w:lang w:val="fr-CA"/>
        </w:rPr>
        <w:t>Bair</w:t>
      </w:r>
      <w:proofErr w:type="spellEnd"/>
      <w:r w:rsidR="00F92F51" w:rsidRPr="009C6218">
        <w:rPr>
          <w:lang w:val="fr-CA"/>
        </w:rPr>
        <w:t>,</w:t>
      </w:r>
      <w:r w:rsidRPr="009C6218">
        <w:rPr>
          <w:lang w:val="fr-CA"/>
        </w:rPr>
        <w:t xml:space="preserve"> confirmant que le motif de la demande de récusation était une crainte de partialité</w:t>
      </w:r>
      <w:r w:rsidR="00F92F51" w:rsidRPr="009C6218">
        <w:rPr>
          <w:lang w:val="fr-CA"/>
        </w:rPr>
        <w:t xml:space="preserve">. </w:t>
      </w:r>
      <w:r w:rsidRPr="009C6218">
        <w:rPr>
          <w:lang w:val="fr-CA"/>
        </w:rPr>
        <w:t>Ensuite, avant d’entendre les observations sur la question, la juge de paix a dit : « </w:t>
      </w:r>
      <w:r w:rsidR="0057447E" w:rsidRPr="009C6218">
        <w:rPr>
          <w:lang w:val="fr-CA"/>
        </w:rPr>
        <w:t>… [</w:t>
      </w:r>
      <w:r w:rsidRPr="009C6218">
        <w:rPr>
          <w:lang w:val="fr-CA"/>
        </w:rPr>
        <w:t>m</w:t>
      </w:r>
      <w:r w:rsidR="0057447E" w:rsidRPr="009C6218">
        <w:rPr>
          <w:lang w:val="fr-CA"/>
        </w:rPr>
        <w:t>]</w:t>
      </w:r>
      <w:r w:rsidRPr="009C6218">
        <w:rPr>
          <w:lang w:val="fr-CA"/>
        </w:rPr>
        <w:t>ais, c’est bien à moi de décider</w:t>
      </w:r>
      <w:r w:rsidR="0057447E" w:rsidRPr="009C6218">
        <w:rPr>
          <w:lang w:val="fr-CA"/>
        </w:rPr>
        <w:t xml:space="preserve">? </w:t>
      </w:r>
      <w:r w:rsidRPr="009C6218">
        <w:rPr>
          <w:lang w:val="fr-CA"/>
        </w:rPr>
        <w:t>Je décide de ne pas me récuser. Et je ne me récuse pas. »</w:t>
      </w:r>
      <w:r w:rsidR="0057447E" w:rsidRPr="009C6218">
        <w:rPr>
          <w:rStyle w:val="FootnoteReference"/>
          <w:lang w:val="fr-CA"/>
        </w:rPr>
        <w:footnoteReference w:id="115"/>
      </w:r>
    </w:p>
    <w:p w14:paraId="4217FCFC" w14:textId="7E2C87BA" w:rsidR="009623FF" w:rsidRPr="009C6218" w:rsidRDefault="006E766D" w:rsidP="00BE6325">
      <w:pPr>
        <w:pStyle w:val="Heading2"/>
        <w:rPr>
          <w:lang w:val="fr-CA"/>
        </w:rPr>
      </w:pPr>
      <w:bookmarkStart w:id="58" w:name="_Toc42946563"/>
      <w:r w:rsidRPr="009C6218">
        <w:rPr>
          <w:lang w:val="fr-CA"/>
        </w:rPr>
        <w:t>Motivation de bonne foi</w:t>
      </w:r>
      <w:bookmarkEnd w:id="58"/>
    </w:p>
    <w:p w14:paraId="4B66E028" w14:textId="6A380C93" w:rsidR="004903CD" w:rsidRPr="009C6218" w:rsidRDefault="00F12084" w:rsidP="00F24A43">
      <w:pPr>
        <w:numPr>
          <w:ilvl w:val="0"/>
          <w:numId w:val="1"/>
        </w:numPr>
        <w:spacing w:after="200" w:line="276" w:lineRule="auto"/>
        <w:ind w:left="567" w:hanging="567"/>
        <w:rPr>
          <w:lang w:val="fr-CA"/>
        </w:rPr>
      </w:pPr>
      <w:r w:rsidRPr="009C6218">
        <w:rPr>
          <w:lang w:val="fr-CA"/>
        </w:rPr>
        <w:t xml:space="preserve">La juge de paix </w:t>
      </w:r>
      <w:r w:rsidR="000D757E" w:rsidRPr="009C6218">
        <w:rPr>
          <w:lang w:val="fr-CA"/>
        </w:rPr>
        <w:t xml:space="preserve">Lauzon </w:t>
      </w:r>
      <w:r w:rsidRPr="009C6218">
        <w:rPr>
          <w:lang w:val="fr-CA"/>
        </w:rPr>
        <w:t>a affirmé que sa seule motivation en rédigeant l’Article était d’engendre</w:t>
      </w:r>
      <w:r w:rsidR="00822D89">
        <w:rPr>
          <w:lang w:val="fr-CA"/>
        </w:rPr>
        <w:t>r</w:t>
      </w:r>
      <w:r w:rsidRPr="009C6218">
        <w:rPr>
          <w:lang w:val="fr-CA"/>
        </w:rPr>
        <w:t xml:space="preserve"> des changements positifs, pas de « dénigrer » la Cour ou d’insulter des procureurs de la Couronne, mais « seulement de présenter les faits d’une situation qui était inacceptable »</w:t>
      </w:r>
      <w:r w:rsidR="004903CD" w:rsidRPr="009C6218">
        <w:rPr>
          <w:lang w:val="fr-CA"/>
        </w:rPr>
        <w:t>.</w:t>
      </w:r>
    </w:p>
    <w:p w14:paraId="599FA5F5" w14:textId="08635AB8" w:rsidR="001E0B04" w:rsidRPr="009C6218" w:rsidRDefault="00F12084" w:rsidP="001E0B04">
      <w:pPr>
        <w:numPr>
          <w:ilvl w:val="0"/>
          <w:numId w:val="1"/>
        </w:numPr>
        <w:spacing w:after="200" w:line="276" w:lineRule="auto"/>
        <w:ind w:left="567" w:hanging="567"/>
        <w:rPr>
          <w:lang w:val="fr-CA"/>
        </w:rPr>
      </w:pPr>
      <w:r w:rsidRPr="009C6218">
        <w:rPr>
          <w:lang w:val="fr-CA"/>
        </w:rPr>
        <w:lastRenderedPageBreak/>
        <w:t>La juge de paix a aussi déclaré dans son témoignage qu’en rédigeant l’</w:t>
      </w:r>
      <w:r w:rsidR="000A45E8" w:rsidRPr="009C6218">
        <w:rPr>
          <w:lang w:val="fr-CA"/>
        </w:rPr>
        <w:t>A</w:t>
      </w:r>
      <w:r w:rsidRPr="009C6218">
        <w:rPr>
          <w:lang w:val="fr-CA"/>
        </w:rPr>
        <w:t>rticle, elle a avait agi avec altruisme afin d’encourager la mise en place de changements au nom de tous ses collègues. Elle a expliqué que « j’avais pratiquement tout à perdre. Je ne l’ai pas fait pour moi-même. » Dans son contre-interrogatoire, elle s’est exprimée plus familièrement en disant qu’en écrivant l’</w:t>
      </w:r>
      <w:r w:rsidR="000A45E8" w:rsidRPr="009C6218">
        <w:rPr>
          <w:lang w:val="fr-CA"/>
        </w:rPr>
        <w:t>A</w:t>
      </w:r>
      <w:r w:rsidR="004903CD" w:rsidRPr="009C6218">
        <w:rPr>
          <w:lang w:val="fr-CA"/>
        </w:rPr>
        <w:t>rticle</w:t>
      </w:r>
      <w:r w:rsidRPr="009C6218">
        <w:rPr>
          <w:lang w:val="fr-CA"/>
        </w:rPr>
        <w:t>, elle « était prête à se sacrifier pour l’équipe à ce sujet »</w:t>
      </w:r>
      <w:r w:rsidR="004903CD" w:rsidRPr="009C6218">
        <w:rPr>
          <w:rStyle w:val="FootnoteReference"/>
          <w:lang w:val="fr-CA"/>
        </w:rPr>
        <w:footnoteReference w:id="116"/>
      </w:r>
      <w:r w:rsidRPr="009C6218">
        <w:rPr>
          <w:lang w:val="fr-CA"/>
        </w:rPr>
        <w:t>.</w:t>
      </w:r>
    </w:p>
    <w:p w14:paraId="4F4794C6" w14:textId="136D675E" w:rsidR="004903CD" w:rsidRPr="009C6218" w:rsidRDefault="003059E1" w:rsidP="001E0B04">
      <w:pPr>
        <w:numPr>
          <w:ilvl w:val="0"/>
          <w:numId w:val="1"/>
        </w:numPr>
        <w:spacing w:after="200" w:line="276" w:lineRule="auto"/>
        <w:ind w:left="567" w:hanging="567"/>
        <w:rPr>
          <w:lang w:val="fr-CA"/>
        </w:rPr>
      </w:pPr>
      <w:r w:rsidRPr="009C6218">
        <w:rPr>
          <w:lang w:val="fr-CA"/>
        </w:rPr>
        <w:t xml:space="preserve">Même si le comité d’audition acceptait, sans prendre de décision, que la conduite de la juge de paix était uniquement motivée par de bonnes intentions, qu’elle croyait que l’Article allait entraîner des changements positifs dans le système de mise en liberté sous caution, nous ne pouvons pas trancher la question devant nous en nous fondant seulement sur de bonnes intentions. Comme il est précisé dans la décision </w:t>
      </w:r>
      <w:r w:rsidR="001F3594" w:rsidRPr="009C6218">
        <w:rPr>
          <w:i/>
          <w:lang w:val="fr-CA"/>
        </w:rPr>
        <w:t xml:space="preserve">Re </w:t>
      </w:r>
      <w:proofErr w:type="spellStart"/>
      <w:r w:rsidR="001F3594" w:rsidRPr="009C6218">
        <w:rPr>
          <w:i/>
          <w:lang w:val="fr-CA"/>
        </w:rPr>
        <w:t>McLeod</w:t>
      </w:r>
      <w:proofErr w:type="spellEnd"/>
      <w:r w:rsidR="001F3594" w:rsidRPr="009C6218">
        <w:rPr>
          <w:lang w:val="fr-CA"/>
        </w:rPr>
        <w:t xml:space="preserve">, </w:t>
      </w:r>
      <w:r w:rsidRPr="009C6218">
        <w:rPr>
          <w:lang w:val="fr-CA"/>
        </w:rPr>
        <w:t xml:space="preserve">les actes de la juge de paix </w:t>
      </w:r>
      <w:r w:rsidR="001F3594" w:rsidRPr="009C6218">
        <w:rPr>
          <w:lang w:val="fr-CA"/>
        </w:rPr>
        <w:t>Lauzon</w:t>
      </w:r>
      <w:r w:rsidRPr="009C6218">
        <w:rPr>
          <w:lang w:val="fr-CA"/>
        </w:rPr>
        <w:t xml:space="preserve"> doivent être examinés à la lumière d’une norme de conduite objective</w:t>
      </w:r>
      <w:r w:rsidR="005D40C4" w:rsidRPr="009C6218">
        <w:rPr>
          <w:lang w:val="fr-CA"/>
        </w:rPr>
        <w:t xml:space="preserve"> qui est</w:t>
      </w:r>
      <w:r w:rsidRPr="009C6218">
        <w:rPr>
          <w:lang w:val="fr-CA"/>
        </w:rPr>
        <w:t xml:space="preserve"> attendue des officiers de justice</w:t>
      </w:r>
      <w:r w:rsidR="004903CD" w:rsidRPr="009C6218">
        <w:rPr>
          <w:rStyle w:val="FootnoteReference"/>
          <w:lang w:val="fr-CA"/>
        </w:rPr>
        <w:footnoteReference w:id="117"/>
      </w:r>
      <w:r w:rsidRPr="009C6218">
        <w:rPr>
          <w:lang w:val="fr-CA"/>
        </w:rPr>
        <w:t>. Le comité d’audition doit aussi tenir compte de l’impact de la conduite de la juge de paix sur la confiance du public envers la magistrature en général</w:t>
      </w:r>
      <w:r w:rsidR="00700D1A" w:rsidRPr="009C6218">
        <w:rPr>
          <w:lang w:val="fr-CA"/>
        </w:rPr>
        <w:t xml:space="preserve">. </w:t>
      </w:r>
    </w:p>
    <w:p w14:paraId="680DD040" w14:textId="67B4AEB4" w:rsidR="00AF7E73" w:rsidRPr="009C6218" w:rsidRDefault="005D40C4" w:rsidP="00F24A43">
      <w:pPr>
        <w:numPr>
          <w:ilvl w:val="0"/>
          <w:numId w:val="1"/>
        </w:numPr>
        <w:spacing w:after="200" w:line="276" w:lineRule="auto"/>
        <w:ind w:left="567" w:hanging="567"/>
        <w:rPr>
          <w:b/>
          <w:lang w:val="fr-CA"/>
        </w:rPr>
      </w:pPr>
      <w:r w:rsidRPr="009C6218">
        <w:rPr>
          <w:lang w:val="fr-CA"/>
        </w:rPr>
        <w:t xml:space="preserve">L’avocat de la juge de paix a renvoyé à l’article de la juge </w:t>
      </w:r>
      <w:r w:rsidR="00AF7E73" w:rsidRPr="009C6218">
        <w:rPr>
          <w:lang w:val="fr-CA"/>
        </w:rPr>
        <w:t>Abella</w:t>
      </w:r>
      <w:r w:rsidRPr="009C6218">
        <w:rPr>
          <w:lang w:val="fr-CA"/>
        </w:rPr>
        <w:t>, intitulé « </w:t>
      </w:r>
      <w:proofErr w:type="spellStart"/>
      <w:r w:rsidR="00AF7E73" w:rsidRPr="009C6218">
        <w:rPr>
          <w:lang w:val="fr-CA"/>
        </w:rPr>
        <w:t>Democracy</w:t>
      </w:r>
      <w:proofErr w:type="spellEnd"/>
      <w:r w:rsidR="00AF7E73" w:rsidRPr="009C6218">
        <w:rPr>
          <w:lang w:val="fr-CA"/>
        </w:rPr>
        <w:t xml:space="preserve"> </w:t>
      </w:r>
      <w:proofErr w:type="spellStart"/>
      <w:r w:rsidR="00AF7E73" w:rsidRPr="009C6218">
        <w:rPr>
          <w:lang w:val="fr-CA"/>
        </w:rPr>
        <w:t>Needs</w:t>
      </w:r>
      <w:proofErr w:type="spellEnd"/>
      <w:r w:rsidR="00AF7E73" w:rsidRPr="009C6218">
        <w:rPr>
          <w:lang w:val="fr-CA"/>
        </w:rPr>
        <w:t xml:space="preserve"> an Independent </w:t>
      </w:r>
      <w:proofErr w:type="spellStart"/>
      <w:r w:rsidR="00AF7E73" w:rsidRPr="009C6218">
        <w:rPr>
          <w:lang w:val="fr-CA"/>
        </w:rPr>
        <w:t>Judiciary</w:t>
      </w:r>
      <w:proofErr w:type="spellEnd"/>
      <w:r w:rsidRPr="009C6218">
        <w:rPr>
          <w:lang w:val="fr-CA"/>
        </w:rPr>
        <w:t xml:space="preserve"> » pour souligner l’importance de l’indépendance judiciaire. L’avocat a plaidé que la juge de paix </w:t>
      </w:r>
      <w:r w:rsidR="00AF7E73" w:rsidRPr="009C6218">
        <w:rPr>
          <w:lang w:val="fr-CA"/>
        </w:rPr>
        <w:t xml:space="preserve">Lauzon </w:t>
      </w:r>
      <w:r w:rsidRPr="009C6218">
        <w:rPr>
          <w:lang w:val="fr-CA"/>
        </w:rPr>
        <w:t>estimait que la conduite des procureurs, telle que décrite dans l’</w:t>
      </w:r>
      <w:r w:rsidR="000A45E8" w:rsidRPr="009C6218">
        <w:rPr>
          <w:lang w:val="fr-CA"/>
        </w:rPr>
        <w:t>A</w:t>
      </w:r>
      <w:r w:rsidR="000354A6" w:rsidRPr="009C6218">
        <w:rPr>
          <w:lang w:val="fr-CA"/>
        </w:rPr>
        <w:t>rticle,</w:t>
      </w:r>
      <w:r w:rsidR="00AF7E73" w:rsidRPr="009C6218">
        <w:rPr>
          <w:lang w:val="fr-CA"/>
        </w:rPr>
        <w:t xml:space="preserve"> </w:t>
      </w:r>
      <w:r w:rsidRPr="009C6218">
        <w:rPr>
          <w:lang w:val="fr-CA"/>
        </w:rPr>
        <w:t xml:space="preserve">avait miné son indépendance judiciaire. Nous sommes d’accord que l’indépendance judiciaire est essentielle au bon fonctionnement de la magistrature. Cependant, la juge </w:t>
      </w:r>
      <w:r w:rsidR="000354A6" w:rsidRPr="009C6218">
        <w:rPr>
          <w:lang w:val="fr-CA"/>
        </w:rPr>
        <w:t xml:space="preserve">Abella </w:t>
      </w:r>
      <w:r w:rsidRPr="009C6218">
        <w:rPr>
          <w:lang w:val="fr-CA"/>
        </w:rPr>
        <w:t xml:space="preserve">a aussi souligné que l’une des menaces </w:t>
      </w:r>
      <w:r w:rsidR="006373FB">
        <w:rPr>
          <w:lang w:val="fr-CA"/>
        </w:rPr>
        <w:t>à</w:t>
      </w:r>
      <w:r w:rsidRPr="009C6218">
        <w:rPr>
          <w:lang w:val="fr-CA"/>
        </w:rPr>
        <w:t xml:space="preserve"> l’indépendance de la magistrature était la perte de confiance du public envers l’intégrité du tribunal</w:t>
      </w:r>
      <w:r w:rsidR="00AF7E73" w:rsidRPr="009C6218">
        <w:rPr>
          <w:rStyle w:val="FootnoteReference"/>
          <w:lang w:val="fr-CA"/>
        </w:rPr>
        <w:footnoteReference w:id="118"/>
      </w:r>
      <w:r w:rsidRPr="009C6218">
        <w:rPr>
          <w:lang w:val="fr-CA"/>
        </w:rPr>
        <w:t>.</w:t>
      </w:r>
    </w:p>
    <w:p w14:paraId="0A001E3E" w14:textId="4281F24A" w:rsidR="0060581C" w:rsidRPr="009C6218" w:rsidRDefault="002A1ED3" w:rsidP="00F24A43">
      <w:pPr>
        <w:numPr>
          <w:ilvl w:val="0"/>
          <w:numId w:val="1"/>
        </w:numPr>
        <w:spacing w:after="200" w:line="276" w:lineRule="auto"/>
        <w:ind w:left="567" w:hanging="567"/>
        <w:rPr>
          <w:lang w:val="fr-CA"/>
        </w:rPr>
      </w:pPr>
      <w:r w:rsidRPr="009C6218">
        <w:rPr>
          <w:lang w:val="fr-CA"/>
        </w:rPr>
        <w:t xml:space="preserve"> </w:t>
      </w:r>
      <w:r w:rsidR="005D40C4" w:rsidRPr="009C6218">
        <w:rPr>
          <w:lang w:val="fr-CA"/>
        </w:rPr>
        <w:t>Si, en rédigeant l’Article, la juge de paix était motivée en partie par le besoin de défendre l’indépendance judiciaire, nous pensons qu’elle s’est complètement fourvoyée</w:t>
      </w:r>
      <w:r w:rsidR="0060581C" w:rsidRPr="009C6218">
        <w:rPr>
          <w:lang w:val="fr-CA"/>
        </w:rPr>
        <w:t xml:space="preserve">. </w:t>
      </w:r>
      <w:r w:rsidR="005D40C4" w:rsidRPr="009C6218">
        <w:rPr>
          <w:lang w:val="fr-CA"/>
        </w:rPr>
        <w:t xml:space="preserve">Le ton et le </w:t>
      </w:r>
      <w:r w:rsidR="00EA10C3" w:rsidRPr="009C6218">
        <w:rPr>
          <w:lang w:val="fr-CA"/>
        </w:rPr>
        <w:t>style</w:t>
      </w:r>
      <w:r w:rsidR="005D40C4" w:rsidRPr="009C6218">
        <w:rPr>
          <w:lang w:val="fr-CA"/>
        </w:rPr>
        <w:t xml:space="preserve"> de l’Article </w:t>
      </w:r>
      <w:r w:rsidR="00EA10C3" w:rsidRPr="009C6218">
        <w:rPr>
          <w:lang w:val="fr-CA"/>
        </w:rPr>
        <w:t>ont en réalité compromis l’indépendance judiciaire, car ils ont érodé la confiance du public dans l’intégrité de la magistrature</w:t>
      </w:r>
      <w:r w:rsidR="0060581C" w:rsidRPr="009C6218">
        <w:rPr>
          <w:lang w:val="fr-CA"/>
        </w:rPr>
        <w:t xml:space="preserve">.  </w:t>
      </w:r>
    </w:p>
    <w:p w14:paraId="7BD63C70" w14:textId="2C7F56B6" w:rsidR="00DC37B3" w:rsidRPr="009C6218" w:rsidRDefault="00F67F03" w:rsidP="00BE6325">
      <w:pPr>
        <w:pStyle w:val="Heading2"/>
        <w:rPr>
          <w:lang w:val="fr-CA"/>
        </w:rPr>
      </w:pPr>
      <w:bookmarkStart w:id="59" w:name="_Toc42946564"/>
      <w:r w:rsidRPr="009C6218">
        <w:rPr>
          <w:lang w:val="fr-CA"/>
        </w:rPr>
        <w:t xml:space="preserve">Conclusion </w:t>
      </w:r>
      <w:r w:rsidR="00EA10C3" w:rsidRPr="009C6218">
        <w:rPr>
          <w:lang w:val="fr-CA"/>
        </w:rPr>
        <w:t>au sujet de l’inconduite</w:t>
      </w:r>
      <w:r w:rsidR="00DC37B3" w:rsidRPr="009C6218">
        <w:rPr>
          <w:lang w:val="fr-CA"/>
        </w:rPr>
        <w:t>.</w:t>
      </w:r>
      <w:bookmarkEnd w:id="59"/>
    </w:p>
    <w:p w14:paraId="4E7F11AF" w14:textId="7BB67599" w:rsidR="00DC37B3" w:rsidRPr="009C6218" w:rsidRDefault="000F0FD2" w:rsidP="00DC37B3">
      <w:pPr>
        <w:numPr>
          <w:ilvl w:val="0"/>
          <w:numId w:val="1"/>
        </w:numPr>
        <w:spacing w:after="200" w:line="276" w:lineRule="auto"/>
        <w:ind w:left="567" w:hanging="567"/>
        <w:rPr>
          <w:lang w:val="fr-CA"/>
        </w:rPr>
      </w:pPr>
      <w:r w:rsidRPr="009C6218">
        <w:rPr>
          <w:lang w:val="fr-CA"/>
        </w:rPr>
        <w:t xml:space="preserve">Selon la totalité des éléments de preuve produits devant nous, nous sommes convaincus que la juge de paix </w:t>
      </w:r>
      <w:r w:rsidR="00DC37B3" w:rsidRPr="009C6218">
        <w:rPr>
          <w:lang w:val="fr-CA"/>
        </w:rPr>
        <w:t xml:space="preserve">Julie Lauzon </w:t>
      </w:r>
      <w:r w:rsidRPr="009C6218">
        <w:rPr>
          <w:lang w:val="fr-CA"/>
        </w:rPr>
        <w:t>a commis une inconduite en faisant publier l’Article intitulé « </w:t>
      </w:r>
      <w:proofErr w:type="spellStart"/>
      <w:r w:rsidR="00DC37B3" w:rsidRPr="009C6218">
        <w:rPr>
          <w:lang w:val="fr-CA"/>
        </w:rPr>
        <w:t>When</w:t>
      </w:r>
      <w:proofErr w:type="spellEnd"/>
      <w:r w:rsidR="00DC37B3" w:rsidRPr="009C6218">
        <w:rPr>
          <w:lang w:val="fr-CA"/>
        </w:rPr>
        <w:t xml:space="preserve"> bail courts </w:t>
      </w:r>
      <w:proofErr w:type="spellStart"/>
      <w:r w:rsidR="00DC37B3" w:rsidRPr="009C6218">
        <w:rPr>
          <w:lang w:val="fr-CA"/>
        </w:rPr>
        <w:t>don’t</w:t>
      </w:r>
      <w:proofErr w:type="spellEnd"/>
      <w:r w:rsidR="00DC37B3" w:rsidRPr="009C6218">
        <w:rPr>
          <w:lang w:val="fr-CA"/>
        </w:rPr>
        <w:t xml:space="preserve"> follow the </w:t>
      </w:r>
      <w:proofErr w:type="spellStart"/>
      <w:r w:rsidR="00DC37B3" w:rsidRPr="009C6218">
        <w:rPr>
          <w:lang w:val="fr-CA"/>
        </w:rPr>
        <w:t>law</w:t>
      </w:r>
      <w:proofErr w:type="spellEnd"/>
      <w:r w:rsidRPr="009C6218">
        <w:rPr>
          <w:lang w:val="fr-CA"/>
        </w:rPr>
        <w:t> »</w:t>
      </w:r>
      <w:r w:rsidR="002D15C4" w:rsidRPr="009C6218">
        <w:rPr>
          <w:lang w:val="fr-CA"/>
        </w:rPr>
        <w:t>.</w:t>
      </w:r>
    </w:p>
    <w:p w14:paraId="476BCA26" w14:textId="745D6FDA" w:rsidR="00DC37B3" w:rsidRPr="009C6218" w:rsidRDefault="000F0FD2" w:rsidP="00DC37B3">
      <w:pPr>
        <w:numPr>
          <w:ilvl w:val="0"/>
          <w:numId w:val="1"/>
        </w:numPr>
        <w:spacing w:after="200" w:line="276" w:lineRule="auto"/>
        <w:ind w:left="567" w:hanging="567"/>
        <w:rPr>
          <w:lang w:val="fr-CA"/>
        </w:rPr>
      </w:pPr>
      <w:r w:rsidRPr="009C6218">
        <w:rPr>
          <w:lang w:val="fr-CA"/>
        </w:rPr>
        <w:t>Nous sommes d’avis qu’en rédigeant l’</w:t>
      </w:r>
      <w:r w:rsidR="00DC37B3" w:rsidRPr="009C6218">
        <w:rPr>
          <w:lang w:val="fr-CA"/>
        </w:rPr>
        <w:t xml:space="preserve">Article </w:t>
      </w:r>
      <w:r w:rsidRPr="009C6218">
        <w:rPr>
          <w:lang w:val="fr-CA"/>
        </w:rPr>
        <w:t xml:space="preserve">de la manière dont elle l’a fait, la juge de paix n’a pas tenu compte des obligations déontologiques qui lui incombaient à </w:t>
      </w:r>
      <w:r w:rsidRPr="009C6218">
        <w:rPr>
          <w:lang w:val="fr-CA"/>
        </w:rPr>
        <w:lastRenderedPageBreak/>
        <w:t xml:space="preserve">titre d’officier de justice, à savoir : demeurer, et donner l’apparence d’être, impartial et objectif, se conduire d’une manière qui renforce l’intégrité de sa charge, et préserver la confiance envers la magistrature et l’administration de la justice. </w:t>
      </w:r>
    </w:p>
    <w:p w14:paraId="2612CE53" w14:textId="3E5A6B75" w:rsidR="008D1823" w:rsidRPr="009C6218" w:rsidRDefault="000F0FD2" w:rsidP="00F24A43">
      <w:pPr>
        <w:numPr>
          <w:ilvl w:val="0"/>
          <w:numId w:val="1"/>
        </w:numPr>
        <w:spacing w:after="200" w:line="276" w:lineRule="auto"/>
        <w:ind w:left="567" w:hanging="567"/>
        <w:rPr>
          <w:lang w:val="fr-CA"/>
        </w:rPr>
      </w:pPr>
      <w:r w:rsidRPr="009C6218">
        <w:rPr>
          <w:lang w:val="fr-CA"/>
        </w:rPr>
        <w:t xml:space="preserve">Les éléments de preuve à l’appui de notre conclusion d’inconduite </w:t>
      </w:r>
      <w:r w:rsidR="006373FB">
        <w:rPr>
          <w:lang w:val="fr-CA"/>
        </w:rPr>
        <w:t xml:space="preserve">ont rempli et dépassé le critère que la preuve soit </w:t>
      </w:r>
      <w:r w:rsidRPr="009C6218">
        <w:rPr>
          <w:lang w:val="fr-CA"/>
        </w:rPr>
        <w:t xml:space="preserve">claire et convaincante. Pour arriver à notre conclusion, nous avons tenu compte de tous les facteurs énoncés par la Cour d’appel du Québec dans la décision </w:t>
      </w:r>
      <w:proofErr w:type="spellStart"/>
      <w:r w:rsidR="008D1823" w:rsidRPr="009C6218">
        <w:rPr>
          <w:i/>
          <w:lang w:val="fr-CA"/>
        </w:rPr>
        <w:t>Ruffo</w:t>
      </w:r>
      <w:proofErr w:type="spellEnd"/>
      <w:r w:rsidR="008D1823" w:rsidRPr="009C6218">
        <w:rPr>
          <w:i/>
          <w:lang w:val="fr-CA"/>
        </w:rPr>
        <w:t xml:space="preserve"> </w:t>
      </w:r>
      <w:r w:rsidR="008D1823" w:rsidRPr="009C6218">
        <w:rPr>
          <w:lang w:val="fr-CA"/>
        </w:rPr>
        <w:t>(2005),</w:t>
      </w:r>
      <w:r w:rsidR="008D1823" w:rsidRPr="009C6218">
        <w:rPr>
          <w:i/>
          <w:lang w:val="fr-CA"/>
        </w:rPr>
        <w:t xml:space="preserve"> </w:t>
      </w:r>
      <w:r w:rsidRPr="009C6218">
        <w:rPr>
          <w:lang w:val="fr-CA"/>
        </w:rPr>
        <w:t xml:space="preserve">dont le forum choisi pour diffuser l’Article et le style de l’Article. Nous avons également appliqué le critère de l’inconduite judiciaire décrit dans la décision </w:t>
      </w:r>
      <w:r w:rsidR="008D1823" w:rsidRPr="009C6218">
        <w:rPr>
          <w:i/>
          <w:lang w:val="fr-CA"/>
        </w:rPr>
        <w:t xml:space="preserve">Re </w:t>
      </w:r>
      <w:proofErr w:type="spellStart"/>
      <w:r w:rsidR="008D1823" w:rsidRPr="009C6218">
        <w:rPr>
          <w:i/>
          <w:lang w:val="fr-CA"/>
        </w:rPr>
        <w:t>McLeod</w:t>
      </w:r>
      <w:proofErr w:type="spellEnd"/>
      <w:r w:rsidR="008D1823" w:rsidRPr="009C6218">
        <w:rPr>
          <w:i/>
          <w:lang w:val="fr-CA"/>
        </w:rPr>
        <w:t>.</w:t>
      </w:r>
    </w:p>
    <w:p w14:paraId="650B5244" w14:textId="1FE19EB4" w:rsidR="00F4676A" w:rsidRPr="009C6218" w:rsidRDefault="000F0FD2" w:rsidP="00F24A43">
      <w:pPr>
        <w:numPr>
          <w:ilvl w:val="0"/>
          <w:numId w:val="1"/>
        </w:numPr>
        <w:spacing w:after="200" w:line="276" w:lineRule="auto"/>
        <w:ind w:left="567" w:hanging="567"/>
        <w:rPr>
          <w:lang w:val="fr-CA"/>
        </w:rPr>
      </w:pPr>
      <w:r w:rsidRPr="009C6218">
        <w:rPr>
          <w:lang w:val="fr-CA"/>
        </w:rPr>
        <w:t>À notre avis, le ton global de l’</w:t>
      </w:r>
      <w:r w:rsidR="002E7342" w:rsidRPr="009C6218">
        <w:rPr>
          <w:lang w:val="fr-CA"/>
        </w:rPr>
        <w:t>A</w:t>
      </w:r>
      <w:r w:rsidR="00F4676A" w:rsidRPr="009C6218">
        <w:rPr>
          <w:lang w:val="fr-CA"/>
        </w:rPr>
        <w:t>rticle</w:t>
      </w:r>
      <w:r w:rsidR="008F1773" w:rsidRPr="009C6218">
        <w:rPr>
          <w:lang w:val="fr-CA"/>
        </w:rPr>
        <w:t xml:space="preserve"> donnait l’apparence d’une attaque personnelle</w:t>
      </w:r>
      <w:r w:rsidR="006373FB" w:rsidRPr="006373FB">
        <w:rPr>
          <w:lang w:val="fr-CA"/>
        </w:rPr>
        <w:t xml:space="preserve"> </w:t>
      </w:r>
      <w:r w:rsidR="006373FB" w:rsidRPr="009C6218">
        <w:rPr>
          <w:lang w:val="fr-CA"/>
        </w:rPr>
        <w:t>contre des procureurs</w:t>
      </w:r>
      <w:r w:rsidR="006B68F5" w:rsidRPr="009C6218">
        <w:rPr>
          <w:lang w:val="fr-CA"/>
        </w:rPr>
        <w:t>,</w:t>
      </w:r>
      <w:r w:rsidR="008F1773" w:rsidRPr="009C6218">
        <w:rPr>
          <w:lang w:val="fr-CA"/>
        </w:rPr>
        <w:t xml:space="preserve"> en représailles</w:t>
      </w:r>
      <w:r w:rsidR="006B68F5" w:rsidRPr="009C6218">
        <w:rPr>
          <w:lang w:val="fr-CA"/>
        </w:rPr>
        <w:t xml:space="preserve">, </w:t>
      </w:r>
      <w:r w:rsidR="00820B19" w:rsidRPr="009C6218">
        <w:rPr>
          <w:lang w:val="fr-CA"/>
        </w:rPr>
        <w:t>au lieu d’une critique sérieuse, réfléchie et civile du système de mise en liberté sou</w:t>
      </w:r>
      <w:r w:rsidR="006B68F5" w:rsidRPr="009C6218">
        <w:rPr>
          <w:lang w:val="fr-CA"/>
        </w:rPr>
        <w:t>s</w:t>
      </w:r>
      <w:r w:rsidR="00820B19" w:rsidRPr="009C6218">
        <w:rPr>
          <w:lang w:val="fr-CA"/>
        </w:rPr>
        <w:t xml:space="preserve"> caution </w:t>
      </w:r>
      <w:r w:rsidR="006B68F5" w:rsidRPr="009C6218">
        <w:rPr>
          <w:lang w:val="fr-CA"/>
        </w:rPr>
        <w:t>et de l’importance de l’indépendance judiciaire</w:t>
      </w:r>
      <w:r w:rsidR="00F4676A" w:rsidRPr="009C6218">
        <w:rPr>
          <w:rStyle w:val="FootnoteReference"/>
          <w:lang w:val="fr-CA"/>
        </w:rPr>
        <w:footnoteReference w:id="119"/>
      </w:r>
      <w:r w:rsidR="006B68F5" w:rsidRPr="009C6218">
        <w:rPr>
          <w:lang w:val="fr-CA"/>
        </w:rPr>
        <w:t>.</w:t>
      </w:r>
      <w:r w:rsidR="00F4676A" w:rsidRPr="009C6218">
        <w:rPr>
          <w:lang w:val="fr-CA"/>
        </w:rPr>
        <w:t xml:space="preserve"> </w:t>
      </w:r>
      <w:r w:rsidR="006373FB">
        <w:rPr>
          <w:lang w:val="fr-CA"/>
        </w:rPr>
        <w:t xml:space="preserve"> </w:t>
      </w:r>
    </w:p>
    <w:p w14:paraId="7BFBDC1D" w14:textId="26EB7FE5" w:rsidR="00FE49D7" w:rsidRPr="009C6218" w:rsidRDefault="006B68F5" w:rsidP="00F24A43">
      <w:pPr>
        <w:numPr>
          <w:ilvl w:val="0"/>
          <w:numId w:val="1"/>
        </w:numPr>
        <w:spacing w:after="200" w:line="276" w:lineRule="auto"/>
        <w:ind w:left="567" w:hanging="567"/>
        <w:rPr>
          <w:lang w:val="fr-CA"/>
        </w:rPr>
      </w:pPr>
      <w:r w:rsidRPr="009C6218">
        <w:rPr>
          <w:lang w:val="fr-CA"/>
        </w:rPr>
        <w:t>L’A</w:t>
      </w:r>
      <w:r w:rsidR="00B23AB1" w:rsidRPr="009C6218">
        <w:rPr>
          <w:lang w:val="fr-CA"/>
        </w:rPr>
        <w:t>rticle</w:t>
      </w:r>
      <w:r w:rsidR="00FE49D7" w:rsidRPr="009C6218">
        <w:rPr>
          <w:lang w:val="fr-CA"/>
        </w:rPr>
        <w:t xml:space="preserve"> </w:t>
      </w:r>
      <w:r w:rsidRPr="009C6218">
        <w:rPr>
          <w:lang w:val="fr-CA"/>
        </w:rPr>
        <w:t>n’a pas répondu à l’attente raisonnable du public que les officiers de justice s’expriment d’une manière équilibrée, mesurée, en faisant preuve d’une retenue empreinte de dignité et dans le respect d’une norme très élevée en matière d’intégrité et de professionnalisme</w:t>
      </w:r>
      <w:r w:rsidR="00FE49D7" w:rsidRPr="009C6218">
        <w:rPr>
          <w:lang w:val="fr-CA"/>
        </w:rPr>
        <w:t>.</w:t>
      </w:r>
    </w:p>
    <w:p w14:paraId="1C284596" w14:textId="1073BEBA" w:rsidR="000751D4" w:rsidRPr="009C6218" w:rsidRDefault="006B68F5" w:rsidP="00854807">
      <w:pPr>
        <w:numPr>
          <w:ilvl w:val="0"/>
          <w:numId w:val="1"/>
        </w:numPr>
        <w:spacing w:after="200" w:line="276" w:lineRule="auto"/>
        <w:ind w:left="567" w:hanging="567"/>
        <w:rPr>
          <w:lang w:val="fr-CA"/>
        </w:rPr>
      </w:pPr>
      <w:r w:rsidRPr="009C6218">
        <w:rPr>
          <w:lang w:val="fr-CA"/>
        </w:rPr>
        <w:t xml:space="preserve">Le comité d’audition juge que </w:t>
      </w:r>
      <w:r w:rsidR="006373FB">
        <w:rPr>
          <w:lang w:val="fr-CA"/>
        </w:rPr>
        <w:t xml:space="preserve">le </w:t>
      </w:r>
      <w:r w:rsidRPr="009C6218">
        <w:rPr>
          <w:lang w:val="fr-CA"/>
        </w:rPr>
        <w:t>témoignage de la juge de paix, sur de nombreux aspects, est difficile à interpréter</w:t>
      </w:r>
      <w:r w:rsidR="006373FB">
        <w:rPr>
          <w:lang w:val="fr-CA"/>
        </w:rPr>
        <w:t>, e</w:t>
      </w:r>
      <w:r w:rsidRPr="009C6218">
        <w:rPr>
          <w:lang w:val="fr-CA"/>
        </w:rPr>
        <w:t>n particulier, son témoignage sur sa compréhension de ses obligations d’officier de justice lorsqu’elle s’exprime en public. D’un côté elle soutient qu’elle n’était pas particulièrement tenue de faire preuve de retenue en écrivant l’Article, car il ne s’agissait pas d’une décision judiciaire. On peut en conclure que sa compréhension de son rôle et de ses devoirs à titre d’officier de justice se limite à la salle d’audience et qu</w:t>
      </w:r>
      <w:r w:rsidR="00044721" w:rsidRPr="009C6218">
        <w:rPr>
          <w:lang w:val="fr-CA"/>
        </w:rPr>
        <w:t>’elle estime que</w:t>
      </w:r>
      <w:r w:rsidRPr="009C6218">
        <w:rPr>
          <w:lang w:val="fr-CA"/>
        </w:rPr>
        <w:t xml:space="preserve"> ses devoi</w:t>
      </w:r>
      <w:r w:rsidR="00044721" w:rsidRPr="009C6218">
        <w:rPr>
          <w:lang w:val="fr-CA"/>
        </w:rPr>
        <w:t>r</w:t>
      </w:r>
      <w:r w:rsidRPr="009C6218">
        <w:rPr>
          <w:lang w:val="fr-CA"/>
        </w:rPr>
        <w:t xml:space="preserve">s n’englobent pas ses interactions hors du tribunal, comme l’expression de ses opinions au sujet </w:t>
      </w:r>
      <w:r w:rsidR="00044721" w:rsidRPr="009C6218">
        <w:rPr>
          <w:lang w:val="fr-CA"/>
        </w:rPr>
        <w:t>du tribunal dans un article à faire paraître dans un journal. D’un autre côté, elle a également affirmé qu’en envoyant son Article au journal, elle savait qu’elle allait proba</w:t>
      </w:r>
      <w:r w:rsidR="00776713">
        <w:rPr>
          <w:lang w:val="fr-CA"/>
        </w:rPr>
        <w:t>b</w:t>
      </w:r>
      <w:r w:rsidR="00044721" w:rsidRPr="009C6218">
        <w:rPr>
          <w:lang w:val="fr-CA"/>
        </w:rPr>
        <w:t>lement être convoquée devant notre comité d’audition</w:t>
      </w:r>
      <w:r w:rsidR="004C19C3" w:rsidRPr="009C6218">
        <w:rPr>
          <w:lang w:val="fr-CA"/>
        </w:rPr>
        <w:t>,</w:t>
      </w:r>
      <w:r w:rsidR="00044721" w:rsidRPr="009C6218">
        <w:rPr>
          <w:lang w:val="fr-CA"/>
        </w:rPr>
        <w:t xml:space="preserve"> mais qu’elle a néanmoins pris la décision de « se sacrifier pour l’équipe à ce sujet »</w:t>
      </w:r>
      <w:r w:rsidR="00312266" w:rsidRPr="009C6218">
        <w:rPr>
          <w:lang w:val="fr-CA"/>
        </w:rPr>
        <w:t>.</w:t>
      </w:r>
      <w:r w:rsidR="004C19C3" w:rsidRPr="009C6218">
        <w:rPr>
          <w:lang w:val="fr-CA"/>
        </w:rPr>
        <w:t xml:space="preserve"> </w:t>
      </w:r>
      <w:r w:rsidR="00044721" w:rsidRPr="009C6218">
        <w:rPr>
          <w:lang w:val="fr-CA"/>
        </w:rPr>
        <w:t>Cela suggère qu’elle a compris que ses devoirs s’étendaient hors de la salle d’audience et que l’Article n’était pas à la hauteur de la norme de conduite attendue des officiers de justice</w:t>
      </w:r>
      <w:r w:rsidR="00C200BB" w:rsidRPr="009C6218">
        <w:rPr>
          <w:rStyle w:val="FootnoteReference"/>
          <w:lang w:val="fr-CA"/>
        </w:rPr>
        <w:footnoteReference w:id="120"/>
      </w:r>
      <w:r w:rsidR="00044721" w:rsidRPr="009C6218">
        <w:rPr>
          <w:lang w:val="fr-CA"/>
        </w:rPr>
        <w:t>.</w:t>
      </w:r>
      <w:r w:rsidR="000751D4" w:rsidRPr="009C6218">
        <w:rPr>
          <w:lang w:val="fr-CA"/>
        </w:rPr>
        <w:t xml:space="preserve"> </w:t>
      </w:r>
    </w:p>
    <w:p w14:paraId="273D6EBC" w14:textId="436897B3" w:rsidR="003D2343" w:rsidRPr="009C6218" w:rsidRDefault="00044721" w:rsidP="00CD15EC">
      <w:pPr>
        <w:numPr>
          <w:ilvl w:val="0"/>
          <w:numId w:val="1"/>
        </w:numPr>
        <w:spacing w:after="200" w:line="276" w:lineRule="auto"/>
        <w:ind w:left="567" w:hanging="567"/>
        <w:rPr>
          <w:lang w:val="fr-CA"/>
        </w:rPr>
      </w:pPr>
      <w:r w:rsidRPr="009C6218">
        <w:rPr>
          <w:lang w:val="fr-CA"/>
        </w:rPr>
        <w:t>En conséquence, nous concluons que la conduite de la juge de paix ne peut pas être considérée comme une erreur momentanée de jugement ou une décision pris</w:t>
      </w:r>
      <w:r w:rsidR="001C4E86">
        <w:rPr>
          <w:lang w:val="fr-CA"/>
        </w:rPr>
        <w:t>e</w:t>
      </w:r>
      <w:r w:rsidRPr="009C6218">
        <w:rPr>
          <w:lang w:val="fr-CA"/>
        </w:rPr>
        <w:t xml:space="preserve"> </w:t>
      </w:r>
      <w:r w:rsidRPr="009C6218">
        <w:rPr>
          <w:lang w:val="fr-CA"/>
        </w:rPr>
        <w:lastRenderedPageBreak/>
        <w:t>hâtivement. Nous estimons aussi qu’elle a très bien compris qu’en s’exprimant comme elle l’a fait, elle ne se conformait pas à la norme élevée de conduite et de professionnelle exigée pour préserver l’impartialité et l’intégrité de la charge judiciaire. Elle a donc fait le choix réfléchi de s’éloigner des paramètres autorisés d’expression publique pour un magistrat.</w:t>
      </w:r>
    </w:p>
    <w:p w14:paraId="72308594" w14:textId="5CC2882F" w:rsidR="008D1823" w:rsidRPr="009C6218" w:rsidRDefault="00044721" w:rsidP="00F24A43">
      <w:pPr>
        <w:numPr>
          <w:ilvl w:val="0"/>
          <w:numId w:val="1"/>
        </w:numPr>
        <w:spacing w:after="200" w:line="276" w:lineRule="auto"/>
        <w:ind w:left="567" w:hanging="567"/>
        <w:rPr>
          <w:lang w:val="fr-CA"/>
        </w:rPr>
      </w:pPr>
      <w:bookmarkStart w:id="60" w:name="_Hlk39731894"/>
      <w:r w:rsidRPr="009C6218">
        <w:rPr>
          <w:lang w:val="fr-CA"/>
        </w:rPr>
        <w:t xml:space="preserve">Après avoir mesuré le droit à la liberté d’expression de la juge de paix par rapport aux devoirs d’un juge de paix, tels qu’énoncés dans les Principes de la charge judiciaire et dans la jurisprudence, nous jugeons que la juge de paix </w:t>
      </w:r>
      <w:bookmarkEnd w:id="60"/>
      <w:r w:rsidR="008D1823" w:rsidRPr="009C6218">
        <w:rPr>
          <w:lang w:val="fr-CA"/>
        </w:rPr>
        <w:t>Lauzon</w:t>
      </w:r>
      <w:r w:rsidRPr="009C6218">
        <w:rPr>
          <w:lang w:val="fr-CA"/>
        </w:rPr>
        <w:t xml:space="preserve"> a dépassé, de loin, les limites autorisées d’expression publique pour un officier de justice et qu’en le faisant elle a commis une inconduite judiciaire. </w:t>
      </w:r>
    </w:p>
    <w:p w14:paraId="07815BA9" w14:textId="64E328EB" w:rsidR="008D1823" w:rsidRPr="009C6218" w:rsidRDefault="00B37380" w:rsidP="00F24A43">
      <w:pPr>
        <w:numPr>
          <w:ilvl w:val="0"/>
          <w:numId w:val="1"/>
        </w:numPr>
        <w:spacing w:after="200" w:line="276" w:lineRule="auto"/>
        <w:ind w:left="567" w:hanging="567"/>
        <w:rPr>
          <w:lang w:val="fr-CA"/>
        </w:rPr>
      </w:pPr>
      <w:r w:rsidRPr="009C6218">
        <w:rPr>
          <w:lang w:val="fr-CA"/>
        </w:rPr>
        <w:t>Le comité d’audition trouve aussi que les questions soulevées dans l’Article et les plaintes à l’origine de l’instance en question ne représentent pas un</w:t>
      </w:r>
      <w:r w:rsidR="004B0698" w:rsidRPr="009C6218">
        <w:rPr>
          <w:lang w:val="fr-CA"/>
        </w:rPr>
        <w:t>e confrontation entre deux institutions : l’exécutif contre le judiciaire. D’après nous, l’</w:t>
      </w:r>
      <w:r w:rsidR="000A45E8" w:rsidRPr="009C6218">
        <w:rPr>
          <w:lang w:val="fr-CA"/>
        </w:rPr>
        <w:t>A</w:t>
      </w:r>
      <w:r w:rsidR="00CD00EB" w:rsidRPr="009C6218">
        <w:rPr>
          <w:lang w:val="fr-CA"/>
        </w:rPr>
        <w:t>rticle</w:t>
      </w:r>
      <w:r w:rsidR="00A91C69" w:rsidRPr="009C6218">
        <w:rPr>
          <w:lang w:val="fr-CA"/>
        </w:rPr>
        <w:t xml:space="preserve"> </w:t>
      </w:r>
      <w:r w:rsidR="004B0698" w:rsidRPr="009C6218">
        <w:rPr>
          <w:lang w:val="fr-CA"/>
        </w:rPr>
        <w:t xml:space="preserve">n’a pas eu pour effet de défendre l’indépendance judiciaire; au contraire, il a permis à la juge de paix d’exprimer en public ses opinions </w:t>
      </w:r>
      <w:r w:rsidR="001C4E86">
        <w:rPr>
          <w:lang w:val="fr-CA"/>
        </w:rPr>
        <w:t xml:space="preserve">personnelles </w:t>
      </w:r>
      <w:r w:rsidR="004B0698" w:rsidRPr="009C6218">
        <w:rPr>
          <w:lang w:val="fr-CA"/>
        </w:rPr>
        <w:t>et ses frustrations professionnelles</w:t>
      </w:r>
      <w:r w:rsidR="00CD00EB" w:rsidRPr="009C6218">
        <w:rPr>
          <w:lang w:val="fr-CA"/>
        </w:rPr>
        <w:t>.</w:t>
      </w:r>
      <w:r w:rsidR="00936B2D" w:rsidRPr="009C6218">
        <w:rPr>
          <w:lang w:val="fr-CA"/>
        </w:rPr>
        <w:t xml:space="preserve"> </w:t>
      </w:r>
    </w:p>
    <w:p w14:paraId="6D0E7CDA" w14:textId="26F32144" w:rsidR="00F820B2" w:rsidRPr="009C6218" w:rsidRDefault="004B0698" w:rsidP="00F24A43">
      <w:pPr>
        <w:numPr>
          <w:ilvl w:val="0"/>
          <w:numId w:val="1"/>
        </w:numPr>
        <w:spacing w:after="200" w:line="276" w:lineRule="auto"/>
        <w:ind w:left="567" w:hanging="567"/>
        <w:rPr>
          <w:lang w:val="fr-CA"/>
        </w:rPr>
      </w:pPr>
      <w:r w:rsidRPr="009C6218">
        <w:rPr>
          <w:lang w:val="fr-CA"/>
        </w:rPr>
        <w:t xml:space="preserve">Quel que soit son niveau de frustration, nous estimons que la juge de paix </w:t>
      </w:r>
      <w:r w:rsidR="000A6947" w:rsidRPr="009C6218">
        <w:rPr>
          <w:lang w:val="fr-CA"/>
        </w:rPr>
        <w:t>Lauzon</w:t>
      </w:r>
      <w:r w:rsidRPr="009C6218">
        <w:rPr>
          <w:lang w:val="fr-CA"/>
        </w:rPr>
        <w:t xml:space="preserve"> avait l’obligation de demeurer civile et de se conduire avec dignité et retenue, tant au tribunal qu</w:t>
      </w:r>
      <w:r w:rsidR="00776713">
        <w:rPr>
          <w:lang w:val="fr-CA"/>
        </w:rPr>
        <w:t xml:space="preserve">e </w:t>
      </w:r>
      <w:r w:rsidRPr="009C6218">
        <w:rPr>
          <w:lang w:val="fr-CA"/>
        </w:rPr>
        <w:t xml:space="preserve">hors du tribunal, lorsqu’elle exprime publiquement son opinion au sujet de questions concernant l’administration de la justice. </w:t>
      </w:r>
    </w:p>
    <w:p w14:paraId="3A9D0D84" w14:textId="51917817" w:rsidR="00D6522E" w:rsidRPr="009C6218" w:rsidRDefault="004B0698" w:rsidP="001C4E86">
      <w:pPr>
        <w:numPr>
          <w:ilvl w:val="0"/>
          <w:numId w:val="1"/>
        </w:numPr>
        <w:spacing w:after="200" w:line="276" w:lineRule="auto"/>
        <w:ind w:left="567" w:hanging="567"/>
        <w:rPr>
          <w:lang w:val="fr-CA"/>
        </w:rPr>
      </w:pPr>
      <w:r w:rsidRPr="009C6218">
        <w:rPr>
          <w:lang w:val="fr-CA"/>
        </w:rPr>
        <w:t xml:space="preserve">Dans l’affaire </w:t>
      </w:r>
      <w:r w:rsidRPr="009C6218">
        <w:rPr>
          <w:i/>
          <w:lang w:val="fr-CA"/>
        </w:rPr>
        <w:t>Doré, supra</w:t>
      </w:r>
      <w:r w:rsidRPr="009C6218">
        <w:rPr>
          <w:lang w:val="fr-CA"/>
        </w:rPr>
        <w:t xml:space="preserve">, la juge </w:t>
      </w:r>
      <w:r w:rsidR="001B7BFD" w:rsidRPr="009C6218">
        <w:rPr>
          <w:lang w:val="fr-CA"/>
        </w:rPr>
        <w:t>Abella</w:t>
      </w:r>
      <w:r w:rsidRPr="009C6218">
        <w:rPr>
          <w:lang w:val="fr-CA"/>
        </w:rPr>
        <w:t xml:space="preserve"> a </w:t>
      </w:r>
      <w:r w:rsidR="002230F5" w:rsidRPr="009C6218">
        <w:rPr>
          <w:lang w:val="fr-CA"/>
        </w:rPr>
        <w:t>parlé de l’obligation d’un avocat d’encaisser les coups avec civilité et dignité, même dans les situations où le sang froid de l’avocat est indûment testé</w:t>
      </w:r>
      <w:r w:rsidR="00CF6484" w:rsidRPr="009C6218">
        <w:rPr>
          <w:lang w:val="fr-CA"/>
        </w:rPr>
        <w:t>.</w:t>
      </w:r>
      <w:r w:rsidR="00123621" w:rsidRPr="009C6218">
        <w:rPr>
          <w:lang w:val="fr-CA"/>
        </w:rPr>
        <w:t xml:space="preserve"> </w:t>
      </w:r>
      <w:r w:rsidR="00E922FC" w:rsidRPr="009C6218">
        <w:rPr>
          <w:lang w:val="fr-CA"/>
        </w:rPr>
        <w:t>M</w:t>
      </w:r>
      <w:r w:rsidR="00E94A44" w:rsidRPr="009C6218">
        <w:rPr>
          <w:lang w:val="fr-CA"/>
        </w:rPr>
        <w:t>e</w:t>
      </w:r>
      <w:r w:rsidR="00E922FC" w:rsidRPr="009C6218">
        <w:rPr>
          <w:lang w:val="fr-CA"/>
        </w:rPr>
        <w:t xml:space="preserve"> Dor</w:t>
      </w:r>
      <w:r w:rsidR="00E846A2" w:rsidRPr="009C6218">
        <w:rPr>
          <w:lang w:val="fr-CA"/>
        </w:rPr>
        <w:t>é</w:t>
      </w:r>
      <w:r w:rsidR="00E922FC" w:rsidRPr="009C6218">
        <w:rPr>
          <w:lang w:val="fr-CA"/>
        </w:rPr>
        <w:t>,</w:t>
      </w:r>
      <w:r w:rsidR="00E846A2" w:rsidRPr="009C6218">
        <w:rPr>
          <w:lang w:val="fr-CA"/>
        </w:rPr>
        <w:t xml:space="preserve"> </w:t>
      </w:r>
      <w:r w:rsidR="002230F5" w:rsidRPr="009C6218">
        <w:rPr>
          <w:lang w:val="fr-CA"/>
        </w:rPr>
        <w:t>que la Cour a déclaré avoir été injustement provoqué par les propos agressifs d’un juge, a écrit une lettre « privée » au juge pour lui exprimer son opinion à son sujet</w:t>
      </w:r>
      <w:r w:rsidR="00A0572D" w:rsidRPr="009C6218">
        <w:rPr>
          <w:rStyle w:val="FootnoteReference"/>
          <w:lang w:val="fr-CA"/>
        </w:rPr>
        <w:footnoteReference w:id="121"/>
      </w:r>
      <w:r w:rsidR="002230F5" w:rsidRPr="009C6218">
        <w:rPr>
          <w:lang w:val="fr-CA"/>
        </w:rPr>
        <w:t>. La lettre a fait l’objet d’une plainte au sujet de la conduite de M</w:t>
      </w:r>
      <w:r w:rsidR="00E94A44" w:rsidRPr="009C6218">
        <w:rPr>
          <w:lang w:val="fr-CA"/>
        </w:rPr>
        <w:t>e</w:t>
      </w:r>
      <w:r w:rsidR="009968F3" w:rsidRPr="009C6218">
        <w:rPr>
          <w:lang w:val="fr-CA"/>
        </w:rPr>
        <w:t xml:space="preserve"> Doré</w:t>
      </w:r>
      <w:r w:rsidR="002230F5" w:rsidRPr="009C6218">
        <w:rPr>
          <w:lang w:val="fr-CA"/>
        </w:rPr>
        <w:t xml:space="preserve"> et en fin de compte le conseil disciplinaire a imposé une sanction à M</w:t>
      </w:r>
      <w:r w:rsidR="00E94A44" w:rsidRPr="009C6218">
        <w:rPr>
          <w:lang w:val="fr-CA"/>
        </w:rPr>
        <w:t>e</w:t>
      </w:r>
      <w:r w:rsidR="00606250" w:rsidRPr="009C6218">
        <w:rPr>
          <w:lang w:val="fr-CA"/>
        </w:rPr>
        <w:t xml:space="preserve"> Doré</w:t>
      </w:r>
      <w:r w:rsidR="00CF4E33" w:rsidRPr="009C6218">
        <w:rPr>
          <w:lang w:val="fr-CA"/>
        </w:rPr>
        <w:t>.</w:t>
      </w:r>
      <w:bookmarkStart w:id="61" w:name="_Hlk39732203"/>
      <w:r w:rsidR="002230F5" w:rsidRPr="009C6218">
        <w:rPr>
          <w:lang w:val="fr-CA"/>
        </w:rPr>
        <w:t xml:space="preserve"> La liberté protégée par la Charte qui est en jeu dans ce cas, comme en l’espèce, est la liberté d’expression et son application dans le contexte des obligations professionnelles d’un avocat.</w:t>
      </w:r>
      <w:bookmarkEnd w:id="61"/>
      <w:r w:rsidR="002230F5" w:rsidRPr="009C6218">
        <w:rPr>
          <w:lang w:val="fr-CA"/>
        </w:rPr>
        <w:t xml:space="preserve"> Les paroles de la juge </w:t>
      </w:r>
      <w:r w:rsidR="00DD07A2" w:rsidRPr="009C6218">
        <w:rPr>
          <w:lang w:val="fr-CA"/>
        </w:rPr>
        <w:t>Abella</w:t>
      </w:r>
      <w:r w:rsidR="002230F5" w:rsidRPr="009C6218">
        <w:rPr>
          <w:lang w:val="fr-CA"/>
        </w:rPr>
        <w:t xml:space="preserve"> sont particulièrement appropriées en l’espèce </w:t>
      </w:r>
      <w:r w:rsidR="00D6522E" w:rsidRPr="009C6218">
        <w:rPr>
          <w:lang w:val="fr-CA"/>
        </w:rPr>
        <w:t>:</w:t>
      </w:r>
    </w:p>
    <w:p w14:paraId="460DE022" w14:textId="584FF52F" w:rsidR="001B7BFD" w:rsidRPr="009C6218" w:rsidRDefault="00760924" w:rsidP="00194EBE">
      <w:pPr>
        <w:spacing w:after="160" w:line="257" w:lineRule="auto"/>
        <w:ind w:left="851" w:right="851"/>
        <w:rPr>
          <w:lang w:val="fr-CA"/>
        </w:rPr>
      </w:pPr>
      <w:r w:rsidRPr="009C6218">
        <w:rPr>
          <w:lang w:val="fr-CA"/>
        </w:rPr>
        <w:t xml:space="preserve">… </w:t>
      </w:r>
      <w:r w:rsidR="002230F5" w:rsidRPr="009C6218">
        <w:rPr>
          <w:lang w:val="fr-CA"/>
        </w:rPr>
        <w:t xml:space="preserve">c’est précisément dans les situations où le sang froid de l’avocat est indûment testé qu’il est tout particulièrement appelé à adopter un comportement d’une civilité transcendante. Cela étant dit, on ne peut s’attendre à ce que les avocats se comportent comme des eunuques de la parole. Ils ont non seulement le droit d’exprimer leurs opinions librement, mais possiblement le devoir de le faire. </w:t>
      </w:r>
      <w:r w:rsidR="002230F5" w:rsidRPr="009C6218">
        <w:rPr>
          <w:u w:val="single"/>
          <w:lang w:val="fr-CA"/>
        </w:rPr>
        <w:t xml:space="preserve">Ils sont toutefois tenus </w:t>
      </w:r>
      <w:r w:rsidR="002230F5" w:rsidRPr="009C6218">
        <w:rPr>
          <w:u w:val="single"/>
          <w:lang w:val="fr-CA"/>
        </w:rPr>
        <w:lastRenderedPageBreak/>
        <w:t>par leur profession de s’exécuter avec une retenue pleine de dignité</w:t>
      </w:r>
      <w:r w:rsidR="00BB0D8E" w:rsidRPr="009C6218">
        <w:rPr>
          <w:lang w:val="fr-CA"/>
        </w:rPr>
        <w:t xml:space="preserve">. </w:t>
      </w:r>
      <w:r w:rsidR="00F76AC9" w:rsidRPr="009C6218">
        <w:rPr>
          <w:lang w:val="fr-CA"/>
        </w:rPr>
        <w:t>(</w:t>
      </w:r>
      <w:proofErr w:type="gramStart"/>
      <w:r w:rsidR="002230F5" w:rsidRPr="009C6218">
        <w:rPr>
          <w:lang w:val="fr-CA"/>
        </w:rPr>
        <w:t>mise</w:t>
      </w:r>
      <w:proofErr w:type="gramEnd"/>
      <w:r w:rsidR="002230F5" w:rsidRPr="009C6218">
        <w:rPr>
          <w:lang w:val="fr-CA"/>
        </w:rPr>
        <w:t xml:space="preserve"> en valeur ajoutée</w:t>
      </w:r>
      <w:r w:rsidR="00F76AC9" w:rsidRPr="009C6218">
        <w:rPr>
          <w:lang w:val="fr-CA"/>
        </w:rPr>
        <w:t>)</w:t>
      </w:r>
    </w:p>
    <w:p w14:paraId="465687DB" w14:textId="0E7DF0DB" w:rsidR="00CF4BB1" w:rsidRPr="009C6218" w:rsidRDefault="00E94A44" w:rsidP="00AD2DB7">
      <w:pPr>
        <w:numPr>
          <w:ilvl w:val="0"/>
          <w:numId w:val="1"/>
        </w:numPr>
        <w:spacing w:after="200" w:line="276" w:lineRule="auto"/>
        <w:ind w:left="567" w:hanging="567"/>
        <w:rPr>
          <w:lang w:val="fr-CA"/>
        </w:rPr>
      </w:pPr>
      <w:r w:rsidRPr="009C6218">
        <w:rPr>
          <w:lang w:val="fr-CA"/>
        </w:rPr>
        <w:t xml:space="preserve">Dans l’arrêt </w:t>
      </w:r>
      <w:r w:rsidR="00CF4BB1" w:rsidRPr="009C6218">
        <w:rPr>
          <w:i/>
          <w:lang w:val="fr-CA"/>
        </w:rPr>
        <w:t>Doré</w:t>
      </w:r>
      <w:r w:rsidRPr="009C6218">
        <w:rPr>
          <w:i/>
          <w:lang w:val="fr-CA"/>
        </w:rPr>
        <w:t>,</w:t>
      </w:r>
      <w:r w:rsidR="00DC1F46" w:rsidRPr="009C6218">
        <w:rPr>
          <w:i/>
          <w:lang w:val="fr-CA"/>
        </w:rPr>
        <w:t xml:space="preserve"> </w:t>
      </w:r>
      <w:r w:rsidRPr="009C6218">
        <w:rPr>
          <w:lang w:val="fr-CA"/>
        </w:rPr>
        <w:t>la Cour a conclu que la lettre de critique de Me Doré ne satisf</w:t>
      </w:r>
      <w:r w:rsidR="00776713">
        <w:rPr>
          <w:lang w:val="fr-CA"/>
        </w:rPr>
        <w:t>a</w:t>
      </w:r>
      <w:r w:rsidRPr="009C6218">
        <w:rPr>
          <w:lang w:val="fr-CA"/>
        </w:rPr>
        <w:t>isait pas aux attentes raisonnables du public quant au professionnalisme dont un avocat doit faire preuve. Bien que son mécontentement à l’égard de la façon dont le juge l’a traité soit légitime, la teneur de sa réponse ne l’était pas</w:t>
      </w:r>
      <w:r w:rsidR="00C37EFF" w:rsidRPr="009C6218">
        <w:rPr>
          <w:lang w:val="fr-CA"/>
        </w:rPr>
        <w:t xml:space="preserve">. </w:t>
      </w:r>
      <w:r w:rsidRPr="009C6218">
        <w:rPr>
          <w:lang w:val="fr-CA"/>
        </w:rPr>
        <w:t xml:space="preserve">En ce qui concerne le droit à la liberté d’expression de Me </w:t>
      </w:r>
      <w:r w:rsidR="000D5E65" w:rsidRPr="009C6218">
        <w:rPr>
          <w:lang w:val="fr-CA"/>
        </w:rPr>
        <w:t>Doré</w:t>
      </w:r>
      <w:r w:rsidRPr="009C6218">
        <w:rPr>
          <w:lang w:val="fr-CA"/>
        </w:rPr>
        <w:t>, la Cour a jugé qu’</w:t>
      </w:r>
      <w:r w:rsidR="00AD2DB7" w:rsidRPr="009C6218">
        <w:rPr>
          <w:lang w:val="fr-CA"/>
        </w:rPr>
        <w:t>« </w:t>
      </w:r>
      <w:r w:rsidRPr="009C6218">
        <w:rPr>
          <w:lang w:val="fr-CA"/>
        </w:rPr>
        <w:t>À la lumière du degré excessif de vitupération dans le contenu de la lettre et de son ton</w:t>
      </w:r>
      <w:r w:rsidR="00AD2DB7" w:rsidRPr="009C6218">
        <w:rPr>
          <w:lang w:val="fr-CA"/>
        </w:rPr>
        <w:t xml:space="preserve"> », </w:t>
      </w:r>
      <w:r w:rsidR="00E1094A" w:rsidRPr="009C6218">
        <w:rPr>
          <w:lang w:val="fr-CA"/>
        </w:rPr>
        <w:t xml:space="preserve">… </w:t>
      </w:r>
      <w:r w:rsidR="00AD2DB7" w:rsidRPr="009C6218">
        <w:rPr>
          <w:lang w:val="fr-CA"/>
        </w:rPr>
        <w:t>la conclusion du conseil disciplinaire relative à la sanction n’était pas « le fruit d’une mise en balance déraisonnable du droit à la liberté d’expression de Me Doré, d’une part, et des objectifs visés par la loi, d’autre part »</w:t>
      </w:r>
      <w:r w:rsidR="004A20A3" w:rsidRPr="009C6218">
        <w:rPr>
          <w:rStyle w:val="FootnoteReference"/>
          <w:lang w:val="fr-CA"/>
        </w:rPr>
        <w:footnoteReference w:id="122"/>
      </w:r>
      <w:r w:rsidR="00AD2DB7" w:rsidRPr="009C6218">
        <w:rPr>
          <w:lang w:val="fr-CA"/>
        </w:rPr>
        <w:t>.</w:t>
      </w:r>
      <w:r w:rsidR="00CB069D" w:rsidRPr="009C6218">
        <w:rPr>
          <w:lang w:val="fr-CA"/>
        </w:rPr>
        <w:t xml:space="preserve"> </w:t>
      </w:r>
    </w:p>
    <w:p w14:paraId="5667F194" w14:textId="32A73AF4" w:rsidR="007347FE" w:rsidRPr="009C6218" w:rsidRDefault="00F434A1" w:rsidP="00F24A43">
      <w:pPr>
        <w:numPr>
          <w:ilvl w:val="0"/>
          <w:numId w:val="1"/>
        </w:numPr>
        <w:spacing w:after="200" w:line="276" w:lineRule="auto"/>
        <w:ind w:left="567" w:hanging="567"/>
        <w:rPr>
          <w:lang w:val="fr-CA"/>
        </w:rPr>
      </w:pPr>
      <w:r w:rsidRPr="009C6218">
        <w:rPr>
          <w:lang w:val="fr-CA"/>
        </w:rPr>
        <w:t xml:space="preserve">Comme dans l’affaire </w:t>
      </w:r>
      <w:r w:rsidR="00936B2D" w:rsidRPr="009C6218">
        <w:rPr>
          <w:i/>
          <w:lang w:val="fr-CA"/>
        </w:rPr>
        <w:t>Doré</w:t>
      </w:r>
      <w:r w:rsidR="00936B2D" w:rsidRPr="009C6218">
        <w:rPr>
          <w:lang w:val="fr-CA"/>
        </w:rPr>
        <w:t xml:space="preserve">, </w:t>
      </w:r>
      <w:r w:rsidRPr="009C6218">
        <w:rPr>
          <w:lang w:val="fr-CA"/>
        </w:rPr>
        <w:t>nous estimons que l’</w:t>
      </w:r>
      <w:r w:rsidR="000A45E8" w:rsidRPr="009C6218">
        <w:rPr>
          <w:lang w:val="fr-CA"/>
        </w:rPr>
        <w:t>A</w:t>
      </w:r>
      <w:r w:rsidR="00936B2D" w:rsidRPr="009C6218">
        <w:rPr>
          <w:lang w:val="fr-CA"/>
        </w:rPr>
        <w:t xml:space="preserve">rticle </w:t>
      </w:r>
      <w:r w:rsidRPr="009C6218">
        <w:rPr>
          <w:lang w:val="fr-CA"/>
        </w:rPr>
        <w:t>n’était pas une réponse justifiable au mécontentement de la juge de paix à l’égard de la gestion des tribunaux de la mise en liberté sous caution. L’Article a suscité une perception raisonnable de partialité de sa part. Cette per</w:t>
      </w:r>
      <w:r w:rsidR="00601718">
        <w:rPr>
          <w:lang w:val="fr-CA"/>
        </w:rPr>
        <w:t>ception</w:t>
      </w:r>
      <w:r w:rsidRPr="009C6218">
        <w:rPr>
          <w:lang w:val="fr-CA"/>
        </w:rPr>
        <w:t xml:space="preserve"> est préjudiciable pour elle dans son rôle d’officier de justice, pour la magistrature dans son ensemble et pour la bonne administration de la justice. Elle a aussi </w:t>
      </w:r>
      <w:r w:rsidR="00601718">
        <w:rPr>
          <w:lang w:val="fr-CA"/>
        </w:rPr>
        <w:t xml:space="preserve">eu </w:t>
      </w:r>
      <w:r w:rsidRPr="009C6218">
        <w:rPr>
          <w:lang w:val="fr-CA"/>
        </w:rPr>
        <w:t>pour effet d’éroder la confiance du public dans l’administration de la justice et, ainsi, de compromettre le respect pour la primauté du droit</w:t>
      </w:r>
      <w:r w:rsidR="00936B2D" w:rsidRPr="009C6218">
        <w:rPr>
          <w:lang w:val="fr-CA"/>
        </w:rPr>
        <w:t>.</w:t>
      </w:r>
    </w:p>
    <w:p w14:paraId="37CA5D19" w14:textId="548D6EEB" w:rsidR="008E3F1D" w:rsidRPr="009C6218" w:rsidRDefault="00F434A1" w:rsidP="00F24A43">
      <w:pPr>
        <w:numPr>
          <w:ilvl w:val="0"/>
          <w:numId w:val="1"/>
        </w:numPr>
        <w:spacing w:after="200" w:line="276" w:lineRule="auto"/>
        <w:ind w:left="567" w:hanging="567"/>
        <w:rPr>
          <w:lang w:val="fr-CA"/>
        </w:rPr>
      </w:pPr>
      <w:r w:rsidRPr="009C6218">
        <w:rPr>
          <w:lang w:val="fr-CA"/>
        </w:rPr>
        <w:t>Pour tous ces motifs, la première allégation formulée dans l’Avis d’audience est confirmée et, à notre avis, il est indiqué de rendre un jugement d’inconduite judiciaire. Malheureusement, une mesure doit être prise dans les circonstances à l’égard de la première allégation</w:t>
      </w:r>
      <w:r w:rsidR="008E3F1D" w:rsidRPr="009C6218">
        <w:rPr>
          <w:lang w:val="fr-CA"/>
        </w:rPr>
        <w:t>.</w:t>
      </w:r>
    </w:p>
    <w:p w14:paraId="4031891B" w14:textId="6D558920" w:rsidR="00377106" w:rsidRPr="009C6218" w:rsidRDefault="00377106">
      <w:pPr>
        <w:rPr>
          <w:b/>
          <w:lang w:val="fr-CA"/>
        </w:rPr>
      </w:pPr>
    </w:p>
    <w:p w14:paraId="75B80E78" w14:textId="0F6ABCDE" w:rsidR="007C0E58" w:rsidRPr="009C6218" w:rsidRDefault="000A0222" w:rsidP="00BE6325">
      <w:pPr>
        <w:pStyle w:val="Heading1"/>
        <w:rPr>
          <w:lang w:val="fr-CA"/>
        </w:rPr>
      </w:pPr>
      <w:bookmarkStart w:id="62" w:name="_Toc42946565"/>
      <w:r w:rsidRPr="009C6218">
        <w:rPr>
          <w:lang w:val="fr-CA"/>
        </w:rPr>
        <w:t>PART</w:t>
      </w:r>
      <w:r w:rsidR="00F434A1" w:rsidRPr="009C6218">
        <w:rPr>
          <w:lang w:val="fr-CA"/>
        </w:rPr>
        <w:t>IE</w:t>
      </w:r>
      <w:r w:rsidRPr="009C6218">
        <w:rPr>
          <w:lang w:val="fr-CA"/>
        </w:rPr>
        <w:t xml:space="preserve"> </w:t>
      </w:r>
      <w:r w:rsidR="00C23260" w:rsidRPr="009C6218">
        <w:rPr>
          <w:lang w:val="fr-CA"/>
        </w:rPr>
        <w:t>I</w:t>
      </w:r>
      <w:r w:rsidRPr="009C6218">
        <w:rPr>
          <w:lang w:val="fr-CA"/>
        </w:rPr>
        <w:t>X</w:t>
      </w:r>
      <w:r w:rsidR="00F434A1" w:rsidRPr="009C6218">
        <w:rPr>
          <w:lang w:val="fr-CA"/>
        </w:rPr>
        <w:t xml:space="preserve"> </w:t>
      </w:r>
      <w:r w:rsidRPr="009C6218">
        <w:rPr>
          <w:lang w:val="fr-CA"/>
        </w:rPr>
        <w:t>: Analys</w:t>
      </w:r>
      <w:r w:rsidR="00F434A1" w:rsidRPr="009C6218">
        <w:rPr>
          <w:lang w:val="fr-CA"/>
        </w:rPr>
        <w:t>E DE LA 2</w:t>
      </w:r>
      <w:r w:rsidR="00F434A1" w:rsidRPr="009C6218">
        <w:rPr>
          <w:vertAlign w:val="superscript"/>
          <w:lang w:val="fr-CA"/>
        </w:rPr>
        <w:t>E</w:t>
      </w:r>
      <w:r w:rsidR="00F434A1" w:rsidRPr="009C6218">
        <w:rPr>
          <w:lang w:val="fr-CA"/>
        </w:rPr>
        <w:t xml:space="preserve"> ALLÉGATION </w:t>
      </w:r>
      <w:r w:rsidRPr="009C6218">
        <w:rPr>
          <w:lang w:val="fr-CA"/>
        </w:rPr>
        <w:t xml:space="preserve">– </w:t>
      </w:r>
      <w:r w:rsidR="00F434A1" w:rsidRPr="009C6218">
        <w:rPr>
          <w:lang w:val="fr-CA"/>
        </w:rPr>
        <w:t>REMARQUES AU SUJET D’UN AUTRE JURISTE</w:t>
      </w:r>
      <w:bookmarkEnd w:id="62"/>
      <w:r w:rsidR="00F434A1" w:rsidRPr="009C6218">
        <w:rPr>
          <w:lang w:val="fr-CA"/>
        </w:rPr>
        <w:t xml:space="preserve"> </w:t>
      </w:r>
    </w:p>
    <w:p w14:paraId="40606A60" w14:textId="08978DD6" w:rsidR="007C0E58" w:rsidRPr="009C6218" w:rsidRDefault="00936D79" w:rsidP="00BE6325">
      <w:pPr>
        <w:pStyle w:val="Heading2"/>
        <w:rPr>
          <w:lang w:val="fr-CA"/>
        </w:rPr>
      </w:pPr>
      <w:bookmarkStart w:id="63" w:name="_Toc42946566"/>
      <w:r w:rsidRPr="009C6218">
        <w:rPr>
          <w:lang w:val="fr-CA"/>
        </w:rPr>
        <w:t>Contexte</w:t>
      </w:r>
      <w:bookmarkEnd w:id="63"/>
    </w:p>
    <w:p w14:paraId="3CCB9A67" w14:textId="2653002C" w:rsidR="00A406DA" w:rsidRPr="009C6218" w:rsidRDefault="00C33A29" w:rsidP="00F24A43">
      <w:pPr>
        <w:numPr>
          <w:ilvl w:val="0"/>
          <w:numId w:val="1"/>
        </w:numPr>
        <w:spacing w:after="200" w:line="276" w:lineRule="auto"/>
        <w:ind w:left="567" w:hanging="567"/>
        <w:rPr>
          <w:lang w:val="fr-CA"/>
        </w:rPr>
      </w:pPr>
      <w:r w:rsidRPr="009C6218">
        <w:rPr>
          <w:lang w:val="fr-CA"/>
        </w:rPr>
        <w:t xml:space="preserve">Les paragraphes </w:t>
      </w:r>
      <w:r w:rsidR="00A406DA" w:rsidRPr="009C6218">
        <w:rPr>
          <w:lang w:val="fr-CA"/>
        </w:rPr>
        <w:t xml:space="preserve">12 </w:t>
      </w:r>
      <w:r w:rsidRPr="009C6218">
        <w:rPr>
          <w:lang w:val="fr-CA"/>
        </w:rPr>
        <w:t>à</w:t>
      </w:r>
      <w:r w:rsidR="00A406DA" w:rsidRPr="009C6218">
        <w:rPr>
          <w:lang w:val="fr-CA"/>
        </w:rPr>
        <w:t xml:space="preserve"> 17</w:t>
      </w:r>
      <w:r w:rsidRPr="009C6218">
        <w:rPr>
          <w:lang w:val="fr-CA"/>
        </w:rPr>
        <w:t>, y compris l’Annexe « A »</w:t>
      </w:r>
      <w:r w:rsidR="00A406DA" w:rsidRPr="009C6218">
        <w:rPr>
          <w:lang w:val="fr-CA"/>
        </w:rPr>
        <w:t xml:space="preserve"> </w:t>
      </w:r>
      <w:r w:rsidR="001D42AC" w:rsidRPr="009C6218">
        <w:rPr>
          <w:lang w:val="fr-CA"/>
        </w:rPr>
        <w:t>de</w:t>
      </w:r>
      <w:r w:rsidRPr="009C6218">
        <w:rPr>
          <w:lang w:val="fr-CA"/>
        </w:rPr>
        <w:t xml:space="preserve"> l’Avis d’audience, décrivent ce qui constitue la </w:t>
      </w:r>
      <w:r w:rsidR="00601718">
        <w:rPr>
          <w:lang w:val="fr-CA"/>
        </w:rPr>
        <w:t>deuxième</w:t>
      </w:r>
      <w:r w:rsidRPr="009C6218">
        <w:rPr>
          <w:lang w:val="fr-CA"/>
        </w:rPr>
        <w:t xml:space="preserve"> allégation contre la juge de paix Lauzon pour le comité d’audition</w:t>
      </w:r>
      <w:r w:rsidR="00A406DA" w:rsidRPr="009C6218">
        <w:rPr>
          <w:lang w:val="fr-CA"/>
        </w:rPr>
        <w:t xml:space="preserve">. </w:t>
      </w:r>
      <w:r w:rsidRPr="009C6218">
        <w:rPr>
          <w:lang w:val="fr-CA"/>
        </w:rPr>
        <w:t xml:space="preserve">Cette </w:t>
      </w:r>
      <w:r w:rsidR="00601718">
        <w:rPr>
          <w:lang w:val="fr-CA"/>
        </w:rPr>
        <w:t xml:space="preserve">deuxième </w:t>
      </w:r>
      <w:r w:rsidRPr="009C6218">
        <w:rPr>
          <w:lang w:val="fr-CA"/>
        </w:rPr>
        <w:t xml:space="preserve">allégation porte sur les remarques que la juge de paix Lauzon a faites au tribunal au cours de l’audience de mise en liberté sous caution dans l’affaire </w:t>
      </w:r>
      <w:bookmarkStart w:id="64" w:name="_Hlk26957944"/>
      <w:r w:rsidR="00A406DA" w:rsidRPr="009C6218">
        <w:rPr>
          <w:lang w:val="fr-CA"/>
        </w:rPr>
        <w:t>AJN</w:t>
      </w:r>
      <w:r w:rsidRPr="009C6218">
        <w:rPr>
          <w:lang w:val="fr-CA"/>
        </w:rPr>
        <w:t xml:space="preserve">, qu’elle présidait, le 26 février </w:t>
      </w:r>
      <w:r w:rsidR="00A406DA" w:rsidRPr="009C6218">
        <w:rPr>
          <w:lang w:val="fr-CA"/>
        </w:rPr>
        <w:t>2015</w:t>
      </w:r>
      <w:bookmarkEnd w:id="64"/>
      <w:r w:rsidR="00A406DA" w:rsidRPr="009C6218">
        <w:rPr>
          <w:lang w:val="fr-CA"/>
        </w:rPr>
        <w:t>.</w:t>
      </w:r>
    </w:p>
    <w:p w14:paraId="69EF3FC0" w14:textId="73D084AB" w:rsidR="00A406DA" w:rsidRPr="009C6218" w:rsidRDefault="00C33A29" w:rsidP="00F24A43">
      <w:pPr>
        <w:numPr>
          <w:ilvl w:val="0"/>
          <w:numId w:val="1"/>
        </w:numPr>
        <w:spacing w:after="200" w:line="276" w:lineRule="auto"/>
        <w:ind w:left="567" w:hanging="567"/>
        <w:rPr>
          <w:lang w:val="fr-CA"/>
        </w:rPr>
      </w:pPr>
      <w:r w:rsidRPr="009C6218">
        <w:rPr>
          <w:lang w:val="fr-CA"/>
        </w:rPr>
        <w:t xml:space="preserve">À titre d’information, le 30 décembre </w:t>
      </w:r>
      <w:r w:rsidR="00A406DA" w:rsidRPr="009C6218">
        <w:rPr>
          <w:lang w:val="fr-CA"/>
        </w:rPr>
        <w:t xml:space="preserve">2014, </w:t>
      </w:r>
      <w:r w:rsidRPr="009C6218">
        <w:rPr>
          <w:lang w:val="fr-CA"/>
        </w:rPr>
        <w:t xml:space="preserve">la juge de paix </w:t>
      </w:r>
      <w:r w:rsidR="00A406DA" w:rsidRPr="009C6218">
        <w:rPr>
          <w:lang w:val="fr-CA"/>
        </w:rPr>
        <w:t xml:space="preserve">Lauzon </w:t>
      </w:r>
      <w:r w:rsidRPr="009C6218">
        <w:rPr>
          <w:lang w:val="fr-CA"/>
        </w:rPr>
        <w:t xml:space="preserve">présidait une audience de mise en liberté sous caution concernant un autre accusé, </w:t>
      </w:r>
      <w:r w:rsidR="00A406DA" w:rsidRPr="009C6218">
        <w:rPr>
          <w:lang w:val="fr-CA"/>
        </w:rPr>
        <w:t xml:space="preserve">NP. </w:t>
      </w:r>
      <w:r w:rsidRPr="009C6218">
        <w:rPr>
          <w:lang w:val="fr-CA"/>
        </w:rPr>
        <w:t xml:space="preserve">Elle a </w:t>
      </w:r>
      <w:r w:rsidRPr="009C6218">
        <w:rPr>
          <w:lang w:val="fr-CA"/>
        </w:rPr>
        <w:lastRenderedPageBreak/>
        <w:t xml:space="preserve">ordonné la mise en liberté de </w:t>
      </w:r>
      <w:r w:rsidR="00A406DA" w:rsidRPr="009C6218">
        <w:rPr>
          <w:lang w:val="fr-CA"/>
        </w:rPr>
        <w:t>NP</w:t>
      </w:r>
      <w:r w:rsidRPr="009C6218">
        <w:rPr>
          <w:lang w:val="fr-CA"/>
        </w:rPr>
        <w:t xml:space="preserve"> après souscription d’un engagement avec cautions et plusieurs conditions</w:t>
      </w:r>
      <w:r w:rsidR="00A406DA" w:rsidRPr="009C6218">
        <w:rPr>
          <w:lang w:val="fr-CA"/>
        </w:rPr>
        <w:t>.</w:t>
      </w:r>
    </w:p>
    <w:p w14:paraId="1A6D9CE4" w14:textId="5067D4A0" w:rsidR="00A406DA" w:rsidRPr="009C6218" w:rsidRDefault="00C33A29" w:rsidP="00F24A43">
      <w:pPr>
        <w:numPr>
          <w:ilvl w:val="0"/>
          <w:numId w:val="1"/>
        </w:numPr>
        <w:spacing w:after="200" w:line="276" w:lineRule="auto"/>
        <w:ind w:left="567" w:hanging="567"/>
        <w:rPr>
          <w:lang w:val="fr-CA"/>
        </w:rPr>
      </w:pPr>
      <w:r w:rsidRPr="009C6218">
        <w:rPr>
          <w:lang w:val="fr-CA"/>
        </w:rPr>
        <w:t xml:space="preserve">Le procureur de la Couronne a demandé la révision de la décision relative à la mise en liberté sous caution dans l’affaire </w:t>
      </w:r>
      <w:r w:rsidR="00A406DA" w:rsidRPr="009C6218">
        <w:rPr>
          <w:i/>
          <w:lang w:val="fr-CA"/>
        </w:rPr>
        <w:t>R. v. NP</w:t>
      </w:r>
      <w:r w:rsidRPr="009C6218">
        <w:rPr>
          <w:i/>
          <w:lang w:val="fr-CA"/>
        </w:rPr>
        <w:t>.</w:t>
      </w:r>
      <w:r w:rsidR="00A406DA" w:rsidRPr="009C6218">
        <w:rPr>
          <w:lang w:val="fr-CA"/>
        </w:rPr>
        <w:t xml:space="preserve"> </w:t>
      </w:r>
      <w:r w:rsidRPr="009C6218">
        <w:rPr>
          <w:lang w:val="fr-CA"/>
        </w:rPr>
        <w:t xml:space="preserve">L’audience de révision s’est déroulée à la Cour supérieure de justice, devant la juge </w:t>
      </w:r>
      <w:r w:rsidR="00A406DA" w:rsidRPr="009C6218">
        <w:rPr>
          <w:lang w:val="fr-CA"/>
        </w:rPr>
        <w:t>Ratushny</w:t>
      </w:r>
      <w:r w:rsidRPr="009C6218">
        <w:rPr>
          <w:lang w:val="fr-CA"/>
        </w:rPr>
        <w:t xml:space="preserve">, le 14 janvier </w:t>
      </w:r>
      <w:r w:rsidR="00A406DA" w:rsidRPr="009C6218">
        <w:rPr>
          <w:lang w:val="fr-CA"/>
        </w:rPr>
        <w:t xml:space="preserve">2015. </w:t>
      </w:r>
      <w:r w:rsidRPr="009C6218">
        <w:rPr>
          <w:lang w:val="fr-CA"/>
        </w:rPr>
        <w:t xml:space="preserve">La juge </w:t>
      </w:r>
      <w:r w:rsidR="00A406DA" w:rsidRPr="009C6218">
        <w:rPr>
          <w:lang w:val="fr-CA"/>
        </w:rPr>
        <w:t xml:space="preserve">Ratushny </w:t>
      </w:r>
      <w:r w:rsidRPr="009C6218">
        <w:rPr>
          <w:lang w:val="fr-CA"/>
        </w:rPr>
        <w:t xml:space="preserve">a infirmé l’ordonnance de mise en liberté et ordonné la détention de </w:t>
      </w:r>
      <w:r w:rsidR="00A406DA" w:rsidRPr="009C6218">
        <w:rPr>
          <w:lang w:val="fr-CA"/>
        </w:rPr>
        <w:t>NP.</w:t>
      </w:r>
    </w:p>
    <w:p w14:paraId="7A289F21" w14:textId="53122205" w:rsidR="00A406DA" w:rsidRPr="009C6218" w:rsidRDefault="00AE24DE" w:rsidP="00F24A43">
      <w:pPr>
        <w:numPr>
          <w:ilvl w:val="0"/>
          <w:numId w:val="1"/>
        </w:numPr>
        <w:spacing w:after="200" w:line="276" w:lineRule="auto"/>
        <w:ind w:left="567" w:hanging="567"/>
        <w:rPr>
          <w:lang w:val="fr-CA"/>
        </w:rPr>
      </w:pPr>
      <w:r w:rsidRPr="009C6218">
        <w:rPr>
          <w:lang w:val="fr-CA"/>
        </w:rPr>
        <w:t xml:space="preserve">Au cours de l’audience de mise en liberté sous caution dans l’affaire </w:t>
      </w:r>
      <w:r w:rsidR="00A406DA" w:rsidRPr="009C6218">
        <w:rPr>
          <w:lang w:val="fr-CA"/>
        </w:rPr>
        <w:t>AJN</w:t>
      </w:r>
      <w:r w:rsidRPr="009C6218">
        <w:rPr>
          <w:lang w:val="fr-CA"/>
        </w:rPr>
        <w:t xml:space="preserve"> et par les observations de l’avocat, la juge de paix </w:t>
      </w:r>
      <w:r w:rsidR="00A406DA" w:rsidRPr="009C6218">
        <w:rPr>
          <w:lang w:val="fr-CA"/>
        </w:rPr>
        <w:t xml:space="preserve">Lauzon </w:t>
      </w:r>
      <w:r w:rsidRPr="009C6218">
        <w:rPr>
          <w:lang w:val="fr-CA"/>
        </w:rPr>
        <w:t xml:space="preserve">a pris connaissance de la décision de la Cour supérieure de justice d’infirmer sa propre décision dans l’affaire </w:t>
      </w:r>
      <w:r w:rsidR="00A406DA" w:rsidRPr="009C6218">
        <w:rPr>
          <w:i/>
          <w:lang w:val="fr-CA"/>
        </w:rPr>
        <w:t>R. v. NP</w:t>
      </w:r>
      <w:r w:rsidR="00A406DA" w:rsidRPr="009C6218">
        <w:rPr>
          <w:lang w:val="fr-CA"/>
        </w:rPr>
        <w:t>.</w:t>
      </w:r>
    </w:p>
    <w:p w14:paraId="036DC00F" w14:textId="593A5593" w:rsidR="00A406DA" w:rsidRPr="009C6218" w:rsidRDefault="00AE24DE" w:rsidP="00F24A43">
      <w:pPr>
        <w:numPr>
          <w:ilvl w:val="0"/>
          <w:numId w:val="1"/>
        </w:numPr>
        <w:spacing w:after="200" w:line="276" w:lineRule="auto"/>
        <w:ind w:left="567" w:hanging="567"/>
        <w:rPr>
          <w:lang w:val="fr-CA"/>
        </w:rPr>
      </w:pPr>
      <w:r w:rsidRPr="009C6218">
        <w:rPr>
          <w:lang w:val="fr-CA"/>
        </w:rPr>
        <w:t>Pendant qu’elle rendait sa décision orale dans l’audience de mise en liberté sous caution d’</w:t>
      </w:r>
      <w:r w:rsidR="00A406DA" w:rsidRPr="009C6218">
        <w:rPr>
          <w:lang w:val="fr-CA"/>
        </w:rPr>
        <w:t>AJN</w:t>
      </w:r>
      <w:r w:rsidRPr="009C6218">
        <w:rPr>
          <w:lang w:val="fr-CA"/>
        </w:rPr>
        <w:t xml:space="preserve">, la juge de paix </w:t>
      </w:r>
      <w:r w:rsidR="00A406DA" w:rsidRPr="009C6218">
        <w:rPr>
          <w:lang w:val="fr-CA"/>
        </w:rPr>
        <w:t xml:space="preserve">Lauzon </w:t>
      </w:r>
      <w:r w:rsidRPr="009C6218">
        <w:rPr>
          <w:lang w:val="fr-CA"/>
        </w:rPr>
        <w:t xml:space="preserve">a fait la remarque suivante, concernant la décision de la juge </w:t>
      </w:r>
      <w:r w:rsidR="00A406DA" w:rsidRPr="009C6218">
        <w:rPr>
          <w:lang w:val="fr-CA"/>
        </w:rPr>
        <w:t>Ratushny</w:t>
      </w:r>
      <w:r w:rsidRPr="009C6218">
        <w:rPr>
          <w:lang w:val="fr-CA"/>
        </w:rPr>
        <w:t xml:space="preserve">, dans </w:t>
      </w:r>
      <w:r w:rsidR="00601718">
        <w:rPr>
          <w:lang w:val="fr-CA"/>
        </w:rPr>
        <w:t xml:space="preserve">le cadre de </w:t>
      </w:r>
      <w:r w:rsidRPr="009C6218">
        <w:rPr>
          <w:lang w:val="fr-CA"/>
        </w:rPr>
        <w:t xml:space="preserve">la révision de la mise en liberté sous caution de </w:t>
      </w:r>
      <w:r w:rsidR="00A406DA" w:rsidRPr="009C6218">
        <w:rPr>
          <w:lang w:val="fr-CA"/>
        </w:rPr>
        <w:t>NP</w:t>
      </w:r>
      <w:r w:rsidRPr="009C6218">
        <w:rPr>
          <w:lang w:val="fr-CA"/>
        </w:rPr>
        <w:t xml:space="preserve"> </w:t>
      </w:r>
      <w:r w:rsidR="00A406DA" w:rsidRPr="009C6218">
        <w:rPr>
          <w:lang w:val="fr-CA"/>
        </w:rPr>
        <w:t>:</w:t>
      </w:r>
    </w:p>
    <w:p w14:paraId="1F3554AD" w14:textId="108DC0CD" w:rsidR="0094090D" w:rsidRPr="009C6218" w:rsidRDefault="001D42AC" w:rsidP="0094090D">
      <w:pPr>
        <w:spacing w:after="200" w:line="276" w:lineRule="auto"/>
        <w:ind w:left="851" w:right="855"/>
        <w:rPr>
          <w:lang w:val="fr-CA"/>
        </w:rPr>
      </w:pPr>
      <w:r w:rsidRPr="009C6218">
        <w:rPr>
          <w:lang w:val="fr-CA"/>
        </w:rPr>
        <w:t>« </w:t>
      </w:r>
      <w:proofErr w:type="spellStart"/>
      <w:r w:rsidR="00A406DA" w:rsidRPr="009C6218">
        <w:rPr>
          <w:lang w:val="fr-CA"/>
        </w:rPr>
        <w:t>Well</w:t>
      </w:r>
      <w:proofErr w:type="spellEnd"/>
      <w:r w:rsidR="00A406DA" w:rsidRPr="009C6218">
        <w:rPr>
          <w:lang w:val="fr-CA"/>
        </w:rPr>
        <w:t xml:space="preserve"> </w:t>
      </w:r>
      <w:proofErr w:type="spellStart"/>
      <w:r w:rsidR="00A406DA" w:rsidRPr="009C6218">
        <w:rPr>
          <w:lang w:val="fr-CA"/>
        </w:rPr>
        <w:t>this</w:t>
      </w:r>
      <w:proofErr w:type="spellEnd"/>
      <w:r w:rsidR="00A406DA" w:rsidRPr="009C6218">
        <w:rPr>
          <w:lang w:val="fr-CA"/>
        </w:rPr>
        <w:t xml:space="preserve"> </w:t>
      </w:r>
      <w:proofErr w:type="spellStart"/>
      <w:r w:rsidR="00A406DA" w:rsidRPr="009C6218">
        <w:rPr>
          <w:lang w:val="fr-CA"/>
        </w:rPr>
        <w:t>sounds</w:t>
      </w:r>
      <w:proofErr w:type="spellEnd"/>
      <w:r w:rsidR="00A406DA" w:rsidRPr="009C6218">
        <w:rPr>
          <w:lang w:val="fr-CA"/>
        </w:rPr>
        <w:t xml:space="preserve"> like a post-conviction </w:t>
      </w:r>
      <w:proofErr w:type="spellStart"/>
      <w:r w:rsidR="00A406DA" w:rsidRPr="009C6218">
        <w:rPr>
          <w:lang w:val="fr-CA"/>
        </w:rPr>
        <w:t>statement</w:t>
      </w:r>
      <w:proofErr w:type="spellEnd"/>
      <w:r w:rsidR="00A406DA" w:rsidRPr="009C6218">
        <w:rPr>
          <w:lang w:val="fr-CA"/>
        </w:rPr>
        <w:t xml:space="preserve">.  There </w:t>
      </w:r>
      <w:proofErr w:type="spellStart"/>
      <w:r w:rsidR="00A406DA" w:rsidRPr="009C6218">
        <w:rPr>
          <w:lang w:val="fr-CA"/>
        </w:rPr>
        <w:t>is</w:t>
      </w:r>
      <w:proofErr w:type="spellEnd"/>
      <w:r w:rsidR="00A406DA" w:rsidRPr="009C6218">
        <w:rPr>
          <w:lang w:val="fr-CA"/>
        </w:rPr>
        <w:t xml:space="preserve"> no mention and </w:t>
      </w:r>
      <w:proofErr w:type="spellStart"/>
      <w:r w:rsidR="00A406DA" w:rsidRPr="009C6218">
        <w:rPr>
          <w:lang w:val="fr-CA"/>
        </w:rPr>
        <w:t>there</w:t>
      </w:r>
      <w:proofErr w:type="spellEnd"/>
      <w:r w:rsidR="00A406DA" w:rsidRPr="009C6218">
        <w:rPr>
          <w:lang w:val="fr-CA"/>
        </w:rPr>
        <w:t xml:space="preserve"> </w:t>
      </w:r>
      <w:proofErr w:type="spellStart"/>
      <w:r w:rsidR="00A406DA" w:rsidRPr="009C6218">
        <w:rPr>
          <w:lang w:val="fr-CA"/>
        </w:rPr>
        <w:t>is</w:t>
      </w:r>
      <w:proofErr w:type="spellEnd"/>
      <w:r w:rsidR="00A406DA" w:rsidRPr="009C6218">
        <w:rPr>
          <w:lang w:val="fr-CA"/>
        </w:rPr>
        <w:t xml:space="preserve"> no illusion [</w:t>
      </w:r>
      <w:r w:rsidR="00A406DA" w:rsidRPr="009C6218">
        <w:rPr>
          <w:i/>
          <w:lang w:val="fr-CA"/>
        </w:rPr>
        <w:t>sic</w:t>
      </w:r>
      <w:r w:rsidR="00A406DA" w:rsidRPr="009C6218">
        <w:rPr>
          <w:lang w:val="fr-CA"/>
        </w:rPr>
        <w:t xml:space="preserve">] to the </w:t>
      </w:r>
      <w:proofErr w:type="spellStart"/>
      <w:r w:rsidR="00A406DA" w:rsidRPr="009C6218">
        <w:rPr>
          <w:lang w:val="fr-CA"/>
        </w:rPr>
        <w:t>presumption</w:t>
      </w:r>
      <w:proofErr w:type="spellEnd"/>
      <w:r w:rsidR="00A406DA" w:rsidRPr="009C6218">
        <w:rPr>
          <w:lang w:val="fr-CA"/>
        </w:rPr>
        <w:t xml:space="preserve"> of innocence.</w:t>
      </w:r>
      <w:r w:rsidRPr="009C6218">
        <w:rPr>
          <w:lang w:val="fr-CA"/>
        </w:rPr>
        <w:t> » (Eh bien, ça a l’air d’une déclaration après la déclaration de culpabilité. Il n’y</w:t>
      </w:r>
      <w:r w:rsidR="00776713">
        <w:rPr>
          <w:lang w:val="fr-CA"/>
        </w:rPr>
        <w:t xml:space="preserve"> a</w:t>
      </w:r>
      <w:r w:rsidRPr="009C6218">
        <w:rPr>
          <w:lang w:val="fr-CA"/>
        </w:rPr>
        <w:t xml:space="preserve"> ni mention ni illusion </w:t>
      </w:r>
      <w:r w:rsidR="00601718" w:rsidRPr="009C6218">
        <w:rPr>
          <w:lang w:val="fr-CA"/>
        </w:rPr>
        <w:t>[</w:t>
      </w:r>
      <w:r w:rsidR="00601718" w:rsidRPr="009C6218">
        <w:rPr>
          <w:i/>
          <w:lang w:val="fr-CA"/>
        </w:rPr>
        <w:t>sic</w:t>
      </w:r>
      <w:r w:rsidR="00601718" w:rsidRPr="009C6218">
        <w:rPr>
          <w:lang w:val="fr-CA"/>
        </w:rPr>
        <w:t>]</w:t>
      </w:r>
      <w:r w:rsidR="00601718">
        <w:rPr>
          <w:lang w:val="fr-CA"/>
        </w:rPr>
        <w:t xml:space="preserve"> </w:t>
      </w:r>
      <w:r w:rsidRPr="009C6218">
        <w:rPr>
          <w:lang w:val="fr-CA"/>
        </w:rPr>
        <w:t>de la présomption d’innocence.)</w:t>
      </w:r>
      <w:r w:rsidR="00A406DA" w:rsidRPr="009C6218">
        <w:rPr>
          <w:lang w:val="fr-CA"/>
        </w:rPr>
        <w:t xml:space="preserve"> </w:t>
      </w:r>
    </w:p>
    <w:p w14:paraId="202DF77F" w14:textId="7E430AF9" w:rsidR="00A406DA" w:rsidRPr="009C6218" w:rsidRDefault="001D42AC" w:rsidP="0094090D">
      <w:pPr>
        <w:numPr>
          <w:ilvl w:val="0"/>
          <w:numId w:val="1"/>
        </w:numPr>
        <w:spacing w:after="200" w:line="276" w:lineRule="auto"/>
        <w:ind w:left="567" w:hanging="567"/>
        <w:rPr>
          <w:lang w:val="fr-CA"/>
        </w:rPr>
      </w:pPr>
      <w:r w:rsidRPr="009C6218">
        <w:rPr>
          <w:lang w:val="fr-CA"/>
        </w:rPr>
        <w:t>Au</w:t>
      </w:r>
      <w:r w:rsidR="00A406DA" w:rsidRPr="009C6218">
        <w:rPr>
          <w:lang w:val="fr-CA"/>
        </w:rPr>
        <w:t xml:space="preserve"> paragraph</w:t>
      </w:r>
      <w:r w:rsidRPr="009C6218">
        <w:rPr>
          <w:lang w:val="fr-CA"/>
        </w:rPr>
        <w:t>e</w:t>
      </w:r>
      <w:r w:rsidR="00A406DA" w:rsidRPr="009C6218">
        <w:rPr>
          <w:lang w:val="fr-CA"/>
        </w:rPr>
        <w:t xml:space="preserve"> 17 </w:t>
      </w:r>
      <w:r w:rsidRPr="009C6218">
        <w:rPr>
          <w:lang w:val="fr-CA"/>
        </w:rPr>
        <w:t>de l’Annexe « A » de l’Avis d’audience</w:t>
      </w:r>
      <w:r w:rsidR="00A406DA" w:rsidRPr="009C6218">
        <w:rPr>
          <w:lang w:val="fr-CA"/>
        </w:rPr>
        <w:t xml:space="preserve">, </w:t>
      </w:r>
      <w:r w:rsidRPr="009C6218">
        <w:rPr>
          <w:lang w:val="fr-CA"/>
        </w:rPr>
        <w:t xml:space="preserve">l’allégation est la suivante : en faisant cette remarque, la juge de paix </w:t>
      </w:r>
      <w:r w:rsidR="00A406DA" w:rsidRPr="009C6218">
        <w:rPr>
          <w:lang w:val="fr-CA"/>
        </w:rPr>
        <w:t xml:space="preserve">Lauzon </w:t>
      </w:r>
      <w:r w:rsidRPr="009C6218">
        <w:rPr>
          <w:lang w:val="fr-CA"/>
        </w:rPr>
        <w:t xml:space="preserve">a pu être perçue comme disant que la Cour supérieure de justice avait omis de comprendre ou d’appliquer la présomption d’innocence et la loi régissant la mise en liberté sous caution. Le plaignant croit aussi que cette remarque pourrait être perçue comme la manifestation d’un manque de respect pour la Cour supérieure de justice et pour le concept de </w:t>
      </w:r>
      <w:proofErr w:type="spellStart"/>
      <w:r w:rsidR="00A406DA" w:rsidRPr="009C6218">
        <w:rPr>
          <w:i/>
          <w:lang w:val="fr-CA"/>
        </w:rPr>
        <w:t>stare</w:t>
      </w:r>
      <w:proofErr w:type="spellEnd"/>
      <w:r w:rsidR="00A406DA" w:rsidRPr="009C6218">
        <w:rPr>
          <w:i/>
          <w:lang w:val="fr-CA"/>
        </w:rPr>
        <w:t xml:space="preserve"> </w:t>
      </w:r>
      <w:proofErr w:type="spellStart"/>
      <w:r w:rsidR="00A406DA" w:rsidRPr="009C6218">
        <w:rPr>
          <w:i/>
          <w:lang w:val="fr-CA"/>
        </w:rPr>
        <w:t>decisis</w:t>
      </w:r>
      <w:proofErr w:type="spellEnd"/>
      <w:r w:rsidR="00A406DA" w:rsidRPr="009C6218">
        <w:rPr>
          <w:lang w:val="fr-CA"/>
        </w:rPr>
        <w:t>.</w:t>
      </w:r>
      <w:r w:rsidR="009D508A" w:rsidRPr="009C6218">
        <w:rPr>
          <w:lang w:val="fr-CA"/>
        </w:rPr>
        <w:t xml:space="preserve"> </w:t>
      </w:r>
      <w:r w:rsidRPr="009C6218">
        <w:rPr>
          <w:lang w:val="fr-CA"/>
        </w:rPr>
        <w:t xml:space="preserve">Enfin, il est allégué que la remarque risque d’être perçue comme une déclaration érodant l’intégrité, l’impartialité et l’indépendance du tribunal d’instance supérieure et démontrant un manque de respect envers l’administration de la justice. </w:t>
      </w:r>
    </w:p>
    <w:p w14:paraId="1E7C7AF6" w14:textId="35DFC19E" w:rsidR="00A406DA" w:rsidRPr="009C6218" w:rsidRDefault="001D42AC" w:rsidP="00B73542">
      <w:pPr>
        <w:numPr>
          <w:ilvl w:val="0"/>
          <w:numId w:val="1"/>
        </w:numPr>
        <w:spacing w:after="200" w:line="276" w:lineRule="auto"/>
        <w:ind w:left="567" w:hanging="567"/>
        <w:rPr>
          <w:lang w:val="fr-CA"/>
        </w:rPr>
      </w:pPr>
      <w:r w:rsidRPr="009C6218">
        <w:rPr>
          <w:lang w:val="fr-CA"/>
        </w:rPr>
        <w:t>Dans ses observations au sujet du motif tertiaire dans l’audience d’</w:t>
      </w:r>
      <w:r w:rsidR="00A406DA" w:rsidRPr="009C6218">
        <w:rPr>
          <w:lang w:val="fr-CA"/>
        </w:rPr>
        <w:t>AJN</w:t>
      </w:r>
      <w:r w:rsidRPr="009C6218">
        <w:rPr>
          <w:lang w:val="fr-CA"/>
        </w:rPr>
        <w:t xml:space="preserve">, le procureur de la Couronne a cité trois cas à la juge de paix </w:t>
      </w:r>
      <w:r w:rsidR="00A406DA" w:rsidRPr="009C6218">
        <w:rPr>
          <w:lang w:val="fr-CA"/>
        </w:rPr>
        <w:t xml:space="preserve">Lauzon. </w:t>
      </w:r>
      <w:r w:rsidRPr="009C6218">
        <w:rPr>
          <w:lang w:val="fr-CA"/>
        </w:rPr>
        <w:t xml:space="preserve">Il s’agissait de </w:t>
      </w:r>
      <w:r w:rsidR="00A406DA" w:rsidRPr="009C6218">
        <w:rPr>
          <w:i/>
          <w:lang w:val="fr-CA"/>
        </w:rPr>
        <w:t>R. v. B.S</w:t>
      </w:r>
      <w:r w:rsidR="00A406DA" w:rsidRPr="009C6218">
        <w:rPr>
          <w:lang w:val="fr-CA"/>
        </w:rPr>
        <w:t xml:space="preserve">., [2007] ONCA 560, </w:t>
      </w:r>
      <w:r w:rsidRPr="009C6218">
        <w:rPr>
          <w:lang w:val="fr-CA"/>
        </w:rPr>
        <w:t xml:space="preserve">de </w:t>
      </w:r>
      <w:r w:rsidR="00A406DA" w:rsidRPr="009C6218">
        <w:rPr>
          <w:i/>
          <w:lang w:val="fr-CA"/>
        </w:rPr>
        <w:t xml:space="preserve">R. v. E.W.M. </w:t>
      </w:r>
      <w:r w:rsidR="00A406DA" w:rsidRPr="009C6218">
        <w:rPr>
          <w:lang w:val="fr-CA"/>
        </w:rPr>
        <w:t>(</w:t>
      </w:r>
      <w:r w:rsidR="00A406DA" w:rsidRPr="009C6218">
        <w:rPr>
          <w:i/>
          <w:lang w:val="fr-CA"/>
        </w:rPr>
        <w:t>R. v. Mordue</w:t>
      </w:r>
      <w:r w:rsidR="00A406DA" w:rsidRPr="009C6218">
        <w:rPr>
          <w:lang w:val="fr-CA"/>
        </w:rPr>
        <w:t>)</w:t>
      </w:r>
      <w:r w:rsidR="00A406DA" w:rsidRPr="009C6218">
        <w:rPr>
          <w:i/>
          <w:lang w:val="fr-CA"/>
        </w:rPr>
        <w:t xml:space="preserve"> </w:t>
      </w:r>
      <w:r w:rsidR="00A406DA" w:rsidRPr="009C6218">
        <w:rPr>
          <w:lang w:val="fr-CA"/>
        </w:rPr>
        <w:t xml:space="preserve">(2006), 215 O.A.C. 125, 223 C.C.C. (3d) 407, </w:t>
      </w:r>
      <w:r w:rsidRPr="009C6218">
        <w:rPr>
          <w:lang w:val="fr-CA"/>
        </w:rPr>
        <w:t xml:space="preserve">et de la décision de la juge </w:t>
      </w:r>
      <w:r w:rsidR="00A406DA" w:rsidRPr="009C6218">
        <w:rPr>
          <w:lang w:val="fr-CA"/>
        </w:rPr>
        <w:t xml:space="preserve">Ratushny </w:t>
      </w:r>
      <w:r w:rsidRPr="009C6218">
        <w:rPr>
          <w:lang w:val="fr-CA"/>
        </w:rPr>
        <w:t xml:space="preserve">dans l’affaire </w:t>
      </w:r>
      <w:r w:rsidR="00A406DA" w:rsidRPr="009C6218">
        <w:rPr>
          <w:i/>
          <w:lang w:val="fr-CA"/>
        </w:rPr>
        <w:t>R v. N.P</w:t>
      </w:r>
      <w:r w:rsidR="00A406DA" w:rsidRPr="009C6218">
        <w:rPr>
          <w:lang w:val="fr-CA"/>
        </w:rPr>
        <w:t>.</w:t>
      </w:r>
    </w:p>
    <w:p w14:paraId="2885EF35" w14:textId="0B39D144" w:rsidR="00A406DA" w:rsidRPr="009C6218" w:rsidRDefault="008C522B" w:rsidP="00B73542">
      <w:pPr>
        <w:numPr>
          <w:ilvl w:val="0"/>
          <w:numId w:val="1"/>
        </w:numPr>
        <w:spacing w:after="200" w:line="276" w:lineRule="auto"/>
        <w:ind w:left="567" w:hanging="567"/>
        <w:rPr>
          <w:lang w:val="fr-CA"/>
        </w:rPr>
      </w:pPr>
      <w:r w:rsidRPr="009C6218">
        <w:rPr>
          <w:lang w:val="fr-CA"/>
        </w:rPr>
        <w:t>Tout de suite après la fin de la présentation des observations des avocats, la juge de paix a rendu une décision orale, en commençant par dire « Juste pour que vous le sachiez, la décision orale n’est probablement pas aussi cohérente que la décision écrite pour des raisons évidentes »</w:t>
      </w:r>
      <w:r w:rsidR="00A406DA" w:rsidRPr="009C6218">
        <w:rPr>
          <w:lang w:val="fr-CA"/>
        </w:rPr>
        <w:t>.</w:t>
      </w:r>
    </w:p>
    <w:p w14:paraId="353694CE" w14:textId="085658AC" w:rsidR="00A406DA" w:rsidRPr="009C6218" w:rsidRDefault="008C522B" w:rsidP="00B73542">
      <w:pPr>
        <w:numPr>
          <w:ilvl w:val="0"/>
          <w:numId w:val="1"/>
        </w:numPr>
        <w:spacing w:after="200" w:line="276" w:lineRule="auto"/>
        <w:ind w:left="567" w:hanging="567"/>
        <w:rPr>
          <w:lang w:val="fr-CA"/>
        </w:rPr>
      </w:pPr>
      <w:r w:rsidRPr="009C6218">
        <w:rPr>
          <w:lang w:val="fr-CA"/>
        </w:rPr>
        <w:lastRenderedPageBreak/>
        <w:t xml:space="preserve">Dans sa décision, la juge de paix </w:t>
      </w:r>
      <w:r w:rsidR="00A406DA" w:rsidRPr="009C6218">
        <w:rPr>
          <w:lang w:val="fr-CA"/>
        </w:rPr>
        <w:t xml:space="preserve">Lauzon </w:t>
      </w:r>
      <w:r w:rsidRPr="009C6218">
        <w:rPr>
          <w:lang w:val="fr-CA"/>
        </w:rPr>
        <w:t xml:space="preserve">renvoie à toutes les décisions que lui a mentionnées le procureur de la Couronne, dont </w:t>
      </w:r>
      <w:r w:rsidR="00A406DA" w:rsidRPr="009C6218">
        <w:rPr>
          <w:i/>
          <w:lang w:val="fr-CA"/>
        </w:rPr>
        <w:t>R. v. B.S</w:t>
      </w:r>
      <w:r w:rsidR="00A406DA" w:rsidRPr="009C6218">
        <w:rPr>
          <w:lang w:val="fr-CA"/>
        </w:rPr>
        <w:t xml:space="preserve">., </w:t>
      </w:r>
      <w:r w:rsidR="00A406DA" w:rsidRPr="009C6218">
        <w:rPr>
          <w:i/>
          <w:lang w:val="fr-CA"/>
        </w:rPr>
        <w:t>R. v. E.W.M</w:t>
      </w:r>
      <w:r w:rsidR="00A406DA" w:rsidRPr="009C6218">
        <w:rPr>
          <w:lang w:val="fr-CA"/>
        </w:rPr>
        <w:t xml:space="preserve">., </w:t>
      </w:r>
      <w:r w:rsidR="000672AE" w:rsidRPr="009C6218">
        <w:rPr>
          <w:lang w:val="fr-CA"/>
        </w:rPr>
        <w:t xml:space="preserve">l’arrêt charnière de la Cour suprême du Canada dans l’affaire </w:t>
      </w:r>
      <w:r w:rsidR="00A406DA" w:rsidRPr="009C6218">
        <w:rPr>
          <w:i/>
          <w:lang w:val="fr-CA"/>
        </w:rPr>
        <w:t xml:space="preserve">R. </w:t>
      </w:r>
      <w:r w:rsidR="000672AE" w:rsidRPr="009C6218">
        <w:rPr>
          <w:i/>
          <w:lang w:val="fr-CA"/>
        </w:rPr>
        <w:t>c</w:t>
      </w:r>
      <w:r w:rsidR="00A406DA" w:rsidRPr="009C6218">
        <w:rPr>
          <w:i/>
          <w:lang w:val="fr-CA"/>
        </w:rPr>
        <w:t>.</w:t>
      </w:r>
      <w:r w:rsidR="00A406DA" w:rsidRPr="009C6218">
        <w:rPr>
          <w:lang w:val="fr-CA"/>
        </w:rPr>
        <w:t xml:space="preserve"> </w:t>
      </w:r>
      <w:r w:rsidR="00A406DA" w:rsidRPr="009C6218">
        <w:rPr>
          <w:i/>
          <w:lang w:val="fr-CA"/>
        </w:rPr>
        <w:t>Hall</w:t>
      </w:r>
      <w:r w:rsidR="00A406DA" w:rsidRPr="009C6218">
        <w:rPr>
          <w:lang w:val="fr-CA"/>
        </w:rPr>
        <w:t xml:space="preserve">, 2002 </w:t>
      </w:r>
      <w:r w:rsidR="000672AE" w:rsidRPr="009C6218">
        <w:rPr>
          <w:lang w:val="fr-CA"/>
        </w:rPr>
        <w:t>CSC</w:t>
      </w:r>
      <w:r w:rsidR="00A406DA" w:rsidRPr="009C6218">
        <w:rPr>
          <w:lang w:val="fr-CA"/>
        </w:rPr>
        <w:t xml:space="preserve"> 64, </w:t>
      </w:r>
      <w:r w:rsidR="000672AE" w:rsidRPr="009C6218">
        <w:rPr>
          <w:lang w:val="fr-CA"/>
        </w:rPr>
        <w:t xml:space="preserve">ainsi que la décision de la juge </w:t>
      </w:r>
      <w:r w:rsidR="00A406DA" w:rsidRPr="009C6218">
        <w:rPr>
          <w:lang w:val="fr-CA"/>
        </w:rPr>
        <w:t>Ratushny</w:t>
      </w:r>
      <w:r w:rsidR="000672AE" w:rsidRPr="009C6218">
        <w:rPr>
          <w:lang w:val="fr-CA"/>
        </w:rPr>
        <w:t xml:space="preserve"> dans l’affaire </w:t>
      </w:r>
      <w:r w:rsidR="00A406DA" w:rsidRPr="009C6218">
        <w:rPr>
          <w:i/>
          <w:lang w:val="fr-CA"/>
        </w:rPr>
        <w:t>R. v. N.P</w:t>
      </w:r>
      <w:r w:rsidR="00A406DA" w:rsidRPr="009C6218">
        <w:rPr>
          <w:lang w:val="fr-CA"/>
        </w:rPr>
        <w:t xml:space="preserve">. </w:t>
      </w:r>
      <w:r w:rsidR="000672AE" w:rsidRPr="009C6218">
        <w:rPr>
          <w:lang w:val="fr-CA"/>
        </w:rPr>
        <w:t>La juge de paix Lauzon s’est aussi fondée sur une décision très récente de la Cour d’appel du Québec</w:t>
      </w:r>
      <w:r w:rsidR="00A406DA" w:rsidRPr="009C6218">
        <w:rPr>
          <w:lang w:val="fr-CA"/>
        </w:rPr>
        <w:t xml:space="preserve">, </w:t>
      </w:r>
      <w:r w:rsidR="00A406DA" w:rsidRPr="009C6218">
        <w:rPr>
          <w:i/>
          <w:lang w:val="fr-CA"/>
        </w:rPr>
        <w:t>R. c. Turcotte</w:t>
      </w:r>
      <w:r w:rsidR="00A406DA" w:rsidRPr="009C6218">
        <w:rPr>
          <w:lang w:val="fr-CA"/>
        </w:rPr>
        <w:t>, [2014] Q.J. 13532.</w:t>
      </w:r>
    </w:p>
    <w:p w14:paraId="09F7606E" w14:textId="292A37A4" w:rsidR="00A406DA" w:rsidRPr="009C6218" w:rsidRDefault="000672AE" w:rsidP="00B73542">
      <w:pPr>
        <w:numPr>
          <w:ilvl w:val="0"/>
          <w:numId w:val="1"/>
        </w:numPr>
        <w:spacing w:after="200" w:line="276" w:lineRule="auto"/>
        <w:ind w:left="567" w:hanging="567"/>
        <w:rPr>
          <w:lang w:val="fr-CA"/>
        </w:rPr>
      </w:pPr>
      <w:r w:rsidRPr="009C6218">
        <w:rPr>
          <w:lang w:val="fr-CA"/>
        </w:rPr>
        <w:t xml:space="preserve">Dans notre audience, dans son interrogatoire principal par son avocat, la juge de paix </w:t>
      </w:r>
      <w:r w:rsidR="00A406DA" w:rsidRPr="009C6218">
        <w:rPr>
          <w:lang w:val="fr-CA"/>
        </w:rPr>
        <w:t xml:space="preserve">Lauzon </w:t>
      </w:r>
      <w:r w:rsidRPr="009C6218">
        <w:rPr>
          <w:lang w:val="fr-CA"/>
        </w:rPr>
        <w:t xml:space="preserve">a répondu qu’elle n’avait pas eu l’intention de manquer de respect envers la juge </w:t>
      </w:r>
      <w:r w:rsidR="00A406DA" w:rsidRPr="009C6218">
        <w:rPr>
          <w:lang w:val="fr-CA"/>
        </w:rPr>
        <w:t>Ratushny</w:t>
      </w:r>
      <w:r w:rsidR="00A406DA" w:rsidRPr="009C6218">
        <w:rPr>
          <w:rStyle w:val="FootnoteReference"/>
          <w:lang w:val="fr-CA"/>
        </w:rPr>
        <w:footnoteReference w:id="123"/>
      </w:r>
      <w:r w:rsidRPr="009C6218">
        <w:rPr>
          <w:lang w:val="fr-CA"/>
        </w:rPr>
        <w:t xml:space="preserve">. De même, dans son contre-interrogatoire par l’avocat chargé </w:t>
      </w:r>
      <w:r w:rsidR="002C390C" w:rsidRPr="009C6218">
        <w:rPr>
          <w:rFonts w:eastAsia="Arial" w:cs="Times New Roman"/>
          <w:szCs w:val="22"/>
          <w:lang w:val="fr-CA"/>
        </w:rPr>
        <w:t>de la présentation</w:t>
      </w:r>
      <w:r w:rsidRPr="009C6218">
        <w:rPr>
          <w:lang w:val="fr-CA"/>
        </w:rPr>
        <w:t xml:space="preserve">, la juge de paix Lauzon a catégoriquement nié avoir eu l’intention de manquer de respecter envers la juge </w:t>
      </w:r>
      <w:r w:rsidR="00A406DA" w:rsidRPr="009C6218">
        <w:rPr>
          <w:lang w:val="fr-CA"/>
        </w:rPr>
        <w:t>Ratushny</w:t>
      </w:r>
      <w:r w:rsidR="00A406DA" w:rsidRPr="009C6218">
        <w:rPr>
          <w:rStyle w:val="FootnoteReference"/>
          <w:lang w:val="fr-CA"/>
        </w:rPr>
        <w:footnoteReference w:id="124"/>
      </w:r>
      <w:r w:rsidRPr="009C6218">
        <w:rPr>
          <w:lang w:val="fr-CA"/>
        </w:rPr>
        <w:t>.</w:t>
      </w:r>
    </w:p>
    <w:p w14:paraId="58B2BAA1" w14:textId="7A1FE745" w:rsidR="00194EBE" w:rsidRPr="009C6218" w:rsidRDefault="00A406DA" w:rsidP="00BE6325">
      <w:pPr>
        <w:pStyle w:val="Heading2"/>
        <w:rPr>
          <w:lang w:val="fr-CA"/>
        </w:rPr>
      </w:pPr>
      <w:bookmarkStart w:id="65" w:name="_Toc42946567"/>
      <w:r w:rsidRPr="009C6218">
        <w:rPr>
          <w:lang w:val="fr-CA"/>
        </w:rPr>
        <w:t>A</w:t>
      </w:r>
      <w:r w:rsidR="007D1722" w:rsidRPr="009C6218">
        <w:rPr>
          <w:lang w:val="fr-CA"/>
        </w:rPr>
        <w:t>nalys</w:t>
      </w:r>
      <w:r w:rsidR="000672AE" w:rsidRPr="009C6218">
        <w:rPr>
          <w:lang w:val="fr-CA"/>
        </w:rPr>
        <w:t>e</w:t>
      </w:r>
      <w:bookmarkEnd w:id="65"/>
    </w:p>
    <w:p w14:paraId="12436659" w14:textId="08ADBF3E" w:rsidR="00BC517F" w:rsidRPr="009C6218" w:rsidRDefault="00A8522C" w:rsidP="00B73542">
      <w:pPr>
        <w:numPr>
          <w:ilvl w:val="0"/>
          <w:numId w:val="1"/>
        </w:numPr>
        <w:spacing w:after="200" w:line="276" w:lineRule="auto"/>
        <w:ind w:left="567" w:hanging="567"/>
        <w:rPr>
          <w:lang w:val="fr-CA"/>
        </w:rPr>
      </w:pPr>
      <w:r w:rsidRPr="009C6218">
        <w:rPr>
          <w:rFonts w:eastAsia="Arial" w:cs="Times New Roman"/>
          <w:lang w:val="fr-CA"/>
        </w:rPr>
        <w:t xml:space="preserve">Nous allons commencer par examiner la question de la compétence soulevée par l’avocat de la juge de paix qui a plaidé que le comité d’audition n’avait pas compétence pour délibérer sur cette allégation, car elle constituait en fait une critique </w:t>
      </w:r>
      <w:r w:rsidR="00601718">
        <w:rPr>
          <w:rFonts w:eastAsia="Arial" w:cs="Times New Roman"/>
          <w:lang w:val="fr-CA"/>
        </w:rPr>
        <w:t>de l’</w:t>
      </w:r>
      <w:r w:rsidRPr="009C6218">
        <w:rPr>
          <w:rFonts w:eastAsia="Arial" w:cs="Times New Roman"/>
          <w:lang w:val="fr-CA"/>
        </w:rPr>
        <w:t xml:space="preserve">issue spécifique dans l’affaire. </w:t>
      </w:r>
    </w:p>
    <w:p w14:paraId="4DAABD98" w14:textId="57F3EA1D" w:rsidR="00BC517F" w:rsidRPr="009C6218" w:rsidRDefault="00A8522C" w:rsidP="00B73542">
      <w:pPr>
        <w:numPr>
          <w:ilvl w:val="0"/>
          <w:numId w:val="1"/>
        </w:numPr>
        <w:spacing w:after="200" w:line="276" w:lineRule="auto"/>
        <w:ind w:left="567" w:hanging="567"/>
        <w:rPr>
          <w:lang w:val="fr-CA"/>
        </w:rPr>
      </w:pPr>
      <w:r w:rsidRPr="009C6218">
        <w:rPr>
          <w:lang w:val="fr-CA"/>
        </w:rPr>
        <w:t>La règle</w:t>
      </w:r>
      <w:r w:rsidR="00BC517F" w:rsidRPr="009C6218">
        <w:rPr>
          <w:lang w:val="fr-CA"/>
        </w:rPr>
        <w:t xml:space="preserve"> 4.4 </w:t>
      </w:r>
      <w:r w:rsidRPr="009C6218">
        <w:rPr>
          <w:lang w:val="fr-CA"/>
        </w:rPr>
        <w:t>d</w:t>
      </w:r>
      <w:r w:rsidR="002C390C" w:rsidRPr="009C6218">
        <w:rPr>
          <w:lang w:val="fr-CA"/>
        </w:rPr>
        <w:t xml:space="preserve">u Document relatif aux procédures du CEJP limite la compétence du Conseil à l’enquête et à l’examen de plaintes ou d’allégations sur la conduite d’un juge de paix et clarifie que cette compétence ne s’étend pas au résultat particulier d’une instance. </w:t>
      </w:r>
    </w:p>
    <w:p w14:paraId="4B10E38C" w14:textId="0C8E5072" w:rsidR="00BC517F" w:rsidRPr="009C6218" w:rsidRDefault="000526ED" w:rsidP="00B73542">
      <w:pPr>
        <w:numPr>
          <w:ilvl w:val="0"/>
          <w:numId w:val="1"/>
        </w:numPr>
        <w:spacing w:after="200" w:line="276" w:lineRule="auto"/>
        <w:ind w:left="567" w:hanging="567"/>
        <w:rPr>
          <w:lang w:val="fr-CA"/>
        </w:rPr>
      </w:pPr>
      <w:r w:rsidRPr="009C6218">
        <w:rPr>
          <w:rFonts w:eastAsia="Arial" w:cs="Times New Roman"/>
          <w:lang w:val="fr-CA"/>
        </w:rPr>
        <w:t xml:space="preserve">Il est important de distinguer entre une allégation relative au caractère approprié de commentaires isolés dans un jugement et une allégation d’une critique à l’égard du raisonnement d’un juriste ou du résultat d’une instance particulière. Nous trouvons que l’allégation en question entre dans la </w:t>
      </w:r>
      <w:r w:rsidR="00C7067B" w:rsidRPr="009C6218">
        <w:rPr>
          <w:rFonts w:eastAsia="Arial" w:cs="Times New Roman"/>
          <w:lang w:val="fr-CA"/>
        </w:rPr>
        <w:t xml:space="preserve">première </w:t>
      </w:r>
      <w:r w:rsidRPr="009C6218">
        <w:rPr>
          <w:rFonts w:eastAsia="Arial" w:cs="Times New Roman"/>
          <w:lang w:val="fr-CA"/>
        </w:rPr>
        <w:t xml:space="preserve">catégorie </w:t>
      </w:r>
      <w:r w:rsidR="00C7067B" w:rsidRPr="009C6218">
        <w:rPr>
          <w:rFonts w:eastAsia="Arial" w:cs="Times New Roman"/>
          <w:lang w:val="fr-CA"/>
        </w:rPr>
        <w:t xml:space="preserve">et pas </w:t>
      </w:r>
      <w:r w:rsidR="00601718">
        <w:rPr>
          <w:rFonts w:eastAsia="Arial" w:cs="Times New Roman"/>
          <w:lang w:val="fr-CA"/>
        </w:rPr>
        <w:t xml:space="preserve">dans </w:t>
      </w:r>
      <w:r w:rsidR="00C7067B" w:rsidRPr="009C6218">
        <w:rPr>
          <w:rFonts w:eastAsia="Arial" w:cs="Times New Roman"/>
          <w:lang w:val="fr-CA"/>
        </w:rPr>
        <w:t xml:space="preserve">la seconde; la plainte porte sur la conduite et non sur l’issue finale de l’affaire. </w:t>
      </w:r>
      <w:bookmarkStart w:id="66" w:name="_Hlk39732706"/>
    </w:p>
    <w:bookmarkEnd w:id="66"/>
    <w:p w14:paraId="3EA39C24" w14:textId="173DF361" w:rsidR="00BC517F" w:rsidRPr="009C6218" w:rsidRDefault="00C7067B" w:rsidP="00B73542">
      <w:pPr>
        <w:numPr>
          <w:ilvl w:val="0"/>
          <w:numId w:val="1"/>
        </w:numPr>
        <w:spacing w:after="200" w:line="276" w:lineRule="auto"/>
        <w:ind w:left="567" w:hanging="567"/>
        <w:rPr>
          <w:lang w:val="fr-CA"/>
        </w:rPr>
      </w:pPr>
      <w:r w:rsidRPr="009C6218">
        <w:rPr>
          <w:rFonts w:eastAsia="Arial" w:cs="Times New Roman"/>
          <w:lang w:val="fr-CA"/>
        </w:rPr>
        <w:t>En conséquence, notre comité d’audition conclut qu’il a en fait compétence pour examiner l’allégation</w:t>
      </w:r>
      <w:r w:rsidR="00BC517F" w:rsidRPr="009C6218">
        <w:rPr>
          <w:rFonts w:eastAsia="Arial" w:cs="Times New Roman"/>
          <w:lang w:val="fr-CA"/>
        </w:rPr>
        <w:t>.</w:t>
      </w:r>
    </w:p>
    <w:p w14:paraId="609238ED" w14:textId="6B36AC59" w:rsidR="00A406DA" w:rsidRPr="009C6218" w:rsidRDefault="00C7067B" w:rsidP="00B73542">
      <w:pPr>
        <w:numPr>
          <w:ilvl w:val="0"/>
          <w:numId w:val="1"/>
        </w:numPr>
        <w:spacing w:after="200" w:line="276" w:lineRule="auto"/>
        <w:ind w:left="567" w:hanging="567"/>
        <w:rPr>
          <w:lang w:val="fr-CA"/>
        </w:rPr>
      </w:pPr>
      <w:r w:rsidRPr="009C6218">
        <w:rPr>
          <w:lang w:val="fr-CA"/>
        </w:rPr>
        <w:t>Passant au bien-fondé, le comité d’audition est convaincu qu’il existe une preuve claire et convaincante, fondée sur des éléments de preuve convaincants, qui établit l’inconduite judiciaire selon la prépondérance des probabilités</w:t>
      </w:r>
      <w:r w:rsidR="00A406DA" w:rsidRPr="009C6218">
        <w:rPr>
          <w:lang w:val="fr-CA"/>
        </w:rPr>
        <w:t>.</w:t>
      </w:r>
    </w:p>
    <w:p w14:paraId="649EB689" w14:textId="5B3F8603" w:rsidR="00A406DA" w:rsidRPr="009C6218" w:rsidRDefault="00C7067B" w:rsidP="00B73542">
      <w:pPr>
        <w:numPr>
          <w:ilvl w:val="0"/>
          <w:numId w:val="1"/>
        </w:numPr>
        <w:spacing w:after="200" w:line="276" w:lineRule="auto"/>
        <w:ind w:left="567" w:hanging="567"/>
        <w:rPr>
          <w:lang w:val="fr-CA"/>
        </w:rPr>
      </w:pPr>
      <w:r w:rsidRPr="009C6218">
        <w:rPr>
          <w:lang w:val="fr-CA"/>
        </w:rPr>
        <w:t xml:space="preserve">D’après les déclarations de la juge de la paix Lauzon dans son témoignage, qui n’ont pas été réellement contestées en contre-interrogatoire, nous sommes convaincus qu’elle n’avait pas l’intention de manquer de respect, et qu’elle n’a pas </w:t>
      </w:r>
      <w:r w:rsidRPr="009C6218">
        <w:rPr>
          <w:lang w:val="fr-CA"/>
        </w:rPr>
        <w:lastRenderedPageBreak/>
        <w:t xml:space="preserve">démontré un manque de respect, envers la juge </w:t>
      </w:r>
      <w:r w:rsidR="00A406DA" w:rsidRPr="009C6218">
        <w:rPr>
          <w:lang w:val="fr-CA"/>
        </w:rPr>
        <w:t>Ratushny person</w:t>
      </w:r>
      <w:r w:rsidRPr="009C6218">
        <w:rPr>
          <w:lang w:val="fr-CA"/>
        </w:rPr>
        <w:t xml:space="preserve">nellement, la Cour supérieure de justice ou le concept de </w:t>
      </w:r>
      <w:proofErr w:type="spellStart"/>
      <w:r w:rsidR="00A406DA" w:rsidRPr="009C6218">
        <w:rPr>
          <w:i/>
          <w:lang w:val="fr-CA"/>
        </w:rPr>
        <w:t>stare</w:t>
      </w:r>
      <w:proofErr w:type="spellEnd"/>
      <w:r w:rsidR="00A406DA" w:rsidRPr="009C6218">
        <w:rPr>
          <w:i/>
          <w:lang w:val="fr-CA"/>
        </w:rPr>
        <w:t xml:space="preserve"> </w:t>
      </w:r>
      <w:proofErr w:type="spellStart"/>
      <w:r w:rsidR="00A406DA" w:rsidRPr="009C6218">
        <w:rPr>
          <w:i/>
          <w:lang w:val="fr-CA"/>
        </w:rPr>
        <w:t>decisis</w:t>
      </w:r>
      <w:proofErr w:type="spellEnd"/>
      <w:r w:rsidR="00A406DA" w:rsidRPr="009C6218">
        <w:rPr>
          <w:i/>
          <w:lang w:val="fr-CA"/>
        </w:rPr>
        <w:t xml:space="preserve">. </w:t>
      </w:r>
      <w:r w:rsidRPr="009C6218">
        <w:rPr>
          <w:lang w:val="fr-CA"/>
        </w:rPr>
        <w:t xml:space="preserve">De même, il n’y a aucun motif objectif de conclure que la juge de paix </w:t>
      </w:r>
      <w:r w:rsidR="00A406DA" w:rsidRPr="009C6218">
        <w:rPr>
          <w:lang w:val="fr-CA"/>
        </w:rPr>
        <w:t xml:space="preserve">Lauzon </w:t>
      </w:r>
      <w:r w:rsidRPr="009C6218">
        <w:rPr>
          <w:lang w:val="fr-CA"/>
        </w:rPr>
        <w:t xml:space="preserve">a fait preuve d’un manque de respect envers l’administration de la justice soit pendant l’audience de justification pour </w:t>
      </w:r>
      <w:r w:rsidR="00A406DA" w:rsidRPr="009C6218">
        <w:rPr>
          <w:lang w:val="fr-CA"/>
        </w:rPr>
        <w:t xml:space="preserve">N.P. </w:t>
      </w:r>
      <w:r w:rsidRPr="009C6218">
        <w:rPr>
          <w:lang w:val="fr-CA"/>
        </w:rPr>
        <w:t>soit dans sa décision dans cette affaire</w:t>
      </w:r>
      <w:r w:rsidR="00A406DA" w:rsidRPr="009C6218">
        <w:rPr>
          <w:lang w:val="fr-CA"/>
        </w:rPr>
        <w:t>.</w:t>
      </w:r>
    </w:p>
    <w:p w14:paraId="37CD88D3" w14:textId="5297794A" w:rsidR="00A406DA" w:rsidRPr="009C6218" w:rsidRDefault="00C7067B" w:rsidP="00B73542">
      <w:pPr>
        <w:numPr>
          <w:ilvl w:val="0"/>
          <w:numId w:val="1"/>
        </w:numPr>
        <w:spacing w:after="200" w:line="276" w:lineRule="auto"/>
        <w:ind w:left="567" w:hanging="567"/>
        <w:rPr>
          <w:lang w:val="fr-CA"/>
        </w:rPr>
      </w:pPr>
      <w:r w:rsidRPr="009C6218">
        <w:rPr>
          <w:lang w:val="fr-CA"/>
        </w:rPr>
        <w:t xml:space="preserve">Afin de déterminer si l’inconduite judiciaire a été établie, notre comité d’audition doit décider si la conduite a si gravement compromis l’impartialité, l’intégrité et l’indépendance de la magistrature que la confiance du public dans la capacité de la juge de paix d’exécuter les fonctions de sa charge </w:t>
      </w:r>
      <w:r w:rsidR="00832D42">
        <w:rPr>
          <w:lang w:val="fr-CA"/>
        </w:rPr>
        <w:t>a été</w:t>
      </w:r>
      <w:r w:rsidRPr="009C6218">
        <w:rPr>
          <w:lang w:val="fr-CA"/>
        </w:rPr>
        <w:t xml:space="preserve"> érodée et que la confiance du public dans l’administration de la justice en général a été minée</w:t>
      </w:r>
      <w:r w:rsidR="00A406DA" w:rsidRPr="009C6218">
        <w:rPr>
          <w:lang w:val="fr-CA"/>
        </w:rPr>
        <w:t>.</w:t>
      </w:r>
    </w:p>
    <w:p w14:paraId="6A4CFD58" w14:textId="74FFD8E7" w:rsidR="00B06466" w:rsidRPr="009C6218" w:rsidRDefault="00C7067B" w:rsidP="00B73542">
      <w:pPr>
        <w:numPr>
          <w:ilvl w:val="0"/>
          <w:numId w:val="1"/>
        </w:numPr>
        <w:spacing w:after="200" w:line="276" w:lineRule="auto"/>
        <w:ind w:left="567" w:hanging="567"/>
        <w:rPr>
          <w:lang w:val="fr-CA"/>
        </w:rPr>
      </w:pPr>
      <w:r w:rsidRPr="009C6218">
        <w:rPr>
          <w:lang w:val="fr-CA"/>
        </w:rPr>
        <w:t xml:space="preserve">Le comité d’audition conclut que les commentaires de la juge de paix Lauzon dans l’affaire </w:t>
      </w:r>
      <w:r w:rsidR="00A406DA" w:rsidRPr="009C6218">
        <w:rPr>
          <w:i/>
          <w:lang w:val="fr-CA"/>
        </w:rPr>
        <w:t>R. v. AJN</w:t>
      </w:r>
      <w:r w:rsidRPr="009C6218">
        <w:rPr>
          <w:lang w:val="fr-CA"/>
        </w:rPr>
        <w:t xml:space="preserve"> ne satisfont pas à la norme élevée qui doit être atteinte pour établir l’existence d’une inconduite judiciaire. Au cours du prononcé oral de sa décision</w:t>
      </w:r>
      <w:r w:rsidR="008406EB" w:rsidRPr="009C6218">
        <w:rPr>
          <w:lang w:val="fr-CA"/>
        </w:rPr>
        <w:t xml:space="preserve">, elle a mentionné plusieurs causes qui avaient été portées à son attention. Bien que </w:t>
      </w:r>
      <w:r w:rsidR="00832D42">
        <w:rPr>
          <w:lang w:val="fr-CA"/>
        </w:rPr>
        <w:t>s</w:t>
      </w:r>
      <w:r w:rsidR="008406EB" w:rsidRPr="009C6218">
        <w:rPr>
          <w:lang w:val="fr-CA"/>
        </w:rPr>
        <w:t xml:space="preserve">es remarques concernant la décision de révision de la mise en liberté sous caution de la juge </w:t>
      </w:r>
      <w:r w:rsidR="00A406DA" w:rsidRPr="009C6218">
        <w:rPr>
          <w:lang w:val="fr-CA"/>
        </w:rPr>
        <w:t>Ratushny</w:t>
      </w:r>
      <w:r w:rsidR="008406EB" w:rsidRPr="009C6218">
        <w:rPr>
          <w:lang w:val="fr-CA"/>
        </w:rPr>
        <w:t xml:space="preserve">, dans l’affaire </w:t>
      </w:r>
      <w:r w:rsidR="00A406DA" w:rsidRPr="009C6218">
        <w:rPr>
          <w:i/>
          <w:lang w:val="fr-CA"/>
        </w:rPr>
        <w:t>R. v. NP</w:t>
      </w:r>
      <w:r w:rsidR="008406EB" w:rsidRPr="009C6218">
        <w:rPr>
          <w:i/>
          <w:lang w:val="fr-CA"/>
        </w:rPr>
        <w:t>,</w:t>
      </w:r>
      <w:r w:rsidR="00A406DA" w:rsidRPr="009C6218">
        <w:rPr>
          <w:lang w:val="fr-CA"/>
        </w:rPr>
        <w:t xml:space="preserve"> </w:t>
      </w:r>
      <w:r w:rsidR="008406EB" w:rsidRPr="009C6218">
        <w:rPr>
          <w:lang w:val="fr-CA"/>
        </w:rPr>
        <w:t>pourraient être perçues comment légèrement arrogantes et méprisantes, elles ne satisfont pas à la norme élevée qui doit être atteinte pour les caractériser d’inconduite judiciaire</w:t>
      </w:r>
      <w:r w:rsidR="00A406DA" w:rsidRPr="009C6218">
        <w:rPr>
          <w:lang w:val="fr-CA"/>
        </w:rPr>
        <w:t xml:space="preserve">.  </w:t>
      </w:r>
    </w:p>
    <w:p w14:paraId="6306E56F" w14:textId="504D4AD1" w:rsidR="00A406DA" w:rsidRPr="009C6218" w:rsidRDefault="008406EB" w:rsidP="00B73542">
      <w:pPr>
        <w:numPr>
          <w:ilvl w:val="0"/>
          <w:numId w:val="1"/>
        </w:numPr>
        <w:spacing w:after="200" w:line="276" w:lineRule="auto"/>
        <w:ind w:left="567" w:hanging="567"/>
        <w:rPr>
          <w:lang w:val="fr-CA"/>
        </w:rPr>
      </w:pPr>
      <w:r w:rsidRPr="009C6218">
        <w:rPr>
          <w:lang w:val="fr-CA"/>
        </w:rPr>
        <w:t xml:space="preserve"> La deuxième allégation d’inconduite judiciaire relative aux remarques de la juge de paix Lauzon au cours de l’audience de mise en liberté sous caution dans l’affaire</w:t>
      </w:r>
      <w:r w:rsidR="00A406DA" w:rsidRPr="009C6218">
        <w:rPr>
          <w:lang w:val="fr-CA"/>
        </w:rPr>
        <w:t xml:space="preserve"> AJN </w:t>
      </w:r>
      <w:r w:rsidRPr="009C6218">
        <w:rPr>
          <w:lang w:val="fr-CA"/>
        </w:rPr>
        <w:t>est dont rejetée</w:t>
      </w:r>
      <w:r w:rsidR="00A406DA" w:rsidRPr="009C6218">
        <w:rPr>
          <w:lang w:val="fr-CA"/>
        </w:rPr>
        <w:t>.</w:t>
      </w:r>
    </w:p>
    <w:p w14:paraId="1127912B" w14:textId="28FBAA06" w:rsidR="000A6947" w:rsidRPr="009C6218" w:rsidRDefault="008406EB" w:rsidP="00BE6325">
      <w:pPr>
        <w:pStyle w:val="Heading2"/>
        <w:rPr>
          <w:lang w:val="fr-CA"/>
        </w:rPr>
      </w:pPr>
      <w:bookmarkStart w:id="67" w:name="_Toc42946568"/>
      <w:r w:rsidRPr="009C6218">
        <w:rPr>
          <w:lang w:val="fr-CA"/>
        </w:rPr>
        <w:t>Observations sur la mesure à prendre</w:t>
      </w:r>
      <w:bookmarkEnd w:id="67"/>
    </w:p>
    <w:p w14:paraId="51DF878E" w14:textId="29C8CEA9" w:rsidR="000A6947" w:rsidRPr="009C6218" w:rsidRDefault="008406EB" w:rsidP="002D15C4">
      <w:pPr>
        <w:keepNext/>
        <w:numPr>
          <w:ilvl w:val="0"/>
          <w:numId w:val="1"/>
        </w:numPr>
        <w:spacing w:after="200" w:line="276" w:lineRule="auto"/>
        <w:ind w:left="567" w:hanging="567"/>
        <w:rPr>
          <w:lang w:val="fr-CA"/>
        </w:rPr>
      </w:pPr>
      <w:r w:rsidRPr="009C6218">
        <w:rPr>
          <w:lang w:val="fr-CA"/>
        </w:rPr>
        <w:t xml:space="preserve">Le comité d’audition entendra les observations des avocats sur la mesure à prendre </w:t>
      </w:r>
      <w:r w:rsidR="00832D42" w:rsidRPr="009C6218">
        <w:rPr>
          <w:lang w:val="fr-CA"/>
        </w:rPr>
        <w:t>le 16 juillet 2020</w:t>
      </w:r>
      <w:r w:rsidR="00832D42">
        <w:rPr>
          <w:lang w:val="fr-CA"/>
        </w:rPr>
        <w:t xml:space="preserve">, </w:t>
      </w:r>
      <w:r w:rsidRPr="009C6218">
        <w:rPr>
          <w:lang w:val="fr-CA"/>
        </w:rPr>
        <w:t>dès 10 h</w:t>
      </w:r>
      <w:r w:rsidR="000A6947" w:rsidRPr="009C6218">
        <w:rPr>
          <w:lang w:val="fr-CA"/>
        </w:rPr>
        <w:t xml:space="preserve">. </w:t>
      </w:r>
    </w:p>
    <w:p w14:paraId="3E8094C5" w14:textId="38B60D8F" w:rsidR="00DD2E91" w:rsidRPr="009C6218" w:rsidRDefault="008406EB" w:rsidP="00DD2E91">
      <w:pPr>
        <w:spacing w:before="1560" w:after="200" w:line="276" w:lineRule="auto"/>
        <w:rPr>
          <w:lang w:val="fr-CA"/>
        </w:rPr>
      </w:pPr>
      <w:r w:rsidRPr="009C6218">
        <w:rPr>
          <w:lang w:val="fr-CA"/>
        </w:rPr>
        <w:t xml:space="preserve">Fait dans la ville de Toronto, dans la province de l’Ontario, le 7 mai </w:t>
      </w:r>
      <w:r w:rsidR="00DD2E91" w:rsidRPr="009C6218">
        <w:rPr>
          <w:lang w:val="fr-CA"/>
        </w:rPr>
        <w:t xml:space="preserve">2020. </w:t>
      </w:r>
    </w:p>
    <w:p w14:paraId="65D82115" w14:textId="77777777" w:rsidR="00DD2E91" w:rsidRPr="009C6218" w:rsidRDefault="00DD2E91" w:rsidP="00DD2E91">
      <w:pPr>
        <w:spacing w:after="200" w:line="276" w:lineRule="auto"/>
        <w:rPr>
          <w:lang w:val="fr-CA"/>
        </w:rPr>
      </w:pPr>
    </w:p>
    <w:p w14:paraId="2F7A1977" w14:textId="6584B653" w:rsidR="00DD2E91" w:rsidRPr="009C6218" w:rsidRDefault="008406EB" w:rsidP="00DD2E91">
      <w:pPr>
        <w:spacing w:after="200" w:line="276" w:lineRule="auto"/>
        <w:rPr>
          <w:lang w:val="fr-CA"/>
        </w:rPr>
      </w:pPr>
      <w:r w:rsidRPr="009C6218">
        <w:rPr>
          <w:lang w:val="fr-CA"/>
        </w:rPr>
        <w:t xml:space="preserve">COMITÉ D’AUDITION </w:t>
      </w:r>
      <w:r w:rsidR="00DD2E91" w:rsidRPr="009C6218">
        <w:rPr>
          <w:lang w:val="fr-CA"/>
        </w:rPr>
        <w:t>:</w:t>
      </w:r>
    </w:p>
    <w:p w14:paraId="2A414BE7" w14:textId="6CF03D1B" w:rsidR="008406EB" w:rsidRPr="009C6218" w:rsidRDefault="008406EB" w:rsidP="008406EB">
      <w:pPr>
        <w:spacing w:before="240" w:after="240"/>
        <w:ind w:right="-448"/>
        <w:jc w:val="left"/>
        <w:rPr>
          <w:rFonts w:asciiTheme="minorHAnsi" w:eastAsia="Times New Roman" w:hAnsiTheme="minorHAnsi" w:cstheme="minorHAnsi"/>
          <w:lang w:val="fr-CA" w:eastAsia="en-CA"/>
        </w:rPr>
      </w:pPr>
      <w:r w:rsidRPr="009C6218">
        <w:rPr>
          <w:lang w:val="fr-CA"/>
        </w:rPr>
        <w:t xml:space="preserve">L’honorable juge </w:t>
      </w:r>
      <w:r w:rsidRPr="009C6218">
        <w:rPr>
          <w:rFonts w:asciiTheme="minorHAnsi" w:eastAsia="Times New Roman" w:hAnsiTheme="minorHAnsi" w:cstheme="minorHAnsi"/>
          <w:lang w:val="fr-CA" w:eastAsia="en-CA"/>
        </w:rPr>
        <w:t>Feroza Bhabha, présidente</w:t>
      </w:r>
    </w:p>
    <w:p w14:paraId="2609A500" w14:textId="57651D55" w:rsidR="008406EB" w:rsidRPr="009C6218" w:rsidRDefault="008406EB" w:rsidP="008406EB">
      <w:pPr>
        <w:spacing w:before="240" w:after="240"/>
        <w:ind w:right="-448"/>
        <w:jc w:val="left"/>
        <w:rPr>
          <w:rFonts w:asciiTheme="minorHAnsi" w:eastAsia="Times New Roman" w:hAnsiTheme="minorHAnsi" w:cstheme="minorHAnsi"/>
          <w:lang w:val="fr-CA" w:eastAsia="en-CA"/>
        </w:rPr>
      </w:pPr>
      <w:r w:rsidRPr="009C6218">
        <w:rPr>
          <w:lang w:val="fr-CA"/>
        </w:rPr>
        <w:t xml:space="preserve">Le juge de paix </w:t>
      </w:r>
      <w:r w:rsidRPr="009C6218">
        <w:rPr>
          <w:rFonts w:asciiTheme="minorHAnsi" w:eastAsia="Times New Roman" w:hAnsiTheme="minorHAnsi" w:cstheme="minorHAnsi"/>
          <w:lang w:val="fr-CA" w:eastAsia="en-CA"/>
        </w:rPr>
        <w:t xml:space="preserve">Thomas Stinson, </w:t>
      </w:r>
      <w:r w:rsidRPr="009C6218">
        <w:rPr>
          <w:lang w:val="fr-CA"/>
        </w:rPr>
        <w:t>membre juge de paix</w:t>
      </w:r>
    </w:p>
    <w:p w14:paraId="2EC081D3" w14:textId="5D232EB4" w:rsidR="008406EB" w:rsidRPr="009C6218" w:rsidRDefault="008406EB" w:rsidP="008406EB">
      <w:pPr>
        <w:spacing w:after="200" w:line="276" w:lineRule="auto"/>
        <w:rPr>
          <w:lang w:val="fr-CA"/>
        </w:rPr>
      </w:pPr>
      <w:r w:rsidRPr="009C6218">
        <w:rPr>
          <w:lang w:val="fr-CA"/>
        </w:rPr>
        <w:lastRenderedPageBreak/>
        <w:t>Madame</w:t>
      </w:r>
      <w:r w:rsidRPr="009C6218">
        <w:rPr>
          <w:rFonts w:asciiTheme="minorHAnsi" w:eastAsia="Times New Roman" w:hAnsiTheme="minorHAnsi" w:cstheme="minorHAnsi"/>
          <w:lang w:val="fr-CA" w:eastAsia="en-CA"/>
        </w:rPr>
        <w:t xml:space="preserve"> Margot Blight, membre avocate</w:t>
      </w:r>
    </w:p>
    <w:sectPr w:rsidR="008406EB" w:rsidRPr="009C6218" w:rsidSect="00C1578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0EF4E" w14:textId="77777777" w:rsidR="00B95D74" w:rsidRDefault="00B95D74" w:rsidP="00F72078">
      <w:r>
        <w:separator/>
      </w:r>
    </w:p>
  </w:endnote>
  <w:endnote w:type="continuationSeparator" w:id="0">
    <w:p w14:paraId="06750106" w14:textId="77777777" w:rsidR="00B95D74" w:rsidRDefault="00B95D74"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Helvetica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31A20" w14:textId="77777777" w:rsidR="00B95D74" w:rsidRDefault="00B95D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581032"/>
      <w:docPartObj>
        <w:docPartGallery w:val="Page Numbers (Bottom of Page)"/>
        <w:docPartUnique/>
      </w:docPartObj>
    </w:sdtPr>
    <w:sdtEndPr>
      <w:rPr>
        <w:noProof/>
      </w:rPr>
    </w:sdtEndPr>
    <w:sdtContent>
      <w:p w14:paraId="3ADE9810" w14:textId="2B0407F6" w:rsidR="00B95D74" w:rsidRDefault="00B95D74">
        <w:pPr>
          <w:pStyle w:val="Footer"/>
          <w:jc w:val="right"/>
        </w:pPr>
        <w:r>
          <w:fldChar w:fldCharType="begin"/>
        </w:r>
        <w:r>
          <w:instrText xml:space="preserve"> PAGE   \* MERGEFORMAT </w:instrText>
        </w:r>
        <w:r>
          <w:fldChar w:fldCharType="separate"/>
        </w:r>
        <w:r w:rsidR="001F7D53">
          <w:rPr>
            <w:noProof/>
          </w:rPr>
          <w:t>62</w:t>
        </w:r>
        <w:r>
          <w:rPr>
            <w:noProof/>
          </w:rPr>
          <w:fldChar w:fldCharType="end"/>
        </w:r>
      </w:p>
    </w:sdtContent>
  </w:sdt>
  <w:p w14:paraId="6196973C" w14:textId="77777777" w:rsidR="00B95D74" w:rsidRDefault="00B95D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96F3D" w14:textId="77777777" w:rsidR="00B95D74" w:rsidRDefault="00B95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1E7CC" w14:textId="77777777" w:rsidR="00B95D74" w:rsidRDefault="00B95D74" w:rsidP="00F72078">
      <w:r>
        <w:separator/>
      </w:r>
    </w:p>
  </w:footnote>
  <w:footnote w:type="continuationSeparator" w:id="0">
    <w:p w14:paraId="347CD991" w14:textId="77777777" w:rsidR="00B95D74" w:rsidRDefault="00B95D74" w:rsidP="00F72078">
      <w:r>
        <w:continuationSeparator/>
      </w:r>
    </w:p>
  </w:footnote>
  <w:footnote w:id="1">
    <w:p w14:paraId="08839865" w14:textId="1AAB8D02" w:rsidR="00B95D74" w:rsidRPr="007664EF" w:rsidRDefault="00B95D74">
      <w:pPr>
        <w:pStyle w:val="FootnoteText"/>
        <w:rPr>
          <w:lang w:val="fr-CA"/>
        </w:rPr>
      </w:pPr>
      <w:r w:rsidRPr="007664EF">
        <w:rPr>
          <w:rStyle w:val="FootnoteReference"/>
          <w:lang w:val="fr-CA"/>
        </w:rPr>
        <w:footnoteRef/>
      </w:r>
      <w:r w:rsidRPr="007664EF">
        <w:rPr>
          <w:lang w:val="fr-CA"/>
        </w:rPr>
        <w:t xml:space="preserve"> Voir l’Avis d’audience, pièce 1</w:t>
      </w:r>
    </w:p>
  </w:footnote>
  <w:footnote w:id="2">
    <w:p w14:paraId="067726E5" w14:textId="349232AA" w:rsidR="00B95D74" w:rsidRPr="007664EF" w:rsidRDefault="00B95D74" w:rsidP="00CB031E">
      <w:pPr>
        <w:pStyle w:val="FootnoteText"/>
        <w:rPr>
          <w:lang w:val="fr-CA"/>
        </w:rPr>
      </w:pPr>
      <w:r w:rsidRPr="007664EF">
        <w:rPr>
          <w:rStyle w:val="FootnoteReference"/>
          <w:lang w:val="fr-CA"/>
        </w:rPr>
        <w:footnoteRef/>
      </w:r>
      <w:r w:rsidRPr="007664EF">
        <w:rPr>
          <w:lang w:val="fr-CA"/>
        </w:rPr>
        <w:t xml:space="preserve"> Voir la transcription de l’instance du 10 octobre 2019, p. 173, l. 18 à p. 174, l. 23.</w:t>
      </w:r>
    </w:p>
  </w:footnote>
  <w:footnote w:id="3">
    <w:p w14:paraId="4EE68658" w14:textId="7C291720" w:rsidR="00B95D74" w:rsidRPr="007664EF" w:rsidRDefault="00B95D74">
      <w:pPr>
        <w:pStyle w:val="FootnoteText"/>
        <w:rPr>
          <w:lang w:val="fr-CA"/>
        </w:rPr>
      </w:pPr>
      <w:r w:rsidRPr="007664EF">
        <w:rPr>
          <w:rStyle w:val="FootnoteReference"/>
          <w:lang w:val="fr-CA"/>
        </w:rPr>
        <w:footnoteRef/>
      </w:r>
      <w:r w:rsidRPr="007664EF">
        <w:rPr>
          <w:lang w:val="fr-CA"/>
        </w:rPr>
        <w:t xml:space="preserve"> Voir Conseil d’évaluation des juges de paix : Document relati</w:t>
      </w:r>
      <w:r>
        <w:rPr>
          <w:lang w:val="fr-CA"/>
        </w:rPr>
        <w:t>f</w:t>
      </w:r>
      <w:r w:rsidRPr="007664EF">
        <w:rPr>
          <w:lang w:val="fr-CA"/>
        </w:rPr>
        <w:t xml:space="preserve"> aux procédures, règles 4.4 et 4.5</w:t>
      </w:r>
    </w:p>
  </w:footnote>
  <w:footnote w:id="4">
    <w:p w14:paraId="5B67D3B4" w14:textId="2E3CE32D" w:rsidR="00B95D74" w:rsidRPr="007664EF" w:rsidRDefault="00B95D74">
      <w:pPr>
        <w:pStyle w:val="FootnoteText"/>
        <w:rPr>
          <w:lang w:val="fr-CA"/>
        </w:rPr>
      </w:pPr>
      <w:r w:rsidRPr="007664EF">
        <w:rPr>
          <w:rStyle w:val="FootnoteReference"/>
          <w:lang w:val="fr-CA"/>
        </w:rPr>
        <w:footnoteRef/>
      </w:r>
      <w:r w:rsidRPr="007664EF">
        <w:rPr>
          <w:lang w:val="fr-CA"/>
        </w:rPr>
        <w:t xml:space="preserve"> Voir les affaires </w:t>
      </w:r>
      <w:r w:rsidRPr="007664EF">
        <w:rPr>
          <w:i/>
          <w:lang w:val="fr-CA"/>
        </w:rPr>
        <w:t>Re Evans</w:t>
      </w:r>
      <w:r w:rsidRPr="007664EF">
        <w:rPr>
          <w:lang w:val="fr-CA"/>
        </w:rPr>
        <w:t xml:space="preserve"> (2004) et </w:t>
      </w:r>
      <w:r w:rsidRPr="007664EF">
        <w:rPr>
          <w:i/>
          <w:lang w:val="fr-CA"/>
        </w:rPr>
        <w:t xml:space="preserve">Re Douglas </w:t>
      </w:r>
      <w:r w:rsidRPr="007664EF">
        <w:rPr>
          <w:lang w:val="fr-CA"/>
        </w:rPr>
        <w:t xml:space="preserve">(2006), audiences du Conseil de la magistrature de l’Ontario; voir aussi l’arrêt </w:t>
      </w:r>
      <w:r w:rsidRPr="007664EF">
        <w:rPr>
          <w:i/>
          <w:lang w:val="fr-CA"/>
        </w:rPr>
        <w:t>F.H. c. MacDougall</w:t>
      </w:r>
      <w:r w:rsidRPr="007664EF">
        <w:rPr>
          <w:lang w:val="fr-CA"/>
        </w:rPr>
        <w:t xml:space="preserve"> [2008] 3 R.C.S. 41, para. 45-46.</w:t>
      </w:r>
    </w:p>
  </w:footnote>
  <w:footnote w:id="5">
    <w:p w14:paraId="6E86AB74" w14:textId="22FE1637" w:rsidR="00B95D74" w:rsidRPr="007664EF" w:rsidRDefault="00B95D74" w:rsidP="00D404C3">
      <w:pPr>
        <w:pStyle w:val="FootnoteText"/>
        <w:rPr>
          <w:lang w:val="fr-CA"/>
        </w:rPr>
      </w:pPr>
      <w:r w:rsidRPr="007664EF">
        <w:rPr>
          <w:rStyle w:val="FootnoteReference"/>
          <w:lang w:val="fr-CA"/>
        </w:rPr>
        <w:footnoteRef/>
      </w:r>
      <w:r w:rsidRPr="007664EF">
        <w:rPr>
          <w:lang w:val="fr-CA"/>
        </w:rPr>
        <w:t xml:space="preserve"> Voir : </w:t>
      </w:r>
      <w:r w:rsidRPr="007664EF">
        <w:rPr>
          <w:i/>
          <w:lang w:val="fr-CA"/>
        </w:rPr>
        <w:t>Ruffo c. Conseil de la magistrature</w:t>
      </w:r>
      <w:r w:rsidRPr="007664EF">
        <w:rPr>
          <w:lang w:val="fr-CA"/>
        </w:rPr>
        <w:t>, [1995] 4 R.C.S. 267 (C.S.C.), para 68  (</w:t>
      </w:r>
      <w:r w:rsidRPr="007664EF">
        <w:rPr>
          <w:i/>
          <w:lang w:val="fr-CA"/>
        </w:rPr>
        <w:t>Ruffo</w:t>
      </w:r>
      <w:r w:rsidRPr="007664EF">
        <w:rPr>
          <w:lang w:val="fr-CA"/>
        </w:rPr>
        <w:t xml:space="preserve"> (1995), et </w:t>
      </w:r>
      <w:r w:rsidRPr="007664EF">
        <w:rPr>
          <w:i/>
          <w:lang w:val="fr-CA"/>
        </w:rPr>
        <w:t>Re The Honourable Justice Donald MacLeod</w:t>
      </w:r>
      <w:r w:rsidRPr="007664EF">
        <w:rPr>
          <w:lang w:val="fr-CA"/>
        </w:rPr>
        <w:t>, 2018 (</w:t>
      </w:r>
      <w:r w:rsidRPr="007664EF">
        <w:rPr>
          <w:i/>
          <w:lang w:val="fr-CA"/>
        </w:rPr>
        <w:t>Re McLeod</w:t>
      </w:r>
      <w:r w:rsidRPr="007664EF">
        <w:rPr>
          <w:lang w:val="fr-CA"/>
        </w:rPr>
        <w:t>)</w:t>
      </w:r>
      <w:r w:rsidRPr="007664EF">
        <w:rPr>
          <w:i/>
          <w:lang w:val="fr-CA"/>
        </w:rPr>
        <w:t xml:space="preserve"> </w:t>
      </w:r>
      <w:r w:rsidRPr="007664EF">
        <w:rPr>
          <w:lang w:val="fr-CA"/>
        </w:rPr>
        <w:t>(2018</w:t>
      </w:r>
      <w:r w:rsidRPr="007664EF">
        <w:rPr>
          <w:i/>
          <w:lang w:val="fr-CA"/>
        </w:rPr>
        <w:t>),</w:t>
      </w:r>
      <w:r w:rsidRPr="007664EF">
        <w:rPr>
          <w:lang w:val="fr-CA"/>
        </w:rPr>
        <w:t xml:space="preserve"> le dossier de doctrine et de jurisprudence de l’avocat chargé de </w:t>
      </w:r>
      <w:r>
        <w:rPr>
          <w:lang w:val="fr-CA"/>
        </w:rPr>
        <w:t>la présentation</w:t>
      </w:r>
      <w:r w:rsidRPr="007664EF">
        <w:rPr>
          <w:lang w:val="fr-CA"/>
        </w:rPr>
        <w:t xml:space="preserve">, onglet 3 au para 70; voir aussi </w:t>
      </w:r>
      <w:r w:rsidRPr="007664EF">
        <w:rPr>
          <w:i/>
          <w:lang w:val="fr-CA"/>
        </w:rPr>
        <w:t>Re Baldwin</w:t>
      </w:r>
      <w:r w:rsidRPr="007664EF">
        <w:rPr>
          <w:lang w:val="fr-CA"/>
        </w:rPr>
        <w:t xml:space="preserve">, (OCJ, May 10 2002) et </w:t>
      </w:r>
      <w:r w:rsidRPr="007664EF">
        <w:rPr>
          <w:i/>
          <w:lang w:val="fr-CA"/>
        </w:rPr>
        <w:t>Re Douglas</w:t>
      </w:r>
      <w:r w:rsidRPr="007664EF">
        <w:rPr>
          <w:lang w:val="fr-CA"/>
        </w:rPr>
        <w:t>, (OCJ, March 6, 2006)</w:t>
      </w:r>
    </w:p>
    <w:p w14:paraId="61EF09D4" w14:textId="333AB6E1" w:rsidR="00B95D74" w:rsidRPr="007664EF" w:rsidRDefault="00B95D74">
      <w:pPr>
        <w:pStyle w:val="FootnoteText"/>
        <w:rPr>
          <w:lang w:val="fr-CA"/>
        </w:rPr>
      </w:pPr>
    </w:p>
  </w:footnote>
  <w:footnote w:id="6">
    <w:p w14:paraId="0C386D86" w14:textId="59780459" w:rsidR="00B95D74" w:rsidRPr="007664EF" w:rsidRDefault="00B95D74" w:rsidP="006D2C43">
      <w:pPr>
        <w:pStyle w:val="FootnoteText"/>
        <w:rPr>
          <w:lang w:val="fr-CA"/>
        </w:rPr>
      </w:pPr>
      <w:r w:rsidRPr="007664EF">
        <w:rPr>
          <w:rStyle w:val="FootnoteReference"/>
          <w:lang w:val="fr-CA"/>
        </w:rPr>
        <w:footnoteRef/>
      </w:r>
      <w:r w:rsidRPr="007664EF">
        <w:rPr>
          <w:lang w:val="fr-CA"/>
        </w:rPr>
        <w:t xml:space="preserve"> </w:t>
      </w:r>
      <w:r>
        <w:rPr>
          <w:lang w:val="fr-CA"/>
        </w:rPr>
        <w:t>Même si</w:t>
      </w:r>
      <w:r w:rsidRPr="007664EF">
        <w:rPr>
          <w:lang w:val="fr-CA"/>
        </w:rPr>
        <w:t xml:space="preserve"> la plupart des déposants, si ce n’est tous, devaient témoigner, après le témoignage des trois premiers déposants, l’avocat de la juge de paix a décidé de ne pas appeler les autres témoins. </w:t>
      </w:r>
    </w:p>
  </w:footnote>
  <w:footnote w:id="7">
    <w:p w14:paraId="6BCE7203" w14:textId="77EB289E" w:rsidR="00B95D74" w:rsidRPr="007664EF" w:rsidRDefault="00B95D74" w:rsidP="006D2C43">
      <w:pPr>
        <w:pStyle w:val="FootnoteText"/>
        <w:rPr>
          <w:lang w:val="fr-CA"/>
        </w:rPr>
      </w:pPr>
      <w:r w:rsidRPr="007664EF">
        <w:rPr>
          <w:rStyle w:val="FootnoteReference"/>
          <w:lang w:val="fr-CA"/>
        </w:rPr>
        <w:footnoteRef/>
      </w:r>
      <w:r w:rsidRPr="007664EF">
        <w:rPr>
          <w:lang w:val="fr-CA"/>
        </w:rPr>
        <w:t xml:space="preserve"> Les juges de paix suivants ont fait un témoignage </w:t>
      </w:r>
      <w:r w:rsidRPr="007664EF">
        <w:rPr>
          <w:i/>
          <w:lang w:val="fr-CA"/>
        </w:rPr>
        <w:t xml:space="preserve">viva voce </w:t>
      </w:r>
      <w:r w:rsidRPr="007664EF">
        <w:rPr>
          <w:lang w:val="fr-CA"/>
        </w:rPr>
        <w:t>: la juge de paix Linda Pearson et la juge de paix Rhonda Roffey, le 16 septembre 2019, et la juge de paix Maxine Coopersmith, le 17 septembre 2019.</w:t>
      </w:r>
    </w:p>
  </w:footnote>
  <w:footnote w:id="8">
    <w:p w14:paraId="69F8D01A" w14:textId="29E29288" w:rsidR="00B95D74" w:rsidRPr="007664EF" w:rsidRDefault="00B95D74" w:rsidP="006D2C43">
      <w:pPr>
        <w:pStyle w:val="FootnoteText"/>
        <w:rPr>
          <w:lang w:val="fr-CA"/>
        </w:rPr>
      </w:pPr>
      <w:r w:rsidRPr="007664EF">
        <w:rPr>
          <w:rStyle w:val="FootnoteReference"/>
          <w:lang w:val="fr-CA"/>
        </w:rPr>
        <w:footnoteRef/>
      </w:r>
      <w:r w:rsidRPr="007664EF">
        <w:rPr>
          <w:lang w:val="fr-CA"/>
        </w:rPr>
        <w:t xml:space="preserve"> Exposé conjoint des faits, daté du 11 septembre 2019, pièce 2, paragraphe 6.</w:t>
      </w:r>
    </w:p>
  </w:footnote>
  <w:footnote w:id="9">
    <w:p w14:paraId="09546EC2" w14:textId="2E1C6FB1" w:rsidR="00B95D74" w:rsidRPr="007664EF" w:rsidRDefault="00B95D74" w:rsidP="006D2C43">
      <w:pPr>
        <w:pStyle w:val="FootnoteText"/>
        <w:rPr>
          <w:lang w:val="fr-CA"/>
        </w:rPr>
      </w:pPr>
      <w:r w:rsidRPr="007664EF">
        <w:rPr>
          <w:rStyle w:val="FootnoteReference"/>
          <w:lang w:val="fr-CA"/>
        </w:rPr>
        <w:footnoteRef/>
      </w:r>
      <w:r w:rsidRPr="007664EF">
        <w:rPr>
          <w:lang w:val="fr-CA"/>
        </w:rPr>
        <w:t xml:space="preserve"> Transcription du 17 septembre 2019, p. 153, l. 21 </w:t>
      </w:r>
      <w:r>
        <w:rPr>
          <w:lang w:val="fr-CA"/>
        </w:rPr>
        <w:t>à</w:t>
      </w:r>
      <w:r w:rsidRPr="007664EF">
        <w:rPr>
          <w:lang w:val="fr-CA"/>
        </w:rPr>
        <w:t xml:space="preserve"> p. 155, l.6</w:t>
      </w:r>
    </w:p>
  </w:footnote>
  <w:footnote w:id="10">
    <w:p w14:paraId="0729BEE1" w14:textId="2AC24659" w:rsidR="00B95D74" w:rsidRPr="007664EF" w:rsidRDefault="00B95D74" w:rsidP="006D2C43">
      <w:pPr>
        <w:pStyle w:val="FootnoteText"/>
        <w:rPr>
          <w:lang w:val="fr-CA"/>
        </w:rPr>
      </w:pPr>
      <w:r w:rsidRPr="007664EF">
        <w:rPr>
          <w:rStyle w:val="FootnoteReference"/>
          <w:lang w:val="fr-CA"/>
        </w:rPr>
        <w:footnoteRef/>
      </w:r>
      <w:r w:rsidRPr="007664EF">
        <w:rPr>
          <w:lang w:val="fr-CA"/>
        </w:rPr>
        <w:t xml:space="preserve"> Par exemple, le rapport « Broken Bail » de juin 2015, </w:t>
      </w:r>
      <w:r>
        <w:rPr>
          <w:lang w:val="fr-CA"/>
        </w:rPr>
        <w:t>D</w:t>
      </w:r>
      <w:r w:rsidRPr="007664EF">
        <w:rPr>
          <w:lang w:val="fr-CA"/>
        </w:rPr>
        <w:t xml:space="preserve">ossier de doctrine et de jurisprudence supplémentaire (avocat chargé de </w:t>
      </w:r>
      <w:r>
        <w:rPr>
          <w:lang w:val="fr-CA"/>
        </w:rPr>
        <w:t>la présentation</w:t>
      </w:r>
      <w:r w:rsidRPr="007664EF">
        <w:rPr>
          <w:lang w:val="fr-CA"/>
        </w:rPr>
        <w:t xml:space="preserve">), piéce 10, onglet 2, et autres mentions dans des observations de Me Greenspon: Voir la transcription du 11 octobre 2019, p. 16, l. 14 </w:t>
      </w:r>
      <w:r>
        <w:rPr>
          <w:lang w:val="fr-CA"/>
        </w:rPr>
        <w:t>à</w:t>
      </w:r>
      <w:r w:rsidRPr="007664EF">
        <w:rPr>
          <w:lang w:val="fr-CA"/>
        </w:rPr>
        <w:t xml:space="preserve"> p. 18, l. 13</w:t>
      </w:r>
    </w:p>
  </w:footnote>
  <w:footnote w:id="11">
    <w:p w14:paraId="07B77A1D" w14:textId="51B87DDC" w:rsidR="00B95D74" w:rsidRPr="007664EF" w:rsidRDefault="00B95D74" w:rsidP="006D2C43">
      <w:pPr>
        <w:pStyle w:val="FootnoteText"/>
        <w:rPr>
          <w:lang w:val="fr-CA"/>
        </w:rPr>
      </w:pPr>
      <w:r w:rsidRPr="007664EF">
        <w:rPr>
          <w:rStyle w:val="FootnoteReference"/>
          <w:lang w:val="fr-CA"/>
        </w:rPr>
        <w:footnoteRef/>
      </w:r>
      <w:r w:rsidRPr="007664EF">
        <w:rPr>
          <w:lang w:val="fr-CA"/>
        </w:rPr>
        <w:t xml:space="preserve"> Paragraphes 79 à 97 des observations écrites de l’avocat chargé de </w:t>
      </w:r>
      <w:r>
        <w:rPr>
          <w:lang w:val="fr-CA"/>
        </w:rPr>
        <w:t>la présentation</w:t>
      </w:r>
      <w:r w:rsidRPr="007664EF">
        <w:rPr>
          <w:lang w:val="fr-CA"/>
        </w:rPr>
        <w:t xml:space="preserve"> sur l’inconduite judiciaire.</w:t>
      </w:r>
    </w:p>
  </w:footnote>
  <w:footnote w:id="12">
    <w:p w14:paraId="24D453D3" w14:textId="6F80E8F7" w:rsidR="00B95D74" w:rsidRPr="007664EF" w:rsidRDefault="00B95D74" w:rsidP="006D2C43">
      <w:pPr>
        <w:pStyle w:val="FootnoteText"/>
        <w:rPr>
          <w:lang w:val="fr-CA"/>
        </w:rPr>
      </w:pPr>
      <w:r w:rsidRPr="007664EF">
        <w:rPr>
          <w:rStyle w:val="FootnoteReference"/>
          <w:lang w:val="fr-CA"/>
        </w:rPr>
        <w:footnoteRef/>
      </w:r>
      <w:r w:rsidRPr="007664EF">
        <w:rPr>
          <w:lang w:val="fr-CA"/>
        </w:rPr>
        <w:t xml:space="preserve"> Ibid, au paragraphe 84 </w:t>
      </w:r>
    </w:p>
  </w:footnote>
  <w:footnote w:id="13">
    <w:p w14:paraId="00A07C5B" w14:textId="5FFF4EED" w:rsidR="00B95D74" w:rsidRPr="007664EF" w:rsidRDefault="00B95D74" w:rsidP="006D2C43">
      <w:pPr>
        <w:pStyle w:val="FootnoteText"/>
        <w:rPr>
          <w:lang w:val="fr-CA"/>
        </w:rPr>
      </w:pPr>
      <w:r w:rsidRPr="007664EF">
        <w:rPr>
          <w:rStyle w:val="FootnoteReference"/>
          <w:lang w:val="fr-CA"/>
        </w:rPr>
        <w:footnoteRef/>
      </w:r>
      <w:r w:rsidRPr="007664EF">
        <w:rPr>
          <w:lang w:val="fr-CA"/>
        </w:rPr>
        <w:t xml:space="preserve"> Transcription, 30 octobre 2018, pp. 42-43</w:t>
      </w:r>
    </w:p>
  </w:footnote>
  <w:footnote w:id="14">
    <w:p w14:paraId="37C1208D" w14:textId="5D4C2C4A" w:rsidR="00B95D74" w:rsidRPr="007664EF" w:rsidRDefault="00B95D74">
      <w:pPr>
        <w:pStyle w:val="FootnoteText"/>
        <w:rPr>
          <w:lang w:val="fr-CA"/>
        </w:rPr>
      </w:pPr>
      <w:r w:rsidRPr="007664EF">
        <w:rPr>
          <w:rStyle w:val="FootnoteReference"/>
          <w:lang w:val="fr-CA"/>
        </w:rPr>
        <w:footnoteRef/>
      </w:r>
      <w:r w:rsidRPr="007664EF">
        <w:rPr>
          <w:lang w:val="fr-CA"/>
        </w:rPr>
        <w:t xml:space="preserve"> Observations de l’Association of Justices of the Peace (AJPO) (audience sur le bien-fondé), para.</w:t>
      </w:r>
      <w:r>
        <w:rPr>
          <w:lang w:val="fr-CA"/>
        </w:rPr>
        <w:t xml:space="preserve"> </w:t>
      </w:r>
      <w:r w:rsidRPr="007664EF">
        <w:rPr>
          <w:lang w:val="fr-CA"/>
        </w:rPr>
        <w:t>3</w:t>
      </w:r>
    </w:p>
  </w:footnote>
  <w:footnote w:id="15">
    <w:p w14:paraId="06D05813" w14:textId="6C4F0BBB" w:rsidR="00B95D74" w:rsidRPr="007664EF" w:rsidRDefault="00B95D74">
      <w:pPr>
        <w:pStyle w:val="FootnoteText"/>
        <w:rPr>
          <w:lang w:val="fr-CA"/>
        </w:rPr>
      </w:pPr>
      <w:r w:rsidRPr="007664EF">
        <w:rPr>
          <w:rStyle w:val="FootnoteReference"/>
          <w:lang w:val="fr-CA"/>
        </w:rPr>
        <w:footnoteRef/>
      </w:r>
      <w:r w:rsidRPr="007664EF">
        <w:rPr>
          <w:lang w:val="fr-CA"/>
        </w:rPr>
        <w:t xml:space="preserve"> </w:t>
      </w:r>
      <w:r w:rsidRPr="007664EF">
        <w:rPr>
          <w:i/>
          <w:lang w:val="fr-CA"/>
        </w:rPr>
        <w:t xml:space="preserve">Ibid, </w:t>
      </w:r>
      <w:r w:rsidRPr="007664EF">
        <w:rPr>
          <w:lang w:val="fr-CA"/>
        </w:rPr>
        <w:t>au para. 4</w:t>
      </w:r>
    </w:p>
  </w:footnote>
  <w:footnote w:id="16">
    <w:p w14:paraId="27CF531A" w14:textId="38E18F3D" w:rsidR="00B95D74" w:rsidRPr="007664EF" w:rsidRDefault="00B95D74" w:rsidP="006D2C43">
      <w:pPr>
        <w:pStyle w:val="FootnoteText"/>
        <w:rPr>
          <w:lang w:val="fr-CA"/>
        </w:rPr>
      </w:pPr>
      <w:r w:rsidRPr="007664EF">
        <w:rPr>
          <w:rStyle w:val="FootnoteReference"/>
          <w:lang w:val="fr-CA"/>
        </w:rPr>
        <w:footnoteRef/>
      </w:r>
      <w:r w:rsidRPr="007664EF">
        <w:rPr>
          <w:lang w:val="fr-CA"/>
        </w:rPr>
        <w:t xml:space="preserve"> </w:t>
      </w:r>
      <w:r w:rsidRPr="007664EF">
        <w:rPr>
          <w:i/>
          <w:lang w:val="fr-CA"/>
        </w:rPr>
        <w:t>Ibid,</w:t>
      </w:r>
      <w:r w:rsidRPr="007664EF">
        <w:rPr>
          <w:lang w:val="fr-CA"/>
        </w:rPr>
        <w:t xml:space="preserve"> au para. 15</w:t>
      </w:r>
    </w:p>
  </w:footnote>
  <w:footnote w:id="17">
    <w:p w14:paraId="258C593B" w14:textId="72316677" w:rsidR="00B95D74" w:rsidRPr="007664EF" w:rsidRDefault="00B95D74">
      <w:pPr>
        <w:pStyle w:val="FootnoteText"/>
        <w:rPr>
          <w:lang w:val="fr-CA"/>
        </w:rPr>
      </w:pPr>
      <w:r w:rsidRPr="007664EF">
        <w:rPr>
          <w:rStyle w:val="FootnoteReference"/>
          <w:lang w:val="fr-CA"/>
        </w:rPr>
        <w:footnoteRef/>
      </w:r>
      <w:r w:rsidRPr="007664EF">
        <w:rPr>
          <w:lang w:val="fr-CA"/>
        </w:rPr>
        <w:t xml:space="preserve"> </w:t>
      </w:r>
      <w:r w:rsidRPr="007664EF">
        <w:rPr>
          <w:i/>
          <w:lang w:val="fr-CA"/>
        </w:rPr>
        <w:t>Ibid</w:t>
      </w:r>
      <w:r w:rsidRPr="007664EF">
        <w:rPr>
          <w:lang w:val="fr-CA"/>
        </w:rPr>
        <w:t>, au para.</w:t>
      </w:r>
    </w:p>
  </w:footnote>
  <w:footnote w:id="18">
    <w:p w14:paraId="19359592" w14:textId="10BF1987" w:rsidR="00B95D74" w:rsidRPr="007664EF" w:rsidRDefault="00B95D74">
      <w:pPr>
        <w:pStyle w:val="FootnoteText"/>
        <w:rPr>
          <w:lang w:val="fr-CA"/>
        </w:rPr>
      </w:pPr>
      <w:r w:rsidRPr="007664EF">
        <w:rPr>
          <w:rStyle w:val="FootnoteReference"/>
          <w:lang w:val="fr-CA"/>
        </w:rPr>
        <w:footnoteRef/>
      </w:r>
      <w:r w:rsidRPr="007664EF">
        <w:rPr>
          <w:lang w:val="fr-CA"/>
        </w:rPr>
        <w:t xml:space="preserve"> </w:t>
      </w:r>
      <w:r w:rsidRPr="007664EF">
        <w:rPr>
          <w:i/>
          <w:lang w:val="fr-CA"/>
        </w:rPr>
        <w:t>Re Justice of the Peace Errol Massiah</w:t>
      </w:r>
      <w:r w:rsidRPr="007664EF">
        <w:rPr>
          <w:lang w:val="fr-CA"/>
        </w:rPr>
        <w:t xml:space="preserve">, (2012), au para. 195, Cahier de l’avocat chargé de </w:t>
      </w:r>
      <w:r>
        <w:rPr>
          <w:lang w:val="fr-CA"/>
        </w:rPr>
        <w:t>la présentation</w:t>
      </w:r>
      <w:r w:rsidRPr="007664EF">
        <w:rPr>
          <w:lang w:val="fr-CA"/>
        </w:rPr>
        <w:t xml:space="preserve">, onglet 4, au para. 187; et </w:t>
      </w:r>
      <w:r w:rsidRPr="007664EF">
        <w:rPr>
          <w:i/>
          <w:lang w:val="fr-CA"/>
        </w:rPr>
        <w:t>Re His Worship Rick C. Romain</w:t>
      </w:r>
      <w:r w:rsidRPr="007664EF">
        <w:rPr>
          <w:lang w:val="fr-CA"/>
        </w:rPr>
        <w:t xml:space="preserve">, p. 21  </w:t>
      </w:r>
    </w:p>
  </w:footnote>
  <w:footnote w:id="19">
    <w:p w14:paraId="7B197DD0" w14:textId="44A0CFA7" w:rsidR="00B95D74" w:rsidRPr="007664EF" w:rsidRDefault="00B95D74" w:rsidP="00B73569">
      <w:pPr>
        <w:pStyle w:val="FootnoteText"/>
        <w:rPr>
          <w:lang w:val="fr-CA"/>
        </w:rPr>
      </w:pPr>
      <w:r w:rsidRPr="007664EF">
        <w:rPr>
          <w:rStyle w:val="FootnoteReference"/>
          <w:lang w:val="fr-CA"/>
        </w:rPr>
        <w:footnoteRef/>
      </w:r>
      <w:r w:rsidRPr="007664EF">
        <w:rPr>
          <w:lang w:val="fr-CA"/>
        </w:rPr>
        <w:t xml:space="preserve"> </w:t>
      </w:r>
      <w:r w:rsidRPr="007664EF">
        <w:rPr>
          <w:i/>
          <w:lang w:val="fr-CA"/>
        </w:rPr>
        <w:t>McLeod (Re)</w:t>
      </w:r>
      <w:r w:rsidRPr="007664EF">
        <w:rPr>
          <w:lang w:val="fr-CA"/>
        </w:rPr>
        <w:t xml:space="preserve">, (2018), au para. 55; </w:t>
      </w:r>
      <w:r w:rsidRPr="007664EF">
        <w:rPr>
          <w:i/>
          <w:lang w:val="fr-CA"/>
        </w:rPr>
        <w:t>Ruffo</w:t>
      </w:r>
      <w:r w:rsidRPr="007664EF">
        <w:rPr>
          <w:lang w:val="fr-CA"/>
        </w:rPr>
        <w:t xml:space="preserve"> </w:t>
      </w:r>
      <w:r w:rsidRPr="007664EF">
        <w:rPr>
          <w:i/>
          <w:lang w:val="fr-CA"/>
        </w:rPr>
        <w:t>(Re)</w:t>
      </w:r>
      <w:r w:rsidRPr="007664EF">
        <w:rPr>
          <w:lang w:val="fr-CA"/>
        </w:rPr>
        <w:t>, (2005) au para. 44</w:t>
      </w:r>
    </w:p>
  </w:footnote>
  <w:footnote w:id="20">
    <w:p w14:paraId="419CEDE1" w14:textId="0C5A5868" w:rsidR="00B95D74" w:rsidRPr="007664EF" w:rsidRDefault="00B95D74" w:rsidP="00D752EA">
      <w:pPr>
        <w:pStyle w:val="FootnoteText"/>
        <w:rPr>
          <w:lang w:val="fr-CA"/>
        </w:rPr>
      </w:pPr>
      <w:r w:rsidRPr="007664EF">
        <w:rPr>
          <w:rStyle w:val="FootnoteReference"/>
          <w:lang w:val="fr-CA"/>
        </w:rPr>
        <w:footnoteRef/>
      </w:r>
      <w:r w:rsidRPr="007664EF">
        <w:rPr>
          <w:lang w:val="fr-CA"/>
        </w:rPr>
        <w:t xml:space="preserve"> </w:t>
      </w:r>
      <w:r w:rsidRPr="007664EF">
        <w:rPr>
          <w:lang w:val="fr-CA"/>
        </w:rPr>
        <w:t>au para. 44</w:t>
      </w:r>
    </w:p>
  </w:footnote>
  <w:footnote w:id="21">
    <w:p w14:paraId="69B9F697" w14:textId="00FE3533" w:rsidR="00B95D74" w:rsidRPr="007664EF" w:rsidRDefault="00B95D74" w:rsidP="000D0EBA">
      <w:pPr>
        <w:pStyle w:val="FootnoteText"/>
        <w:rPr>
          <w:lang w:val="fr-CA"/>
        </w:rPr>
      </w:pPr>
      <w:r w:rsidRPr="007664EF">
        <w:rPr>
          <w:rStyle w:val="FootnoteReference"/>
          <w:lang w:val="fr-CA"/>
        </w:rPr>
        <w:footnoteRef/>
      </w:r>
      <w:r w:rsidRPr="007664EF">
        <w:rPr>
          <w:lang w:val="fr-CA"/>
        </w:rPr>
        <w:t xml:space="preserve"> Marshall: Judicial Conduct and Accountability; 1995 Carswell, p. 67</w:t>
      </w:r>
    </w:p>
  </w:footnote>
  <w:footnote w:id="22">
    <w:p w14:paraId="19A9473D" w14:textId="33A38A92" w:rsidR="00B95D74" w:rsidRPr="007664EF" w:rsidRDefault="00B95D74" w:rsidP="00D752EA">
      <w:pPr>
        <w:pStyle w:val="FootnoteText"/>
        <w:rPr>
          <w:lang w:val="fr-CA"/>
        </w:rPr>
      </w:pPr>
      <w:r w:rsidRPr="007664EF">
        <w:rPr>
          <w:rStyle w:val="FootnoteReference"/>
          <w:lang w:val="fr-CA"/>
        </w:rPr>
        <w:footnoteRef/>
      </w:r>
      <w:r w:rsidRPr="007664EF">
        <w:rPr>
          <w:lang w:val="fr-CA"/>
        </w:rPr>
        <w:t xml:space="preserve"> </w:t>
      </w:r>
      <w:r w:rsidRPr="007664EF">
        <w:rPr>
          <w:i/>
          <w:lang w:val="fr-CA"/>
        </w:rPr>
        <w:t>Re Justice of the Peace Massiah</w:t>
      </w:r>
      <w:r w:rsidRPr="007664EF">
        <w:rPr>
          <w:lang w:val="fr-CA"/>
        </w:rPr>
        <w:t xml:space="preserve">; </w:t>
      </w:r>
      <w:r w:rsidRPr="007664EF">
        <w:rPr>
          <w:i/>
          <w:lang w:val="fr-CA"/>
        </w:rPr>
        <w:t>Re: Therrien,</w:t>
      </w:r>
      <w:r w:rsidRPr="007664EF">
        <w:rPr>
          <w:lang w:val="fr-CA"/>
        </w:rPr>
        <w:t xml:space="preserve"> [2001] S. C. R. 3 (S.C.C.) aux paragraphes 108-112; </w:t>
      </w:r>
      <w:r w:rsidRPr="007664EF">
        <w:rPr>
          <w:i/>
          <w:lang w:val="fr-CA"/>
        </w:rPr>
        <w:t>Ruffo (Re) (2005) supra.</w:t>
      </w:r>
    </w:p>
  </w:footnote>
  <w:footnote w:id="23">
    <w:p w14:paraId="0E1EABB5" w14:textId="7F6AEDBF" w:rsidR="00B95D74" w:rsidRPr="007664EF" w:rsidRDefault="00B95D74" w:rsidP="00D752EA">
      <w:pPr>
        <w:pStyle w:val="FootnoteText"/>
        <w:rPr>
          <w:lang w:val="fr-CA"/>
        </w:rPr>
      </w:pPr>
      <w:r w:rsidRPr="007664EF">
        <w:rPr>
          <w:rStyle w:val="FootnoteReference"/>
          <w:lang w:val="fr-CA"/>
        </w:rPr>
        <w:footnoteRef/>
      </w:r>
      <w:r w:rsidRPr="007664EF">
        <w:rPr>
          <w:lang w:val="fr-CA"/>
        </w:rPr>
        <w:t xml:space="preserve"> Conseil canadien de la magistrature, Principes de déontologie judiciaire (1998), p. 14</w:t>
      </w:r>
    </w:p>
  </w:footnote>
  <w:footnote w:id="24">
    <w:p w14:paraId="2FD9A2A0" w14:textId="2822F6C9" w:rsidR="00B95D74" w:rsidRPr="007664EF" w:rsidRDefault="00B95D74" w:rsidP="00D752EA">
      <w:pPr>
        <w:pStyle w:val="FootnoteText"/>
        <w:rPr>
          <w:lang w:val="fr-CA"/>
        </w:rPr>
      </w:pPr>
      <w:r w:rsidRPr="007664EF">
        <w:rPr>
          <w:rStyle w:val="FootnoteReference"/>
          <w:lang w:val="fr-CA"/>
        </w:rPr>
        <w:footnoteRef/>
      </w:r>
      <w:r w:rsidRPr="007664EF">
        <w:rPr>
          <w:lang w:val="fr-CA"/>
        </w:rPr>
        <w:t xml:space="preserve"> </w:t>
      </w:r>
      <w:r w:rsidRPr="007664EF">
        <w:rPr>
          <w:i/>
          <w:lang w:val="fr-CA"/>
        </w:rPr>
        <w:t>Ruffo c. Conseil de la magistrature</w:t>
      </w:r>
      <w:r w:rsidRPr="007664EF">
        <w:rPr>
          <w:lang w:val="fr-CA"/>
        </w:rPr>
        <w:t>, [1995] 4 R.C.S. 267, au para. 107 (Ruffo (1995))</w:t>
      </w:r>
    </w:p>
  </w:footnote>
  <w:footnote w:id="25">
    <w:p w14:paraId="4B40A951" w14:textId="2A40F772" w:rsidR="00B95D74" w:rsidRPr="007664EF" w:rsidRDefault="00B95D74" w:rsidP="00D752EA">
      <w:pPr>
        <w:pStyle w:val="FootnoteText"/>
        <w:rPr>
          <w:lang w:val="fr-CA"/>
        </w:rPr>
      </w:pPr>
      <w:r w:rsidRPr="007664EF">
        <w:rPr>
          <w:rStyle w:val="FootnoteReference"/>
          <w:lang w:val="fr-CA"/>
        </w:rPr>
        <w:footnoteRef/>
      </w:r>
      <w:r w:rsidRPr="007664EF">
        <w:rPr>
          <w:lang w:val="fr-CA"/>
        </w:rPr>
        <w:t xml:space="preserve"> Judicial Conduct and Accountability, pp. 67 et 71</w:t>
      </w:r>
    </w:p>
  </w:footnote>
  <w:footnote w:id="26">
    <w:p w14:paraId="0AAC766D" w14:textId="68ACDBB6" w:rsidR="00B95D74" w:rsidRPr="007664EF" w:rsidRDefault="00B95D74" w:rsidP="00D752EA">
      <w:pPr>
        <w:pStyle w:val="FootnoteText"/>
        <w:rPr>
          <w:lang w:val="fr-CA"/>
        </w:rPr>
      </w:pPr>
      <w:r w:rsidRPr="007664EF">
        <w:rPr>
          <w:rStyle w:val="FootnoteReference"/>
          <w:lang w:val="fr-CA"/>
        </w:rPr>
        <w:footnoteRef/>
      </w:r>
      <w:r w:rsidRPr="007664EF">
        <w:rPr>
          <w:lang w:val="fr-CA"/>
        </w:rPr>
        <w:t xml:space="preserve"> CBC News, </w:t>
      </w:r>
      <w:r w:rsidRPr="007664EF">
        <w:rPr>
          <w:i/>
          <w:lang w:val="fr-CA"/>
        </w:rPr>
        <w:t>Chief Justice Beverly McLachlin says judges should speak out about delays</w:t>
      </w:r>
      <w:r w:rsidRPr="007664EF">
        <w:rPr>
          <w:lang w:val="fr-CA"/>
        </w:rPr>
        <w:t xml:space="preserve"> (31 mai 2017), en ligne : CBC News </w:t>
      </w:r>
      <w:hyperlink r:id="rId1" w:history="1">
        <w:r w:rsidRPr="007664EF">
          <w:rPr>
            <w:rStyle w:val="Hyperlink"/>
            <w:lang w:val="fr-CA"/>
          </w:rPr>
          <w:t>https://www.sbs.ca/news/canada/british-columbia/chief-justice-beverly-mclachlin-speaks-out-about-delys-1.4139750</w:t>
        </w:r>
      </w:hyperlink>
      <w:r w:rsidRPr="007664EF">
        <w:rPr>
          <w:lang w:val="fr-CA"/>
        </w:rPr>
        <w:t xml:space="preserve"> [McLachlin CJC Article”], cité dans la pièce 9, la réponse de la juge de paix aux plaintes, pp. 15-16.</w:t>
      </w:r>
    </w:p>
  </w:footnote>
  <w:footnote w:id="27">
    <w:p w14:paraId="4FC158C4" w14:textId="4357E790" w:rsidR="00B95D74" w:rsidRPr="007664EF" w:rsidRDefault="00B95D74" w:rsidP="00726ADD">
      <w:pPr>
        <w:pStyle w:val="FootnoteText"/>
        <w:rPr>
          <w:lang w:val="fr-CA"/>
        </w:rPr>
      </w:pPr>
      <w:r w:rsidRPr="007664EF">
        <w:rPr>
          <w:rStyle w:val="FootnoteReference"/>
          <w:lang w:val="fr-CA"/>
        </w:rPr>
        <w:footnoteRef/>
      </w:r>
      <w:r w:rsidRPr="007664EF">
        <w:rPr>
          <w:lang w:val="fr-CA"/>
        </w:rPr>
        <w:t xml:space="preserve"> </w:t>
      </w:r>
      <w:r w:rsidRPr="007664EF">
        <w:rPr>
          <w:i/>
          <w:lang w:val="fr-CA"/>
        </w:rPr>
        <w:t>Re Barroilhet</w:t>
      </w:r>
      <w:r w:rsidRPr="007664EF">
        <w:rPr>
          <w:lang w:val="fr-CA"/>
        </w:rPr>
        <w:t xml:space="preserve"> citant </w:t>
      </w:r>
      <w:r w:rsidRPr="007664EF">
        <w:rPr>
          <w:i/>
          <w:lang w:val="fr-CA"/>
        </w:rPr>
        <w:t>Moreau-Bérubé c. Nouveau-Brunswick (Conseil de la magistrature)</w:t>
      </w:r>
      <w:r w:rsidRPr="007664EF">
        <w:rPr>
          <w:lang w:val="fr-CA"/>
        </w:rPr>
        <w:t>, [2002] 1 R.C.S.246</w:t>
      </w:r>
    </w:p>
  </w:footnote>
  <w:footnote w:id="28">
    <w:p w14:paraId="788B46FC" w14:textId="17FC2429" w:rsidR="00B95D74" w:rsidRPr="007664EF" w:rsidRDefault="00B95D74">
      <w:pPr>
        <w:pStyle w:val="FootnoteText"/>
        <w:rPr>
          <w:lang w:val="fr-CA"/>
        </w:rPr>
      </w:pPr>
      <w:r w:rsidRPr="007664EF">
        <w:rPr>
          <w:rStyle w:val="FootnoteReference"/>
          <w:lang w:val="fr-CA"/>
        </w:rPr>
        <w:footnoteRef/>
      </w:r>
      <w:r w:rsidRPr="007664EF">
        <w:rPr>
          <w:lang w:val="fr-CA"/>
        </w:rPr>
        <w:t xml:space="preserve"> </w:t>
      </w:r>
      <w:r w:rsidRPr="007664EF">
        <w:rPr>
          <w:i/>
          <w:lang w:val="fr-CA"/>
        </w:rPr>
        <w:t>Re Massiah</w:t>
      </w:r>
      <w:r w:rsidRPr="007664EF">
        <w:rPr>
          <w:lang w:val="fr-CA"/>
        </w:rPr>
        <w:t xml:space="preserve">, (JPRC, 2012), para. 185; aussi, </w:t>
      </w:r>
      <w:r w:rsidRPr="007664EF">
        <w:rPr>
          <w:i/>
          <w:lang w:val="fr-CA"/>
        </w:rPr>
        <w:t>Re Douglas</w:t>
      </w:r>
      <w:r w:rsidRPr="007664EF">
        <w:rPr>
          <w:lang w:val="fr-CA"/>
        </w:rPr>
        <w:t>, para. 9</w:t>
      </w:r>
    </w:p>
  </w:footnote>
  <w:footnote w:id="29">
    <w:p w14:paraId="1D617AE0" w14:textId="59D7CD5F" w:rsidR="00B95D74" w:rsidRPr="007664EF" w:rsidRDefault="00B95D74">
      <w:pPr>
        <w:pStyle w:val="FootnoteText"/>
        <w:rPr>
          <w:lang w:val="fr-CA"/>
        </w:rPr>
      </w:pPr>
      <w:r w:rsidRPr="007664EF">
        <w:rPr>
          <w:rStyle w:val="FootnoteReference"/>
          <w:lang w:val="fr-CA"/>
        </w:rPr>
        <w:footnoteRef/>
      </w:r>
      <w:r w:rsidRPr="007664EF">
        <w:rPr>
          <w:lang w:val="fr-CA"/>
        </w:rPr>
        <w:t xml:space="preserve"> </w:t>
      </w:r>
      <w:r w:rsidRPr="007664EF">
        <w:rPr>
          <w:i/>
          <w:lang w:val="fr-CA"/>
        </w:rPr>
        <w:t xml:space="preserve">Re McLeod </w:t>
      </w:r>
      <w:r w:rsidRPr="007664EF">
        <w:rPr>
          <w:lang w:val="fr-CA"/>
        </w:rPr>
        <w:t>(2018), supra, aux paras. 70-71</w:t>
      </w:r>
    </w:p>
  </w:footnote>
  <w:footnote w:id="30">
    <w:p w14:paraId="16D4EE51" w14:textId="1EAED9F0" w:rsidR="00B95D74" w:rsidRPr="007664EF" w:rsidRDefault="00B95D74" w:rsidP="002C4535">
      <w:pPr>
        <w:pStyle w:val="FootnoteText"/>
        <w:rPr>
          <w:lang w:val="fr-CA"/>
        </w:rPr>
      </w:pPr>
      <w:r w:rsidRPr="007664EF">
        <w:rPr>
          <w:rStyle w:val="FootnoteReference"/>
          <w:lang w:val="fr-CA"/>
        </w:rPr>
        <w:footnoteRef/>
      </w:r>
      <w:r w:rsidRPr="007664EF">
        <w:rPr>
          <w:lang w:val="fr-CA"/>
        </w:rPr>
        <w:t xml:space="preserve"> Pièce 5 « Historique » – onglet 2 : Courriel de la procureure de la Couronne V. Bair à Hillary McCormack, daté du 2 octobre 2013</w:t>
      </w:r>
      <w:r>
        <w:rPr>
          <w:lang w:val="fr-CA"/>
        </w:rPr>
        <w:t>,</w:t>
      </w:r>
      <w:r w:rsidRPr="007664EF">
        <w:rPr>
          <w:lang w:val="fr-CA"/>
        </w:rPr>
        <w:t xml:space="preserve"> annexant une note de service destinée à des collègues; onglet 3a) – Transcription dans </w:t>
      </w:r>
      <w:r w:rsidRPr="007664EF">
        <w:rPr>
          <w:i/>
          <w:lang w:val="fr-CA"/>
        </w:rPr>
        <w:t xml:space="preserve">R. v. Christopher Hoare, p. 5, l. 5 </w:t>
      </w:r>
      <w:r>
        <w:rPr>
          <w:i/>
          <w:lang w:val="fr-CA"/>
        </w:rPr>
        <w:t>à</w:t>
      </w:r>
      <w:r w:rsidRPr="007664EF">
        <w:rPr>
          <w:i/>
          <w:lang w:val="fr-CA"/>
        </w:rPr>
        <w:t xml:space="preserve"> p. 6, l. 20; onglet 5 – lettre de la juge de paix au juge de paix Leblanc, daté du 8 janvier 2016.</w:t>
      </w:r>
    </w:p>
  </w:footnote>
  <w:footnote w:id="31">
    <w:p w14:paraId="01C74C15" w14:textId="4D3C55A8" w:rsidR="00B95D74" w:rsidRPr="007664EF" w:rsidRDefault="00B95D74" w:rsidP="002C4535">
      <w:pPr>
        <w:pStyle w:val="FootnoteText"/>
        <w:rPr>
          <w:lang w:val="fr-CA"/>
        </w:rPr>
      </w:pPr>
      <w:r w:rsidRPr="007664EF">
        <w:rPr>
          <w:rStyle w:val="FootnoteReference"/>
          <w:lang w:val="fr-CA"/>
        </w:rPr>
        <w:footnoteRef/>
      </w:r>
      <w:r w:rsidRPr="007664EF">
        <w:rPr>
          <w:lang w:val="fr-CA"/>
        </w:rPr>
        <w:t xml:space="preserve"> Transcription du 17 septembre 2019, p. 114, l. 15 </w:t>
      </w:r>
      <w:r>
        <w:rPr>
          <w:lang w:val="fr-CA"/>
        </w:rPr>
        <w:t>à</w:t>
      </w:r>
      <w:r w:rsidRPr="007664EF">
        <w:rPr>
          <w:lang w:val="fr-CA"/>
        </w:rPr>
        <w:t xml:space="preserve"> p.115, l. 15; Transcription du 18 septembre 2019, p. 28, l. 18 à p. 34, 24.</w:t>
      </w:r>
    </w:p>
  </w:footnote>
  <w:footnote w:id="32">
    <w:p w14:paraId="55BE6D03" w14:textId="6288E9A0" w:rsidR="00B95D74" w:rsidRPr="007664EF" w:rsidRDefault="00B95D74" w:rsidP="002C4535">
      <w:pPr>
        <w:pStyle w:val="FootnoteText"/>
        <w:rPr>
          <w:lang w:val="fr-CA"/>
        </w:rPr>
      </w:pPr>
      <w:r w:rsidRPr="007664EF">
        <w:rPr>
          <w:rStyle w:val="FootnoteReference"/>
          <w:lang w:val="fr-CA"/>
        </w:rPr>
        <w:footnoteRef/>
      </w:r>
      <w:r w:rsidRPr="007664EF">
        <w:rPr>
          <w:lang w:val="fr-CA"/>
        </w:rPr>
        <w:t xml:space="preserve"> Témoignage de Kate Matthews, 9 octobre 2019, p. 55, l. 23 à p. 56, l. 5</w:t>
      </w:r>
    </w:p>
  </w:footnote>
  <w:footnote w:id="33">
    <w:p w14:paraId="7C3A73CA" w14:textId="244DD3F1" w:rsidR="00B95D74" w:rsidRPr="007664EF" w:rsidRDefault="00B95D74">
      <w:pPr>
        <w:pStyle w:val="FootnoteText"/>
        <w:rPr>
          <w:lang w:val="fr-CA"/>
        </w:rPr>
      </w:pPr>
      <w:r w:rsidRPr="007664EF">
        <w:rPr>
          <w:rStyle w:val="FootnoteReference"/>
          <w:lang w:val="fr-CA"/>
        </w:rPr>
        <w:footnoteRef/>
      </w:r>
      <w:r w:rsidRPr="007664EF">
        <w:rPr>
          <w:lang w:val="fr-CA"/>
        </w:rPr>
        <w:t xml:space="preserve"> 2007 CAF 103, paras. 32, 36,83, demande d’autorisation d’interjeter appel à la CSC rejetée, [2007] S.C.C.A. No. 242</w:t>
      </w:r>
    </w:p>
  </w:footnote>
  <w:footnote w:id="34">
    <w:p w14:paraId="50B63F9D" w14:textId="13C49336" w:rsidR="00B95D74" w:rsidRPr="007664EF" w:rsidRDefault="00B95D74">
      <w:pPr>
        <w:pStyle w:val="FootnoteText"/>
        <w:rPr>
          <w:lang w:val="fr-CA"/>
        </w:rPr>
      </w:pPr>
      <w:r w:rsidRPr="007664EF">
        <w:rPr>
          <w:rStyle w:val="FootnoteReference"/>
          <w:lang w:val="fr-CA"/>
        </w:rPr>
        <w:footnoteRef/>
      </w:r>
      <w:r w:rsidRPr="007664EF">
        <w:rPr>
          <w:lang w:val="fr-CA"/>
        </w:rPr>
        <w:t xml:space="preserve"> 2002 CSC 11 au paragraphe 59</w:t>
      </w:r>
    </w:p>
  </w:footnote>
  <w:footnote w:id="35">
    <w:p w14:paraId="174ED9BE" w14:textId="2BAEC187" w:rsidR="00B95D74" w:rsidRPr="007664EF" w:rsidRDefault="00B95D74">
      <w:pPr>
        <w:pStyle w:val="FootnoteText"/>
        <w:rPr>
          <w:lang w:val="fr-CA"/>
        </w:rPr>
      </w:pPr>
      <w:r w:rsidRPr="007664EF">
        <w:rPr>
          <w:rStyle w:val="FootnoteReference"/>
          <w:lang w:val="fr-CA"/>
        </w:rPr>
        <w:footnoteRef/>
      </w:r>
      <w:r w:rsidRPr="007664EF">
        <w:rPr>
          <w:lang w:val="fr-CA"/>
        </w:rPr>
        <w:t xml:space="preserve"> La juge de paix a déclaré dans son témoignage qu’en publiant l’Article, elle savait qu’elle se retrouverait devant le Conseil d’évaluation –Transcription du 18 septembre 2019, p. 46, l. 10 </w:t>
      </w:r>
      <w:r>
        <w:rPr>
          <w:lang w:val="fr-CA"/>
        </w:rPr>
        <w:t>à</w:t>
      </w:r>
      <w:r w:rsidRPr="007664EF">
        <w:rPr>
          <w:lang w:val="fr-CA"/>
        </w:rPr>
        <w:t xml:space="preserve"> p. 47, l. 4, et p. 57 ll. 17-22  </w:t>
      </w:r>
    </w:p>
  </w:footnote>
  <w:footnote w:id="36">
    <w:p w14:paraId="4BE01D41" w14:textId="1A8725B2" w:rsidR="00B95D74" w:rsidRPr="007664EF" w:rsidRDefault="00B95D74">
      <w:pPr>
        <w:pStyle w:val="FootnoteText"/>
        <w:rPr>
          <w:lang w:val="fr-CA"/>
        </w:rPr>
      </w:pPr>
      <w:r w:rsidRPr="007664EF">
        <w:rPr>
          <w:rStyle w:val="FootnoteReference"/>
          <w:lang w:val="fr-CA"/>
        </w:rPr>
        <w:footnoteRef/>
      </w:r>
      <w:r w:rsidRPr="007664EF">
        <w:rPr>
          <w:lang w:val="fr-CA"/>
        </w:rPr>
        <w:t xml:space="preserve"> [1995] 4 R.C.S. 267, au paragraphe111; (Ruffo (1995)</w:t>
      </w:r>
    </w:p>
  </w:footnote>
  <w:footnote w:id="37">
    <w:p w14:paraId="6A319C12" w14:textId="0EB91B74" w:rsidR="00B95D74" w:rsidRPr="007664EF" w:rsidRDefault="00B95D74">
      <w:pPr>
        <w:pStyle w:val="FootnoteText"/>
        <w:rPr>
          <w:lang w:val="fr-CA"/>
        </w:rPr>
      </w:pPr>
      <w:r w:rsidRPr="007664EF">
        <w:rPr>
          <w:rStyle w:val="FootnoteReference"/>
          <w:lang w:val="fr-CA"/>
        </w:rPr>
        <w:footnoteRef/>
      </w:r>
      <w:r w:rsidRPr="007664EF">
        <w:rPr>
          <w:lang w:val="fr-CA"/>
        </w:rPr>
        <w:t xml:space="preserve"> Transcript</w:t>
      </w:r>
      <w:r>
        <w:rPr>
          <w:lang w:val="fr-CA"/>
        </w:rPr>
        <w:t>ion</w:t>
      </w:r>
      <w:r w:rsidRPr="007664EF">
        <w:rPr>
          <w:lang w:val="fr-CA"/>
        </w:rPr>
        <w:t xml:space="preserve">, </w:t>
      </w:r>
      <w:r>
        <w:rPr>
          <w:lang w:val="fr-CA"/>
        </w:rPr>
        <w:t xml:space="preserve">18 septembre </w:t>
      </w:r>
      <w:r w:rsidRPr="007664EF">
        <w:rPr>
          <w:lang w:val="fr-CA"/>
        </w:rPr>
        <w:t xml:space="preserve">2019, p. 7, l. 25 </w:t>
      </w:r>
      <w:r>
        <w:rPr>
          <w:lang w:val="fr-CA"/>
        </w:rPr>
        <w:t>à</w:t>
      </w:r>
      <w:r w:rsidRPr="007664EF">
        <w:rPr>
          <w:lang w:val="fr-CA"/>
        </w:rPr>
        <w:t xml:space="preserve"> p. 8, l. 4</w:t>
      </w:r>
    </w:p>
  </w:footnote>
  <w:footnote w:id="38">
    <w:p w14:paraId="48822C64" w14:textId="4A60916B" w:rsidR="00B95D74" w:rsidRPr="007664EF" w:rsidRDefault="00B95D74">
      <w:pPr>
        <w:pStyle w:val="FootnoteText"/>
        <w:rPr>
          <w:lang w:val="fr-CA"/>
        </w:rPr>
      </w:pPr>
      <w:r w:rsidRPr="007664EF">
        <w:rPr>
          <w:rStyle w:val="FootnoteReference"/>
          <w:lang w:val="fr-CA"/>
        </w:rPr>
        <w:footnoteRef/>
      </w:r>
      <w:r w:rsidRPr="007664EF">
        <w:rPr>
          <w:lang w:val="fr-CA"/>
        </w:rPr>
        <w:t xml:space="preserve"> Transcript</w:t>
      </w:r>
      <w:r>
        <w:rPr>
          <w:lang w:val="fr-CA"/>
        </w:rPr>
        <w:t>ion</w:t>
      </w:r>
      <w:r w:rsidRPr="007664EF">
        <w:rPr>
          <w:lang w:val="fr-CA"/>
        </w:rPr>
        <w:t xml:space="preserve">, </w:t>
      </w:r>
      <w:r>
        <w:rPr>
          <w:lang w:val="fr-CA"/>
        </w:rPr>
        <w:t xml:space="preserve">17 septembre </w:t>
      </w:r>
      <w:r w:rsidRPr="007664EF">
        <w:rPr>
          <w:lang w:val="fr-CA"/>
        </w:rPr>
        <w:t xml:space="preserve">2019, p. 186, ll. 3-24 </w:t>
      </w:r>
      <w:r>
        <w:rPr>
          <w:lang w:val="fr-CA"/>
        </w:rPr>
        <w:t>et</w:t>
      </w:r>
      <w:r w:rsidRPr="007664EF">
        <w:rPr>
          <w:lang w:val="fr-CA"/>
        </w:rPr>
        <w:t xml:space="preserve"> p. 232, ll. 13-16</w:t>
      </w:r>
    </w:p>
  </w:footnote>
  <w:footnote w:id="39">
    <w:p w14:paraId="5C7B393F" w14:textId="65908CCB" w:rsidR="00B95D74" w:rsidRPr="007664EF" w:rsidRDefault="00B95D74" w:rsidP="005C2288">
      <w:pPr>
        <w:pStyle w:val="FootnoteText"/>
        <w:rPr>
          <w:lang w:val="fr-CA"/>
        </w:rPr>
      </w:pPr>
      <w:r w:rsidRPr="007664EF">
        <w:rPr>
          <w:rStyle w:val="FootnoteReference"/>
          <w:lang w:val="fr-CA"/>
        </w:rPr>
        <w:footnoteRef/>
      </w:r>
      <w:r w:rsidRPr="007664EF">
        <w:rPr>
          <w:lang w:val="fr-CA"/>
        </w:rPr>
        <w:t xml:space="preserve"> </w:t>
      </w:r>
      <w:r>
        <w:rPr>
          <w:lang w:val="fr-CA"/>
        </w:rPr>
        <w:t xml:space="preserve">Exposé conjoint des faits, pièce </w:t>
      </w:r>
      <w:r w:rsidRPr="007664EF">
        <w:rPr>
          <w:lang w:val="fr-CA"/>
        </w:rPr>
        <w:t xml:space="preserve">3 </w:t>
      </w:r>
      <w:r>
        <w:rPr>
          <w:lang w:val="fr-CA"/>
        </w:rPr>
        <w:t>et transcription du témoignage de la juge de paix</w:t>
      </w:r>
      <w:r w:rsidRPr="007664EF">
        <w:rPr>
          <w:lang w:val="fr-CA"/>
        </w:rPr>
        <w:t>, J. Lauzon</w:t>
      </w:r>
      <w:r>
        <w:rPr>
          <w:lang w:val="fr-CA"/>
        </w:rPr>
        <w:t xml:space="preserve">, en contre- interrogatoire, le 18 septembre </w:t>
      </w:r>
      <w:r w:rsidRPr="007664EF">
        <w:rPr>
          <w:lang w:val="fr-CA"/>
        </w:rPr>
        <w:t>2019</w:t>
      </w:r>
      <w:r>
        <w:rPr>
          <w:lang w:val="fr-CA"/>
        </w:rPr>
        <w:t xml:space="preserve">, à la </w:t>
      </w:r>
      <w:r w:rsidRPr="007664EF">
        <w:rPr>
          <w:lang w:val="fr-CA"/>
        </w:rPr>
        <w:t>p. 96, ll. 14-18</w:t>
      </w:r>
    </w:p>
  </w:footnote>
  <w:footnote w:id="40">
    <w:p w14:paraId="7E500AAA" w14:textId="1ED48EB0" w:rsidR="00B95D74" w:rsidRPr="007664EF" w:rsidRDefault="00B95D74" w:rsidP="005C2288">
      <w:pPr>
        <w:pStyle w:val="FootnoteText"/>
        <w:rPr>
          <w:lang w:val="fr-CA"/>
        </w:rPr>
      </w:pPr>
      <w:r w:rsidRPr="007664EF">
        <w:rPr>
          <w:rStyle w:val="FootnoteReference"/>
          <w:lang w:val="fr-CA"/>
        </w:rPr>
        <w:footnoteRef/>
      </w:r>
      <w:r w:rsidRPr="007664EF">
        <w:rPr>
          <w:lang w:val="fr-CA"/>
        </w:rPr>
        <w:t xml:space="preserve"> Ibid, p. 99, l. 19 </w:t>
      </w:r>
      <w:r>
        <w:rPr>
          <w:lang w:val="fr-CA"/>
        </w:rPr>
        <w:t>à</w:t>
      </w:r>
      <w:r w:rsidRPr="007664EF">
        <w:rPr>
          <w:lang w:val="fr-CA"/>
        </w:rPr>
        <w:t xml:space="preserve"> p. 100, l. 5</w:t>
      </w:r>
    </w:p>
  </w:footnote>
  <w:footnote w:id="41">
    <w:p w14:paraId="5FB60FBF" w14:textId="339D8D6C" w:rsidR="00B95D74" w:rsidRPr="007664EF" w:rsidRDefault="00B95D74" w:rsidP="005C2288">
      <w:pPr>
        <w:pStyle w:val="FootnoteText"/>
        <w:rPr>
          <w:lang w:val="fr-CA"/>
        </w:rPr>
      </w:pPr>
      <w:r w:rsidRPr="007664EF">
        <w:rPr>
          <w:rStyle w:val="FootnoteReference"/>
          <w:lang w:val="fr-CA"/>
        </w:rPr>
        <w:footnoteRef/>
      </w:r>
      <w:r w:rsidRPr="007664EF">
        <w:rPr>
          <w:lang w:val="fr-CA"/>
        </w:rPr>
        <w:t xml:space="preserve"> </w:t>
      </w:r>
      <w:r>
        <w:rPr>
          <w:lang w:val="fr-CA"/>
        </w:rPr>
        <w:t>Pièce</w:t>
      </w:r>
      <w:r w:rsidRPr="007664EF">
        <w:rPr>
          <w:lang w:val="fr-CA"/>
        </w:rPr>
        <w:t xml:space="preserve"> 8</w:t>
      </w:r>
      <w:r>
        <w:rPr>
          <w:lang w:val="fr-CA"/>
        </w:rPr>
        <w:t>.</w:t>
      </w:r>
    </w:p>
  </w:footnote>
  <w:footnote w:id="42">
    <w:p w14:paraId="6686F31E" w14:textId="71BD8D52" w:rsidR="00B95D74" w:rsidRPr="007664EF" w:rsidRDefault="00B95D74" w:rsidP="005C2288">
      <w:pPr>
        <w:pStyle w:val="FootnoteText"/>
        <w:rPr>
          <w:lang w:val="fr-CA"/>
        </w:rPr>
      </w:pPr>
      <w:r w:rsidRPr="007664EF">
        <w:rPr>
          <w:rStyle w:val="FootnoteReference"/>
          <w:lang w:val="fr-CA"/>
        </w:rPr>
        <w:footnoteRef/>
      </w:r>
      <w:r w:rsidRPr="007664EF">
        <w:rPr>
          <w:lang w:val="fr-CA"/>
        </w:rPr>
        <w:t xml:space="preserve"> </w:t>
      </w:r>
      <w:r w:rsidRPr="007664EF">
        <w:rPr>
          <w:i/>
          <w:lang w:val="fr-CA"/>
        </w:rPr>
        <w:t>Ruffo (2005),</w:t>
      </w:r>
      <w:r w:rsidRPr="007664EF">
        <w:rPr>
          <w:lang w:val="fr-CA"/>
        </w:rPr>
        <w:t xml:space="preserve"> </w:t>
      </w:r>
      <w:r w:rsidRPr="007664EF">
        <w:rPr>
          <w:i/>
          <w:lang w:val="fr-CA"/>
        </w:rPr>
        <w:t>supra</w:t>
      </w:r>
      <w:r w:rsidRPr="007664EF">
        <w:rPr>
          <w:lang w:val="fr-CA"/>
        </w:rPr>
        <w:t xml:space="preserve"> </w:t>
      </w:r>
      <w:r>
        <w:rPr>
          <w:lang w:val="fr-CA"/>
        </w:rPr>
        <w:t>au</w:t>
      </w:r>
      <w:r w:rsidRPr="007664EF">
        <w:rPr>
          <w:lang w:val="fr-CA"/>
        </w:rPr>
        <w:t xml:space="preserve"> para. 62</w:t>
      </w:r>
    </w:p>
  </w:footnote>
  <w:footnote w:id="43">
    <w:p w14:paraId="7AFEB102" w14:textId="6A772FEC" w:rsidR="00B95D74" w:rsidRPr="007664EF" w:rsidRDefault="00B95D74" w:rsidP="00AA0E75">
      <w:pPr>
        <w:pStyle w:val="FootnoteText"/>
        <w:rPr>
          <w:lang w:val="fr-CA"/>
        </w:rPr>
      </w:pPr>
      <w:r w:rsidRPr="007664EF">
        <w:rPr>
          <w:rStyle w:val="FootnoteReference"/>
          <w:lang w:val="fr-CA"/>
        </w:rPr>
        <w:footnoteRef/>
      </w:r>
      <w:r w:rsidRPr="007664EF">
        <w:rPr>
          <w:lang w:val="fr-CA"/>
        </w:rPr>
        <w:t xml:space="preserve"> </w:t>
      </w:r>
      <w:r>
        <w:rPr>
          <w:lang w:val="fr-CA"/>
        </w:rPr>
        <w:t xml:space="preserve">Pièce </w:t>
      </w:r>
      <w:r w:rsidRPr="007664EF">
        <w:rPr>
          <w:lang w:val="fr-CA"/>
        </w:rPr>
        <w:t xml:space="preserve">6, </w:t>
      </w:r>
      <w:r>
        <w:rPr>
          <w:lang w:val="fr-CA"/>
        </w:rPr>
        <w:t>D</w:t>
      </w:r>
      <w:r w:rsidRPr="007664EF">
        <w:rPr>
          <w:lang w:val="fr-CA"/>
        </w:rPr>
        <w:t xml:space="preserve">ossier de doctrine et de jurisprudence supplémentaire, </w:t>
      </w:r>
      <w:r>
        <w:rPr>
          <w:lang w:val="fr-CA"/>
        </w:rPr>
        <w:t xml:space="preserve">onglet </w:t>
      </w:r>
      <w:r w:rsidRPr="007664EF">
        <w:rPr>
          <w:lang w:val="fr-CA"/>
        </w:rPr>
        <w:t>6</w:t>
      </w:r>
      <w:r>
        <w:rPr>
          <w:lang w:val="fr-CA"/>
        </w:rPr>
        <w:t xml:space="preserve"> </w:t>
      </w:r>
      <w:r w:rsidRPr="007664EF">
        <w:rPr>
          <w:lang w:val="fr-CA"/>
        </w:rPr>
        <w:t xml:space="preserve">- </w:t>
      </w:r>
      <w:r>
        <w:rPr>
          <w:lang w:val="fr-CA"/>
        </w:rPr>
        <w:t xml:space="preserve">« Mise en liberté sous caution et détention provisoire en Ontario » </w:t>
      </w:r>
      <w:r w:rsidRPr="007664EF">
        <w:rPr>
          <w:lang w:val="fr-CA"/>
        </w:rPr>
        <w:t xml:space="preserve">: Raymond E. Wyant; </w:t>
      </w:r>
      <w:r>
        <w:rPr>
          <w:lang w:val="fr-CA"/>
        </w:rPr>
        <w:t>ministère du Procureur général, Imprimeur de la Reine pour l’Ontario</w:t>
      </w:r>
      <w:r w:rsidRPr="007664EF">
        <w:rPr>
          <w:lang w:val="fr-CA"/>
        </w:rPr>
        <w:t>, 2017, p. 4 (</w:t>
      </w:r>
      <w:r>
        <w:rPr>
          <w:lang w:val="fr-CA"/>
        </w:rPr>
        <w:t xml:space="preserve">Rapport </w:t>
      </w:r>
      <w:r w:rsidRPr="007664EF">
        <w:rPr>
          <w:lang w:val="fr-CA"/>
        </w:rPr>
        <w:t>Wyant)</w:t>
      </w:r>
    </w:p>
  </w:footnote>
  <w:footnote w:id="44">
    <w:p w14:paraId="337462B7" w14:textId="3F7E593C" w:rsidR="00B95D74" w:rsidRPr="007664EF" w:rsidRDefault="00B95D74" w:rsidP="0042627C">
      <w:pPr>
        <w:pStyle w:val="FootnoteText"/>
        <w:rPr>
          <w:lang w:val="fr-CA"/>
        </w:rPr>
      </w:pPr>
      <w:r w:rsidRPr="007664EF">
        <w:rPr>
          <w:rStyle w:val="FootnoteReference"/>
          <w:lang w:val="fr-CA"/>
        </w:rPr>
        <w:footnoteRef/>
      </w:r>
      <w:r w:rsidRPr="007664EF">
        <w:rPr>
          <w:lang w:val="fr-CA"/>
        </w:rPr>
        <w:t xml:space="preserve"> </w:t>
      </w:r>
      <w:r>
        <w:rPr>
          <w:lang w:val="fr-CA"/>
        </w:rPr>
        <w:t>Pièce</w:t>
      </w:r>
      <w:r w:rsidRPr="007664EF">
        <w:rPr>
          <w:lang w:val="fr-CA"/>
        </w:rPr>
        <w:t xml:space="preserve"> 10, </w:t>
      </w:r>
      <w:r>
        <w:rPr>
          <w:lang w:val="fr-CA"/>
        </w:rPr>
        <w:t>D</w:t>
      </w:r>
      <w:r w:rsidRPr="007664EF">
        <w:rPr>
          <w:lang w:val="fr-CA"/>
        </w:rPr>
        <w:t>ossier de doctrine et de jurisprudence supplémentaire</w:t>
      </w:r>
      <w:r>
        <w:rPr>
          <w:lang w:val="fr-CA"/>
        </w:rPr>
        <w:t xml:space="preserve"> de l’avocat chargé de la présentation</w:t>
      </w:r>
      <w:r w:rsidRPr="007664EF">
        <w:rPr>
          <w:lang w:val="fr-CA"/>
        </w:rPr>
        <w:t xml:space="preserve">, Volume I, </w:t>
      </w:r>
      <w:r>
        <w:rPr>
          <w:lang w:val="fr-CA"/>
        </w:rPr>
        <w:t>onglet</w:t>
      </w:r>
      <w:r w:rsidRPr="007664EF">
        <w:rPr>
          <w:lang w:val="fr-CA"/>
        </w:rPr>
        <w:t xml:space="preserve"> 2.</w:t>
      </w:r>
    </w:p>
  </w:footnote>
  <w:footnote w:id="45">
    <w:p w14:paraId="12FBE006" w14:textId="42F86EA8" w:rsidR="00B95D74" w:rsidRPr="007664EF" w:rsidRDefault="00B95D74" w:rsidP="0042627C">
      <w:pPr>
        <w:pStyle w:val="FootnoteText"/>
        <w:rPr>
          <w:lang w:val="fr-CA"/>
        </w:rPr>
      </w:pPr>
      <w:r w:rsidRPr="007664EF">
        <w:rPr>
          <w:rStyle w:val="FootnoteReference"/>
          <w:lang w:val="fr-CA"/>
        </w:rPr>
        <w:footnoteRef/>
      </w:r>
      <w:r>
        <w:rPr>
          <w:lang w:val="fr-CA"/>
        </w:rPr>
        <w:t xml:space="preserve">  Le rapport a été commandé par le ministère du Procureur général </w:t>
      </w:r>
      <w:r w:rsidRPr="007664EF">
        <w:rPr>
          <w:lang w:val="fr-CA"/>
        </w:rPr>
        <w:t>(</w:t>
      </w:r>
      <w:r>
        <w:rPr>
          <w:lang w:val="fr-CA"/>
        </w:rPr>
        <w:t>MPG</w:t>
      </w:r>
      <w:r w:rsidRPr="007664EF">
        <w:rPr>
          <w:lang w:val="fr-CA"/>
        </w:rPr>
        <w:t xml:space="preserve">) </w:t>
      </w:r>
      <w:r>
        <w:rPr>
          <w:lang w:val="fr-CA"/>
        </w:rPr>
        <w:t xml:space="preserve">et le ministère de la Sécurité communautaire et des Services correctionnels (MSCSC) pour l’Ontario, en partenariat avec la province de la </w:t>
      </w:r>
      <w:r w:rsidRPr="007664EF">
        <w:rPr>
          <w:lang w:val="fr-CA"/>
        </w:rPr>
        <w:t>Saskatchewan</w:t>
      </w:r>
      <w:r>
        <w:rPr>
          <w:lang w:val="fr-CA"/>
        </w:rPr>
        <w:t xml:space="preserve"> </w:t>
      </w:r>
      <w:r w:rsidRPr="007664EF">
        <w:rPr>
          <w:lang w:val="fr-CA"/>
        </w:rPr>
        <w:t xml:space="preserve">: </w:t>
      </w:r>
      <w:r>
        <w:rPr>
          <w:lang w:val="fr-CA"/>
        </w:rPr>
        <w:t>voir</w:t>
      </w:r>
      <w:r w:rsidRPr="007664EF">
        <w:rPr>
          <w:lang w:val="fr-CA"/>
        </w:rPr>
        <w:t xml:space="preserve"> p. 5.</w:t>
      </w:r>
    </w:p>
  </w:footnote>
  <w:footnote w:id="46">
    <w:p w14:paraId="1393E600" w14:textId="53DAED09" w:rsidR="00B95D74" w:rsidRPr="007664EF" w:rsidRDefault="00B95D74" w:rsidP="005C2288">
      <w:pPr>
        <w:pStyle w:val="FootnoteText"/>
        <w:rPr>
          <w:lang w:val="fr-CA"/>
        </w:rPr>
      </w:pPr>
      <w:r w:rsidRPr="007664EF">
        <w:rPr>
          <w:rStyle w:val="FootnoteReference"/>
          <w:lang w:val="fr-CA"/>
        </w:rPr>
        <w:footnoteRef/>
      </w:r>
      <w:r w:rsidRPr="007664EF">
        <w:rPr>
          <w:lang w:val="fr-CA"/>
        </w:rPr>
        <w:t xml:space="preserve"> </w:t>
      </w:r>
      <w:r>
        <w:rPr>
          <w:lang w:val="fr-CA"/>
        </w:rPr>
        <w:t>D</w:t>
      </w:r>
      <w:r w:rsidRPr="007664EF">
        <w:rPr>
          <w:lang w:val="fr-CA"/>
        </w:rPr>
        <w:t>ossier de doctrine et de jurisprudence supplémentaire</w:t>
      </w:r>
      <w:r>
        <w:rPr>
          <w:lang w:val="fr-CA"/>
        </w:rPr>
        <w:t xml:space="preserve"> de l’avocat chargé de </w:t>
      </w:r>
      <w:r>
        <w:rPr>
          <w:rFonts w:eastAsia="Arial" w:cs="Times New Roman"/>
          <w:szCs w:val="22"/>
          <w:lang w:val="fr-CA"/>
        </w:rPr>
        <w:t>la présentation</w:t>
      </w:r>
      <w:r w:rsidRPr="00E94A44">
        <w:rPr>
          <w:rFonts w:eastAsia="Arial" w:cs="Times New Roman"/>
          <w:szCs w:val="22"/>
          <w:lang w:val="fr-CA"/>
        </w:rPr>
        <w:t xml:space="preserve"> </w:t>
      </w:r>
      <w:r w:rsidRPr="007664EF">
        <w:rPr>
          <w:lang w:val="fr-CA"/>
        </w:rPr>
        <w:t xml:space="preserve">(Volume 2), </w:t>
      </w:r>
      <w:r>
        <w:rPr>
          <w:lang w:val="fr-CA"/>
        </w:rPr>
        <w:t>onglet</w:t>
      </w:r>
      <w:r w:rsidRPr="007664EF">
        <w:rPr>
          <w:lang w:val="fr-CA"/>
        </w:rPr>
        <w:t xml:space="preserve"> 1</w:t>
      </w:r>
      <w:r>
        <w:rPr>
          <w:lang w:val="fr-CA"/>
        </w:rPr>
        <w:t xml:space="preserve"> </w:t>
      </w:r>
      <w:r w:rsidRPr="007664EF">
        <w:rPr>
          <w:lang w:val="fr-CA"/>
        </w:rPr>
        <w:t xml:space="preserve">: </w:t>
      </w:r>
      <w:r>
        <w:rPr>
          <w:lang w:val="fr-CA"/>
        </w:rPr>
        <w:t>et pièce</w:t>
      </w:r>
      <w:r w:rsidRPr="007664EF">
        <w:rPr>
          <w:lang w:val="fr-CA"/>
        </w:rPr>
        <w:t xml:space="preserve"> 9</w:t>
      </w:r>
      <w:r>
        <w:rPr>
          <w:lang w:val="fr-CA"/>
        </w:rPr>
        <w:t>, mentionnée à la note en bas de page</w:t>
      </w:r>
      <w:r w:rsidRPr="007664EF">
        <w:rPr>
          <w:lang w:val="fr-CA"/>
        </w:rPr>
        <w:t xml:space="preserve"> 13 </w:t>
      </w:r>
      <w:r>
        <w:rPr>
          <w:lang w:val="fr-CA"/>
        </w:rPr>
        <w:t>ci-dessus.</w:t>
      </w:r>
      <w:r w:rsidRPr="007664EF">
        <w:rPr>
          <w:lang w:val="fr-CA"/>
        </w:rPr>
        <w:t xml:space="preserve"> </w:t>
      </w:r>
    </w:p>
  </w:footnote>
  <w:footnote w:id="47">
    <w:p w14:paraId="2379278E" w14:textId="1C11320E" w:rsidR="00B95D74" w:rsidRPr="007664EF" w:rsidRDefault="00B95D74" w:rsidP="00634AB6">
      <w:pPr>
        <w:pStyle w:val="FootnoteText"/>
        <w:rPr>
          <w:lang w:val="fr-CA"/>
        </w:rPr>
      </w:pPr>
      <w:r w:rsidRPr="007664EF">
        <w:rPr>
          <w:rStyle w:val="FootnoteReference"/>
          <w:lang w:val="fr-CA"/>
        </w:rPr>
        <w:footnoteRef/>
      </w:r>
      <w:r w:rsidRPr="007664EF">
        <w:rPr>
          <w:lang w:val="fr-CA"/>
        </w:rPr>
        <w:t xml:space="preserve"> </w:t>
      </w:r>
      <w:r>
        <w:rPr>
          <w:lang w:val="fr-CA"/>
        </w:rPr>
        <w:t>Pièce</w:t>
      </w:r>
      <w:r w:rsidRPr="007664EF">
        <w:rPr>
          <w:lang w:val="fr-CA"/>
        </w:rPr>
        <w:t xml:space="preserve"> 5 – </w:t>
      </w:r>
      <w:r>
        <w:rPr>
          <w:lang w:val="fr-CA"/>
        </w:rPr>
        <w:t xml:space="preserve">onglet 5, Lettre au </w:t>
      </w:r>
      <w:r w:rsidRPr="002C543E">
        <w:rPr>
          <w:lang w:val="fr-CA"/>
        </w:rPr>
        <w:t xml:space="preserve">juge de paix principal régional </w:t>
      </w:r>
      <w:r w:rsidRPr="007664EF">
        <w:rPr>
          <w:lang w:val="fr-CA"/>
        </w:rPr>
        <w:t xml:space="preserve">Leblanc; </w:t>
      </w:r>
      <w:r>
        <w:rPr>
          <w:lang w:val="fr-CA"/>
        </w:rPr>
        <w:t xml:space="preserve">transcription du 17 septembre </w:t>
      </w:r>
      <w:r w:rsidRPr="007664EF">
        <w:rPr>
          <w:lang w:val="fr-CA"/>
        </w:rPr>
        <w:t>2019</w:t>
      </w:r>
      <w:r>
        <w:rPr>
          <w:lang w:val="fr-CA"/>
        </w:rPr>
        <w:t>, p.</w:t>
      </w:r>
      <w:r w:rsidRPr="007664EF">
        <w:rPr>
          <w:lang w:val="fr-CA"/>
        </w:rPr>
        <w:t xml:space="preserve"> 130  l. 3 </w:t>
      </w:r>
      <w:r>
        <w:rPr>
          <w:lang w:val="fr-CA"/>
        </w:rPr>
        <w:t>-</w:t>
      </w:r>
      <w:r w:rsidRPr="007664EF">
        <w:rPr>
          <w:lang w:val="fr-CA"/>
        </w:rPr>
        <w:t xml:space="preserve"> p. 132 l. 6 </w:t>
      </w:r>
    </w:p>
  </w:footnote>
  <w:footnote w:id="48">
    <w:p w14:paraId="2BEB4A18" w14:textId="43F7A16F" w:rsidR="00B95D74" w:rsidRPr="007664EF" w:rsidRDefault="00B95D74" w:rsidP="005C2288">
      <w:pPr>
        <w:pStyle w:val="FootnoteText"/>
        <w:rPr>
          <w:lang w:val="fr-CA"/>
        </w:rPr>
      </w:pPr>
      <w:r w:rsidRPr="007664EF">
        <w:rPr>
          <w:rStyle w:val="FootnoteReference"/>
          <w:lang w:val="fr-CA"/>
        </w:rPr>
        <w:footnoteRef/>
      </w:r>
      <w:r>
        <w:rPr>
          <w:lang w:val="fr-CA"/>
        </w:rPr>
        <w:t xml:space="preserve"> Pièce</w:t>
      </w:r>
      <w:r w:rsidRPr="007664EF">
        <w:rPr>
          <w:lang w:val="fr-CA"/>
        </w:rPr>
        <w:t xml:space="preserve"> 8</w:t>
      </w:r>
      <w:r>
        <w:rPr>
          <w:lang w:val="fr-CA"/>
        </w:rPr>
        <w:t xml:space="preserve"> </w:t>
      </w:r>
      <w:r w:rsidRPr="007664EF">
        <w:rPr>
          <w:lang w:val="fr-CA"/>
        </w:rPr>
        <w:t xml:space="preserve">: Affidavit </w:t>
      </w:r>
      <w:r>
        <w:rPr>
          <w:lang w:val="fr-CA"/>
        </w:rPr>
        <w:t xml:space="preserve"> de la juge de paix</w:t>
      </w:r>
      <w:r w:rsidRPr="007664EF">
        <w:rPr>
          <w:lang w:val="fr-CA"/>
        </w:rPr>
        <w:t xml:space="preserve"> Julie Lauzon, </w:t>
      </w:r>
      <w:r>
        <w:rPr>
          <w:lang w:val="fr-CA"/>
        </w:rPr>
        <w:t xml:space="preserve">aux </w:t>
      </w:r>
      <w:r w:rsidRPr="007664EF">
        <w:rPr>
          <w:lang w:val="fr-CA"/>
        </w:rPr>
        <w:t>paras. 1-3</w:t>
      </w:r>
    </w:p>
  </w:footnote>
  <w:footnote w:id="49">
    <w:p w14:paraId="7C86481E" w14:textId="223D6866" w:rsidR="00B95D74" w:rsidRPr="007664EF" w:rsidRDefault="00B95D74" w:rsidP="005C2288">
      <w:pPr>
        <w:pStyle w:val="FootnoteText"/>
        <w:rPr>
          <w:lang w:val="fr-CA"/>
        </w:rPr>
      </w:pPr>
      <w:r w:rsidRPr="007664EF">
        <w:rPr>
          <w:rStyle w:val="FootnoteReference"/>
          <w:lang w:val="fr-CA"/>
        </w:rPr>
        <w:footnoteRef/>
      </w:r>
      <w:r w:rsidRPr="007664EF">
        <w:rPr>
          <w:lang w:val="fr-CA"/>
        </w:rPr>
        <w:t xml:space="preserve"> Transcript</w:t>
      </w:r>
      <w:r>
        <w:rPr>
          <w:lang w:val="fr-CA"/>
        </w:rPr>
        <w:t xml:space="preserve">ion du témoignage de la juge de paix </w:t>
      </w:r>
      <w:r w:rsidRPr="007664EF">
        <w:rPr>
          <w:lang w:val="fr-CA"/>
        </w:rPr>
        <w:t xml:space="preserve">J. Lauzon, </w:t>
      </w:r>
      <w:r>
        <w:rPr>
          <w:lang w:val="fr-CA"/>
        </w:rPr>
        <w:t xml:space="preserve">17 septembre </w:t>
      </w:r>
      <w:r w:rsidRPr="007664EF">
        <w:rPr>
          <w:lang w:val="fr-CA"/>
        </w:rPr>
        <w:t xml:space="preserve">2019, p. 138, l. 4-11; p. 142, ll. 7-12; p. 145, l. 11 </w:t>
      </w:r>
      <w:r>
        <w:rPr>
          <w:lang w:val="fr-CA"/>
        </w:rPr>
        <w:t>à</w:t>
      </w:r>
      <w:r w:rsidRPr="007664EF">
        <w:rPr>
          <w:lang w:val="fr-CA"/>
        </w:rPr>
        <w:t xml:space="preserve"> p. 146, l. 4</w:t>
      </w:r>
    </w:p>
  </w:footnote>
  <w:footnote w:id="50">
    <w:p w14:paraId="46899917" w14:textId="02717E79" w:rsidR="00B95D74" w:rsidRPr="007664EF" w:rsidRDefault="00B95D74" w:rsidP="005C2288">
      <w:pPr>
        <w:pStyle w:val="FootnoteText"/>
        <w:rPr>
          <w:lang w:val="fr-CA"/>
        </w:rPr>
      </w:pPr>
      <w:r w:rsidRPr="007664EF">
        <w:rPr>
          <w:rStyle w:val="FootnoteReference"/>
          <w:lang w:val="fr-CA"/>
        </w:rPr>
        <w:footnoteRef/>
      </w:r>
      <w:r w:rsidRPr="007664EF">
        <w:rPr>
          <w:lang w:val="fr-CA"/>
        </w:rPr>
        <w:t xml:space="preserve"> Ibid, </w:t>
      </w:r>
      <w:r>
        <w:rPr>
          <w:lang w:val="fr-CA"/>
        </w:rPr>
        <w:t>à la</w:t>
      </w:r>
      <w:r w:rsidRPr="007664EF">
        <w:rPr>
          <w:lang w:val="fr-CA"/>
        </w:rPr>
        <w:t xml:space="preserve"> p. 150, l. 25 </w:t>
      </w:r>
      <w:r>
        <w:rPr>
          <w:lang w:val="fr-CA"/>
        </w:rPr>
        <w:t>à</w:t>
      </w:r>
      <w:r w:rsidRPr="007664EF">
        <w:rPr>
          <w:lang w:val="fr-CA"/>
        </w:rPr>
        <w:t xml:space="preserve"> p 151, l. 17, p. 165, l. 12 </w:t>
      </w:r>
      <w:r>
        <w:rPr>
          <w:lang w:val="fr-CA"/>
        </w:rPr>
        <w:t>à</w:t>
      </w:r>
      <w:r w:rsidRPr="007664EF">
        <w:rPr>
          <w:lang w:val="fr-CA"/>
        </w:rPr>
        <w:t xml:space="preserve"> p. 167, l. 14</w:t>
      </w:r>
    </w:p>
  </w:footnote>
  <w:footnote w:id="51">
    <w:p w14:paraId="3D5F0B48" w14:textId="3528D5FB" w:rsidR="00B95D74" w:rsidRPr="007664EF" w:rsidRDefault="00B95D74">
      <w:pPr>
        <w:pStyle w:val="FootnoteText"/>
        <w:rPr>
          <w:lang w:val="fr-CA"/>
        </w:rPr>
      </w:pPr>
      <w:r w:rsidRPr="007664EF">
        <w:rPr>
          <w:rStyle w:val="FootnoteReference"/>
          <w:lang w:val="fr-CA"/>
        </w:rPr>
        <w:footnoteRef/>
      </w:r>
      <w:r w:rsidRPr="007664EF">
        <w:rPr>
          <w:lang w:val="fr-CA"/>
        </w:rPr>
        <w:t xml:space="preserve"> </w:t>
      </w:r>
      <w:r w:rsidRPr="007664EF">
        <w:rPr>
          <w:i/>
          <w:lang w:val="fr-CA"/>
        </w:rPr>
        <w:t>supra</w:t>
      </w:r>
      <w:r w:rsidRPr="007664EF">
        <w:rPr>
          <w:lang w:val="fr-CA"/>
        </w:rPr>
        <w:t xml:space="preserve">, </w:t>
      </w:r>
      <w:r>
        <w:rPr>
          <w:lang w:val="fr-CA"/>
        </w:rPr>
        <w:t>au</w:t>
      </w:r>
      <w:r w:rsidRPr="007664EF">
        <w:rPr>
          <w:lang w:val="fr-CA"/>
        </w:rPr>
        <w:t xml:space="preserve"> para. 69</w:t>
      </w:r>
    </w:p>
  </w:footnote>
  <w:footnote w:id="52">
    <w:p w14:paraId="27C2DA4E" w14:textId="62B6D4F6" w:rsidR="00B95D74" w:rsidRPr="007664EF" w:rsidRDefault="00B95D74" w:rsidP="005C2288">
      <w:pPr>
        <w:pStyle w:val="FootnoteText"/>
        <w:rPr>
          <w:lang w:val="fr-CA"/>
        </w:rPr>
      </w:pPr>
      <w:r w:rsidRPr="007664EF">
        <w:rPr>
          <w:rStyle w:val="FootnoteReference"/>
          <w:lang w:val="fr-CA"/>
        </w:rPr>
        <w:footnoteRef/>
      </w:r>
      <w:r w:rsidRPr="007664EF">
        <w:rPr>
          <w:lang w:val="fr-CA"/>
        </w:rPr>
        <w:t xml:space="preserve"> Transcript</w:t>
      </w:r>
      <w:r>
        <w:rPr>
          <w:lang w:val="fr-CA"/>
        </w:rPr>
        <w:t xml:space="preserve">ion du témoignage de la juge de paix </w:t>
      </w:r>
      <w:r w:rsidRPr="007664EF">
        <w:rPr>
          <w:lang w:val="fr-CA"/>
        </w:rPr>
        <w:t xml:space="preserve">J. Lauzon, </w:t>
      </w:r>
      <w:r>
        <w:rPr>
          <w:lang w:val="fr-CA"/>
        </w:rPr>
        <w:t xml:space="preserve">18 septembre </w:t>
      </w:r>
      <w:r w:rsidRPr="007664EF">
        <w:rPr>
          <w:lang w:val="fr-CA"/>
        </w:rPr>
        <w:t xml:space="preserve">2019, </w:t>
      </w:r>
      <w:r>
        <w:rPr>
          <w:lang w:val="fr-CA"/>
        </w:rPr>
        <w:t xml:space="preserve">en contre-interrogatoire, </w:t>
      </w:r>
      <w:r w:rsidRPr="007664EF">
        <w:rPr>
          <w:lang w:val="fr-CA"/>
        </w:rPr>
        <w:t xml:space="preserve">p. 92, l. 16 </w:t>
      </w:r>
      <w:r>
        <w:rPr>
          <w:lang w:val="fr-CA"/>
        </w:rPr>
        <w:t>à</w:t>
      </w:r>
      <w:r w:rsidRPr="007664EF">
        <w:rPr>
          <w:lang w:val="fr-CA"/>
        </w:rPr>
        <w:t xml:space="preserve"> p. 93, l. 18</w:t>
      </w:r>
    </w:p>
  </w:footnote>
  <w:footnote w:id="53">
    <w:p w14:paraId="793D98BB" w14:textId="4D78F037" w:rsidR="00B95D74" w:rsidRPr="007664EF" w:rsidRDefault="00B95D74" w:rsidP="005C2288">
      <w:pPr>
        <w:pStyle w:val="FootnoteText"/>
        <w:rPr>
          <w:lang w:val="fr-CA"/>
        </w:rPr>
      </w:pPr>
      <w:r w:rsidRPr="007664EF">
        <w:rPr>
          <w:rStyle w:val="FootnoteReference"/>
          <w:lang w:val="fr-CA"/>
        </w:rPr>
        <w:footnoteRef/>
      </w:r>
      <w:r w:rsidRPr="007664EF">
        <w:rPr>
          <w:lang w:val="fr-CA"/>
        </w:rPr>
        <w:t xml:space="preserve"> Ibid, </w:t>
      </w:r>
      <w:r>
        <w:rPr>
          <w:lang w:val="fr-CA"/>
        </w:rPr>
        <w:t>observations de l’avocat de la juge de paix pendant le contre-interrogatoire</w:t>
      </w:r>
      <w:r w:rsidRPr="007664EF">
        <w:rPr>
          <w:lang w:val="fr-CA"/>
        </w:rPr>
        <w:t>, p. 104, ll. 5-10</w:t>
      </w:r>
    </w:p>
  </w:footnote>
  <w:footnote w:id="54">
    <w:p w14:paraId="4B193931" w14:textId="5ABA1475" w:rsidR="00B95D74" w:rsidRPr="007664EF" w:rsidRDefault="00B95D74" w:rsidP="005C2288">
      <w:pPr>
        <w:pStyle w:val="FootnoteText"/>
        <w:rPr>
          <w:lang w:val="fr-CA"/>
        </w:rPr>
      </w:pPr>
      <w:r w:rsidRPr="007664EF">
        <w:rPr>
          <w:rStyle w:val="FootnoteReference"/>
          <w:lang w:val="fr-CA"/>
        </w:rPr>
        <w:footnoteRef/>
      </w:r>
      <w:r w:rsidRPr="007664EF">
        <w:rPr>
          <w:lang w:val="fr-CA"/>
        </w:rPr>
        <w:t xml:space="preserve"> </w:t>
      </w:r>
      <w:bookmarkStart w:id="43" w:name="_Hlk37105650"/>
      <w:r w:rsidRPr="007664EF">
        <w:rPr>
          <w:lang w:val="fr-CA"/>
        </w:rPr>
        <w:t>Transcript</w:t>
      </w:r>
      <w:r>
        <w:rPr>
          <w:lang w:val="fr-CA"/>
        </w:rPr>
        <w:t xml:space="preserve">ion du témoignage de la juge de paix </w:t>
      </w:r>
      <w:r w:rsidRPr="007664EF">
        <w:rPr>
          <w:lang w:val="fr-CA"/>
        </w:rPr>
        <w:t xml:space="preserve">J. Lauzon, </w:t>
      </w:r>
      <w:r>
        <w:rPr>
          <w:lang w:val="fr-CA"/>
        </w:rPr>
        <w:t xml:space="preserve">18 septembre </w:t>
      </w:r>
      <w:r w:rsidRPr="007664EF">
        <w:rPr>
          <w:lang w:val="fr-CA"/>
        </w:rPr>
        <w:t xml:space="preserve">2019, p. 105, l. 24 </w:t>
      </w:r>
      <w:r>
        <w:rPr>
          <w:lang w:val="fr-CA"/>
        </w:rPr>
        <w:t>à</w:t>
      </w:r>
      <w:r w:rsidRPr="007664EF">
        <w:rPr>
          <w:lang w:val="fr-CA"/>
        </w:rPr>
        <w:t xml:space="preserve"> p. 106, l. 16</w:t>
      </w:r>
      <w:bookmarkEnd w:id="43"/>
    </w:p>
  </w:footnote>
  <w:footnote w:id="55">
    <w:p w14:paraId="21B3DF00" w14:textId="7101AD4E" w:rsidR="00B95D74" w:rsidRPr="007664EF" w:rsidRDefault="00B95D74" w:rsidP="005C2288">
      <w:pPr>
        <w:pStyle w:val="FootnoteText"/>
        <w:rPr>
          <w:lang w:val="fr-CA"/>
        </w:rPr>
      </w:pPr>
      <w:r w:rsidRPr="007664EF">
        <w:rPr>
          <w:rStyle w:val="FootnoteReference"/>
          <w:lang w:val="fr-CA"/>
        </w:rPr>
        <w:footnoteRef/>
      </w:r>
      <w:r w:rsidRPr="007664EF">
        <w:rPr>
          <w:lang w:val="fr-CA"/>
        </w:rPr>
        <w:t xml:space="preserve"> Ibid, p. 98, l 1 </w:t>
      </w:r>
      <w:r>
        <w:rPr>
          <w:lang w:val="fr-CA"/>
        </w:rPr>
        <w:t>à</w:t>
      </w:r>
      <w:r w:rsidRPr="007664EF">
        <w:rPr>
          <w:lang w:val="fr-CA"/>
        </w:rPr>
        <w:t xml:space="preserve"> p. 100, l. 5</w:t>
      </w:r>
    </w:p>
  </w:footnote>
  <w:footnote w:id="56">
    <w:p w14:paraId="0C7EC072" w14:textId="21CD6768" w:rsidR="00B95D74" w:rsidRPr="007664EF" w:rsidRDefault="00B95D74" w:rsidP="005C2288">
      <w:pPr>
        <w:pStyle w:val="FootnoteText"/>
        <w:rPr>
          <w:lang w:val="fr-CA"/>
        </w:rPr>
      </w:pPr>
      <w:r w:rsidRPr="007664EF">
        <w:rPr>
          <w:rStyle w:val="FootnoteReference"/>
          <w:lang w:val="fr-CA"/>
        </w:rPr>
        <w:footnoteRef/>
      </w:r>
      <w:r w:rsidRPr="007664EF">
        <w:rPr>
          <w:lang w:val="fr-CA"/>
        </w:rPr>
        <w:t xml:space="preserve"> Transcript</w:t>
      </w:r>
      <w:r>
        <w:rPr>
          <w:lang w:val="fr-CA"/>
        </w:rPr>
        <w:t xml:space="preserve">ion du témoignage de la juge de paix </w:t>
      </w:r>
      <w:r w:rsidRPr="007664EF">
        <w:rPr>
          <w:lang w:val="fr-CA"/>
        </w:rPr>
        <w:t xml:space="preserve">J. Lauzon, </w:t>
      </w:r>
      <w:r>
        <w:rPr>
          <w:lang w:val="fr-CA"/>
        </w:rPr>
        <w:t>18 septembre 2019,</w:t>
      </w:r>
      <w:r w:rsidRPr="007664EF">
        <w:rPr>
          <w:lang w:val="fr-CA"/>
        </w:rPr>
        <w:t xml:space="preserve"> p. 111, l. 16 </w:t>
      </w:r>
      <w:r>
        <w:rPr>
          <w:lang w:val="fr-CA"/>
        </w:rPr>
        <w:t>à</w:t>
      </w:r>
      <w:r w:rsidRPr="007664EF">
        <w:rPr>
          <w:lang w:val="fr-CA"/>
        </w:rPr>
        <w:t xml:space="preserve"> p. 113, l. 10</w:t>
      </w:r>
    </w:p>
  </w:footnote>
  <w:footnote w:id="57">
    <w:p w14:paraId="6D731628" w14:textId="32C5B425" w:rsidR="00B95D74" w:rsidRPr="007664EF" w:rsidRDefault="00B95D74" w:rsidP="00AA0E75">
      <w:pPr>
        <w:pStyle w:val="FootnoteText"/>
        <w:rPr>
          <w:lang w:val="fr-CA"/>
        </w:rPr>
      </w:pPr>
      <w:r w:rsidRPr="007664EF">
        <w:rPr>
          <w:rStyle w:val="FootnoteReference"/>
          <w:lang w:val="fr-CA"/>
        </w:rPr>
        <w:footnoteRef/>
      </w:r>
      <w:r w:rsidRPr="007664EF">
        <w:rPr>
          <w:lang w:val="fr-CA"/>
        </w:rPr>
        <w:t xml:space="preserve"> Transcript</w:t>
      </w:r>
      <w:r>
        <w:rPr>
          <w:lang w:val="fr-CA"/>
        </w:rPr>
        <w:t xml:space="preserve">ion du témoignage de la juge de paix </w:t>
      </w:r>
      <w:r w:rsidRPr="007664EF">
        <w:rPr>
          <w:lang w:val="fr-CA"/>
        </w:rPr>
        <w:t xml:space="preserve">J. Lauzon, </w:t>
      </w:r>
      <w:r>
        <w:rPr>
          <w:lang w:val="fr-CA"/>
        </w:rPr>
        <w:t xml:space="preserve">18 septembre </w:t>
      </w:r>
      <w:r w:rsidRPr="007664EF">
        <w:rPr>
          <w:lang w:val="fr-CA"/>
        </w:rPr>
        <w:t xml:space="preserve">2019, p. 117, 1, 18 </w:t>
      </w:r>
      <w:r>
        <w:rPr>
          <w:lang w:val="fr-CA"/>
        </w:rPr>
        <w:t>à</w:t>
      </w:r>
      <w:r w:rsidRPr="007664EF">
        <w:rPr>
          <w:lang w:val="fr-CA"/>
        </w:rPr>
        <w:t xml:space="preserve"> p. 118, l. 3</w:t>
      </w:r>
    </w:p>
  </w:footnote>
  <w:footnote w:id="58">
    <w:p w14:paraId="1D91602B" w14:textId="77777777" w:rsidR="00B95D74" w:rsidRPr="007664EF" w:rsidRDefault="00B95D74" w:rsidP="00505D33">
      <w:pPr>
        <w:pStyle w:val="FootnoteText"/>
        <w:rPr>
          <w:lang w:val="fr-CA"/>
        </w:rPr>
      </w:pPr>
      <w:r w:rsidRPr="007664EF">
        <w:rPr>
          <w:rStyle w:val="FootnoteReference"/>
          <w:lang w:val="fr-CA"/>
        </w:rPr>
        <w:footnoteRef/>
      </w:r>
      <w:bookmarkStart w:id="44" w:name="_Hlk37106705"/>
      <w:r w:rsidRPr="007664EF">
        <w:rPr>
          <w:lang w:val="fr-CA"/>
        </w:rPr>
        <w:t xml:space="preserve"> Ibid, p. 118, ll. 9-18 </w:t>
      </w:r>
      <w:bookmarkEnd w:id="44"/>
    </w:p>
  </w:footnote>
  <w:footnote w:id="59">
    <w:p w14:paraId="6869C719" w14:textId="4BB2A381" w:rsidR="00B95D74" w:rsidRPr="007664EF" w:rsidRDefault="00B95D74" w:rsidP="005C2288">
      <w:pPr>
        <w:pStyle w:val="FootnoteText"/>
        <w:rPr>
          <w:lang w:val="fr-CA"/>
        </w:rPr>
      </w:pPr>
      <w:r w:rsidRPr="007664EF">
        <w:rPr>
          <w:rStyle w:val="FootnoteReference"/>
          <w:lang w:val="fr-CA"/>
        </w:rPr>
        <w:footnoteRef/>
      </w:r>
      <w:r w:rsidRPr="007664EF">
        <w:rPr>
          <w:lang w:val="fr-CA"/>
        </w:rPr>
        <w:t xml:space="preserve"> Ibid, p. 119, l. 12 </w:t>
      </w:r>
      <w:r>
        <w:rPr>
          <w:lang w:val="fr-CA"/>
        </w:rPr>
        <w:t>à</w:t>
      </w:r>
      <w:r w:rsidRPr="007664EF">
        <w:rPr>
          <w:lang w:val="fr-CA"/>
        </w:rPr>
        <w:t xml:space="preserve"> p. 120, l. 4 </w:t>
      </w:r>
    </w:p>
  </w:footnote>
  <w:footnote w:id="60">
    <w:p w14:paraId="3D08021E" w14:textId="2A3FFED6" w:rsidR="00B95D74" w:rsidRPr="007664EF" w:rsidRDefault="00B95D74" w:rsidP="005C2288">
      <w:pPr>
        <w:pStyle w:val="FootnoteText"/>
        <w:rPr>
          <w:lang w:val="fr-CA"/>
        </w:rPr>
      </w:pPr>
      <w:r w:rsidRPr="007664EF">
        <w:rPr>
          <w:rStyle w:val="FootnoteReference"/>
          <w:lang w:val="fr-CA"/>
        </w:rPr>
        <w:footnoteRef/>
      </w:r>
      <w:r w:rsidRPr="007664EF">
        <w:rPr>
          <w:lang w:val="fr-CA"/>
        </w:rPr>
        <w:t xml:space="preserve"> Ibid, p.  118, l. 19 </w:t>
      </w:r>
      <w:r>
        <w:rPr>
          <w:lang w:val="fr-CA"/>
        </w:rPr>
        <w:t>à</w:t>
      </w:r>
      <w:r w:rsidRPr="007664EF">
        <w:rPr>
          <w:lang w:val="fr-CA"/>
        </w:rPr>
        <w:t xml:space="preserve"> p. 119, l. 11</w:t>
      </w:r>
    </w:p>
  </w:footnote>
  <w:footnote w:id="61">
    <w:p w14:paraId="15AEB5DF" w14:textId="291056DD" w:rsidR="00B95D74" w:rsidRPr="007664EF" w:rsidRDefault="00B95D74">
      <w:pPr>
        <w:pStyle w:val="FootnoteText"/>
        <w:rPr>
          <w:lang w:val="fr-CA"/>
        </w:rPr>
      </w:pPr>
      <w:r w:rsidRPr="007664EF">
        <w:rPr>
          <w:rStyle w:val="FootnoteReference"/>
          <w:lang w:val="fr-CA"/>
        </w:rPr>
        <w:footnoteRef/>
      </w:r>
      <w:r w:rsidRPr="007664EF">
        <w:rPr>
          <w:lang w:val="fr-CA"/>
        </w:rPr>
        <w:t xml:space="preserve"> </w:t>
      </w:r>
      <w:r>
        <w:rPr>
          <w:lang w:val="fr-CA"/>
        </w:rPr>
        <w:t xml:space="preserve">Pièce </w:t>
      </w:r>
      <w:r w:rsidRPr="007664EF">
        <w:rPr>
          <w:lang w:val="fr-CA"/>
        </w:rPr>
        <w:t xml:space="preserve">7 – </w:t>
      </w:r>
      <w:r>
        <w:rPr>
          <w:lang w:val="fr-CA"/>
        </w:rPr>
        <w:t xml:space="preserve">Échange de courriels du 14 mars </w:t>
      </w:r>
      <w:r w:rsidRPr="007664EF">
        <w:rPr>
          <w:lang w:val="fr-CA"/>
        </w:rPr>
        <w:t xml:space="preserve">2016 </w:t>
      </w:r>
      <w:r>
        <w:rPr>
          <w:lang w:val="fr-CA"/>
        </w:rPr>
        <w:t xml:space="preserve">entre la juge de paix Lauzon et le </w:t>
      </w:r>
      <w:r w:rsidRPr="00134252">
        <w:rPr>
          <w:i/>
          <w:lang w:val="fr-CA"/>
        </w:rPr>
        <w:t>National Post</w:t>
      </w:r>
      <w:r w:rsidRPr="007664EF">
        <w:rPr>
          <w:lang w:val="fr-CA"/>
        </w:rPr>
        <w:t xml:space="preserve"> (Jesse Kline) </w:t>
      </w:r>
    </w:p>
  </w:footnote>
  <w:footnote w:id="62">
    <w:p w14:paraId="61701E1B" w14:textId="77777777" w:rsidR="00B95D74" w:rsidRPr="007664EF" w:rsidRDefault="00B95D74" w:rsidP="00AA0E75">
      <w:pPr>
        <w:pStyle w:val="FootnoteText"/>
        <w:rPr>
          <w:lang w:val="fr-CA"/>
        </w:rPr>
      </w:pPr>
      <w:r w:rsidRPr="007664EF">
        <w:rPr>
          <w:rStyle w:val="FootnoteReference"/>
          <w:lang w:val="fr-CA"/>
        </w:rPr>
        <w:footnoteRef/>
      </w:r>
      <w:r w:rsidRPr="007664EF">
        <w:rPr>
          <w:lang w:val="fr-CA"/>
        </w:rPr>
        <w:t xml:space="preserve"> Ibid, p. 120, ll. 2-20 </w:t>
      </w:r>
    </w:p>
  </w:footnote>
  <w:footnote w:id="63">
    <w:p w14:paraId="1D5B62BE" w14:textId="09B83EC5" w:rsidR="00B95D74" w:rsidRPr="007664EF" w:rsidRDefault="00B95D74">
      <w:pPr>
        <w:pStyle w:val="FootnoteText"/>
        <w:rPr>
          <w:lang w:val="fr-CA"/>
        </w:rPr>
      </w:pPr>
      <w:r w:rsidRPr="007664EF">
        <w:rPr>
          <w:rStyle w:val="FootnoteReference"/>
          <w:lang w:val="fr-CA"/>
        </w:rPr>
        <w:footnoteRef/>
      </w:r>
      <w:r w:rsidRPr="007664EF">
        <w:rPr>
          <w:lang w:val="fr-CA"/>
        </w:rPr>
        <w:t xml:space="preserve"> </w:t>
      </w:r>
      <w:r>
        <w:rPr>
          <w:lang w:val="fr-CA"/>
        </w:rPr>
        <w:t>Témoignage de la juge de paix</w:t>
      </w:r>
      <w:r w:rsidRPr="007664EF">
        <w:rPr>
          <w:lang w:val="fr-CA"/>
        </w:rPr>
        <w:t xml:space="preserve"> Lauzon, </w:t>
      </w:r>
      <w:r>
        <w:rPr>
          <w:lang w:val="fr-CA"/>
        </w:rPr>
        <w:t xml:space="preserve">transcription du 17 septembre </w:t>
      </w:r>
      <w:r w:rsidRPr="007664EF">
        <w:rPr>
          <w:lang w:val="fr-CA"/>
        </w:rPr>
        <w:t xml:space="preserve">2019, p. 202, l. 14 </w:t>
      </w:r>
      <w:r>
        <w:rPr>
          <w:lang w:val="fr-CA"/>
        </w:rPr>
        <w:t>à</w:t>
      </w:r>
      <w:r w:rsidRPr="007664EF">
        <w:rPr>
          <w:lang w:val="fr-CA"/>
        </w:rPr>
        <w:t xml:space="preserve"> p. 204, l. 19</w:t>
      </w:r>
    </w:p>
  </w:footnote>
  <w:footnote w:id="64">
    <w:p w14:paraId="69CD88AE" w14:textId="6FA9C8B3" w:rsidR="00B95D74" w:rsidRPr="007664EF" w:rsidRDefault="00B95D74">
      <w:pPr>
        <w:pStyle w:val="FootnoteText"/>
        <w:rPr>
          <w:lang w:val="fr-CA"/>
        </w:rPr>
      </w:pPr>
      <w:r w:rsidRPr="007664EF">
        <w:rPr>
          <w:rStyle w:val="FootnoteReference"/>
          <w:lang w:val="fr-CA"/>
        </w:rPr>
        <w:footnoteRef/>
      </w:r>
      <w:r w:rsidRPr="007664EF">
        <w:rPr>
          <w:lang w:val="fr-CA"/>
        </w:rPr>
        <w:t xml:space="preserve"> </w:t>
      </w:r>
      <w:r>
        <w:rPr>
          <w:lang w:val="fr-CA"/>
        </w:rPr>
        <w:t>Pièce n</w:t>
      </w:r>
      <w:r w:rsidRPr="00F06038">
        <w:rPr>
          <w:vertAlign w:val="superscript"/>
          <w:lang w:val="fr-CA"/>
        </w:rPr>
        <w:t>o</w:t>
      </w:r>
      <w:r>
        <w:rPr>
          <w:lang w:val="fr-CA"/>
        </w:rPr>
        <w:t xml:space="preserve"> </w:t>
      </w:r>
      <w:r w:rsidRPr="007664EF">
        <w:rPr>
          <w:lang w:val="fr-CA"/>
        </w:rPr>
        <w:t xml:space="preserve">5 </w:t>
      </w:r>
      <w:r>
        <w:rPr>
          <w:lang w:val="fr-CA"/>
        </w:rPr>
        <w:t>« Historique »</w:t>
      </w:r>
      <w:r w:rsidRPr="007664EF">
        <w:rPr>
          <w:lang w:val="fr-CA"/>
        </w:rPr>
        <w:t xml:space="preserve"> - Transcript</w:t>
      </w:r>
      <w:r>
        <w:rPr>
          <w:lang w:val="fr-CA"/>
        </w:rPr>
        <w:t>ion de</w:t>
      </w:r>
      <w:r w:rsidRPr="007664EF">
        <w:rPr>
          <w:lang w:val="fr-CA"/>
        </w:rPr>
        <w:t xml:space="preserve"> </w:t>
      </w:r>
      <w:r w:rsidRPr="007664EF">
        <w:rPr>
          <w:i/>
          <w:lang w:val="fr-CA"/>
        </w:rPr>
        <w:t>R. v. Cody Boast</w:t>
      </w:r>
      <w:r w:rsidRPr="007664EF">
        <w:rPr>
          <w:lang w:val="fr-CA"/>
        </w:rPr>
        <w:t xml:space="preserve">, </w:t>
      </w:r>
      <w:r>
        <w:rPr>
          <w:lang w:val="fr-CA"/>
        </w:rPr>
        <w:t xml:space="preserve">onglet </w:t>
      </w:r>
      <w:r w:rsidRPr="007664EF">
        <w:rPr>
          <w:lang w:val="fr-CA"/>
        </w:rPr>
        <w:t>6</w:t>
      </w:r>
      <w:r>
        <w:rPr>
          <w:lang w:val="fr-CA"/>
        </w:rPr>
        <w:t xml:space="preserve">, </w:t>
      </w:r>
      <w:r w:rsidRPr="007664EF">
        <w:rPr>
          <w:lang w:val="fr-CA"/>
        </w:rPr>
        <w:t xml:space="preserve">pp.  </w:t>
      </w:r>
    </w:p>
  </w:footnote>
  <w:footnote w:id="65">
    <w:p w14:paraId="5AECABBA" w14:textId="2D5AA6A8" w:rsidR="00B95D74" w:rsidRPr="007664EF" w:rsidRDefault="00B95D74">
      <w:pPr>
        <w:pStyle w:val="FootnoteText"/>
        <w:rPr>
          <w:lang w:val="fr-CA"/>
        </w:rPr>
      </w:pPr>
      <w:r w:rsidRPr="007664EF">
        <w:rPr>
          <w:rStyle w:val="FootnoteReference"/>
          <w:lang w:val="fr-CA"/>
        </w:rPr>
        <w:footnoteRef/>
      </w:r>
      <w:r w:rsidRPr="007664EF">
        <w:rPr>
          <w:lang w:val="fr-CA"/>
        </w:rPr>
        <w:t xml:space="preserve"> Ibid, p. 10, ll. 14 </w:t>
      </w:r>
      <w:r>
        <w:rPr>
          <w:lang w:val="fr-CA"/>
        </w:rPr>
        <w:t>à</w:t>
      </w:r>
      <w:r w:rsidRPr="007664EF">
        <w:rPr>
          <w:lang w:val="fr-CA"/>
        </w:rPr>
        <w:t xml:space="preserve"> p. 1, l. 32</w:t>
      </w:r>
    </w:p>
  </w:footnote>
  <w:footnote w:id="66">
    <w:p w14:paraId="4E65FDCC" w14:textId="3E0532DF" w:rsidR="00B95D74" w:rsidRPr="007664EF" w:rsidRDefault="00B95D74">
      <w:pPr>
        <w:pStyle w:val="FootnoteText"/>
        <w:rPr>
          <w:lang w:val="fr-CA"/>
        </w:rPr>
      </w:pPr>
      <w:r w:rsidRPr="007664EF">
        <w:rPr>
          <w:rStyle w:val="FootnoteReference"/>
          <w:lang w:val="fr-CA"/>
        </w:rPr>
        <w:footnoteRef/>
      </w:r>
      <w:r w:rsidRPr="007664EF">
        <w:rPr>
          <w:lang w:val="fr-CA"/>
        </w:rPr>
        <w:t xml:space="preserve"> </w:t>
      </w:r>
      <w:r>
        <w:rPr>
          <w:lang w:val="fr-CA"/>
        </w:rPr>
        <w:t xml:space="preserve">Témoignage de la juge de paix </w:t>
      </w:r>
      <w:r w:rsidRPr="007664EF">
        <w:rPr>
          <w:lang w:val="fr-CA"/>
        </w:rPr>
        <w:t xml:space="preserve">H.W. Lauzon, </w:t>
      </w:r>
      <w:r>
        <w:rPr>
          <w:lang w:val="fr-CA"/>
        </w:rPr>
        <w:t xml:space="preserve">transcription du 17 septembre </w:t>
      </w:r>
      <w:r w:rsidRPr="007664EF">
        <w:rPr>
          <w:lang w:val="fr-CA"/>
        </w:rPr>
        <w:t xml:space="preserve">2019, p. 202, l. 14 </w:t>
      </w:r>
      <w:r>
        <w:rPr>
          <w:lang w:val="fr-CA"/>
        </w:rPr>
        <w:t>à</w:t>
      </w:r>
      <w:r w:rsidRPr="007664EF">
        <w:rPr>
          <w:lang w:val="fr-CA"/>
        </w:rPr>
        <w:t xml:space="preserve"> p. 204, l. 19</w:t>
      </w:r>
    </w:p>
  </w:footnote>
  <w:footnote w:id="67">
    <w:p w14:paraId="7F70E8DF" w14:textId="687D6362" w:rsidR="00B95D74" w:rsidRPr="007664EF" w:rsidRDefault="00B95D74">
      <w:pPr>
        <w:pStyle w:val="FootnoteText"/>
        <w:rPr>
          <w:lang w:val="fr-CA"/>
        </w:rPr>
      </w:pPr>
      <w:r w:rsidRPr="007664EF">
        <w:rPr>
          <w:rStyle w:val="FootnoteReference"/>
          <w:lang w:val="fr-CA"/>
        </w:rPr>
        <w:footnoteRef/>
      </w:r>
      <w:r w:rsidRPr="007664EF">
        <w:rPr>
          <w:lang w:val="fr-CA"/>
        </w:rPr>
        <w:t xml:space="preserve"> Ibid, p. 70, l. 11, </w:t>
      </w:r>
      <w:r>
        <w:rPr>
          <w:lang w:val="fr-CA"/>
        </w:rPr>
        <w:t>à</w:t>
      </w:r>
      <w:r w:rsidRPr="007664EF">
        <w:rPr>
          <w:lang w:val="fr-CA"/>
        </w:rPr>
        <w:t xml:space="preserve"> </w:t>
      </w:r>
      <w:r>
        <w:rPr>
          <w:lang w:val="fr-CA"/>
        </w:rPr>
        <w:t xml:space="preserve">p. </w:t>
      </w:r>
      <w:r w:rsidRPr="007664EF">
        <w:rPr>
          <w:lang w:val="fr-CA"/>
        </w:rPr>
        <w:t>71, l. 15</w:t>
      </w:r>
    </w:p>
  </w:footnote>
  <w:footnote w:id="68">
    <w:p w14:paraId="311CD471" w14:textId="227D3F25" w:rsidR="00B95D74" w:rsidRPr="007664EF" w:rsidRDefault="00B95D74">
      <w:pPr>
        <w:pStyle w:val="FootnoteText"/>
        <w:rPr>
          <w:lang w:val="fr-CA"/>
        </w:rPr>
      </w:pPr>
      <w:r w:rsidRPr="007664EF">
        <w:rPr>
          <w:rStyle w:val="FootnoteReference"/>
          <w:lang w:val="fr-CA"/>
        </w:rPr>
        <w:footnoteRef/>
      </w:r>
      <w:r w:rsidRPr="007664EF">
        <w:rPr>
          <w:lang w:val="fr-CA"/>
        </w:rPr>
        <w:t xml:space="preserve"> </w:t>
      </w:r>
      <w:r>
        <w:rPr>
          <w:lang w:val="fr-CA"/>
        </w:rPr>
        <w:t>Pièce n</w:t>
      </w:r>
      <w:r w:rsidRPr="00F351E8">
        <w:rPr>
          <w:vertAlign w:val="superscript"/>
          <w:lang w:val="fr-CA"/>
        </w:rPr>
        <w:t>o</w:t>
      </w:r>
      <w:r>
        <w:rPr>
          <w:lang w:val="fr-CA"/>
        </w:rPr>
        <w:t xml:space="preserve"> </w:t>
      </w:r>
      <w:r w:rsidRPr="007664EF">
        <w:rPr>
          <w:lang w:val="fr-CA"/>
        </w:rPr>
        <w:t xml:space="preserve">5 </w:t>
      </w:r>
      <w:r>
        <w:rPr>
          <w:lang w:val="fr-CA"/>
        </w:rPr>
        <w:t>« Historique »</w:t>
      </w:r>
      <w:r w:rsidRPr="007664EF">
        <w:rPr>
          <w:lang w:val="fr-CA"/>
        </w:rPr>
        <w:t xml:space="preserve"> -</w:t>
      </w:r>
      <w:r>
        <w:rPr>
          <w:lang w:val="fr-CA"/>
        </w:rPr>
        <w:t xml:space="preserve"> courriel de </w:t>
      </w:r>
      <w:r w:rsidRPr="007664EF">
        <w:rPr>
          <w:lang w:val="fr-CA"/>
        </w:rPr>
        <w:t xml:space="preserve">V. Bair </w:t>
      </w:r>
      <w:r>
        <w:rPr>
          <w:lang w:val="fr-CA"/>
        </w:rPr>
        <w:t xml:space="preserve">au </w:t>
      </w:r>
      <w:r w:rsidRPr="00F351E8">
        <w:rPr>
          <w:lang w:val="fr-CA"/>
        </w:rPr>
        <w:t>juge de paix et chef régional de l'administration</w:t>
      </w:r>
      <w:r w:rsidRPr="007664EF">
        <w:rPr>
          <w:lang w:val="fr-CA"/>
        </w:rPr>
        <w:t xml:space="preserve"> Swords</w:t>
      </w:r>
      <w:r>
        <w:rPr>
          <w:lang w:val="fr-CA"/>
        </w:rPr>
        <w:t xml:space="preserve">, daté du 15 mars </w:t>
      </w:r>
      <w:r w:rsidRPr="00F351E8">
        <w:rPr>
          <w:lang w:val="fr-CA"/>
        </w:rPr>
        <w:t>2016</w:t>
      </w:r>
      <w:r w:rsidRPr="007664EF">
        <w:rPr>
          <w:i/>
          <w:lang w:val="fr-CA"/>
        </w:rPr>
        <w:t>,</w:t>
      </w:r>
      <w:r w:rsidRPr="007664EF">
        <w:rPr>
          <w:lang w:val="fr-CA"/>
        </w:rPr>
        <w:t xml:space="preserve"> </w:t>
      </w:r>
      <w:r>
        <w:rPr>
          <w:lang w:val="fr-CA"/>
        </w:rPr>
        <w:t>onglet</w:t>
      </w:r>
      <w:r w:rsidRPr="007664EF">
        <w:rPr>
          <w:lang w:val="fr-CA"/>
        </w:rPr>
        <w:t xml:space="preserve"> 2</w:t>
      </w:r>
    </w:p>
  </w:footnote>
  <w:footnote w:id="69">
    <w:p w14:paraId="56386F1B" w14:textId="295BB395" w:rsidR="00B95D74" w:rsidRPr="007664EF" w:rsidRDefault="00B95D74" w:rsidP="005C2288">
      <w:pPr>
        <w:pStyle w:val="FootnoteText"/>
        <w:rPr>
          <w:lang w:val="fr-CA"/>
        </w:rPr>
      </w:pPr>
      <w:r w:rsidRPr="007664EF">
        <w:rPr>
          <w:rStyle w:val="FootnoteReference"/>
          <w:lang w:val="fr-CA"/>
        </w:rPr>
        <w:footnoteRef/>
      </w:r>
      <w:r w:rsidRPr="007664EF">
        <w:rPr>
          <w:lang w:val="fr-CA"/>
        </w:rPr>
        <w:t xml:space="preserve"> </w:t>
      </w:r>
      <w:r>
        <w:rPr>
          <w:lang w:val="fr-CA"/>
        </w:rPr>
        <w:t xml:space="preserve">Témoignage de la juge de paix </w:t>
      </w:r>
      <w:r w:rsidRPr="007664EF">
        <w:rPr>
          <w:lang w:val="fr-CA"/>
        </w:rPr>
        <w:t xml:space="preserve">H.W. Lauzon, </w:t>
      </w:r>
      <w:r>
        <w:rPr>
          <w:lang w:val="fr-CA"/>
        </w:rPr>
        <w:t xml:space="preserve">transcription du 17 septembre </w:t>
      </w:r>
      <w:r w:rsidRPr="007664EF">
        <w:rPr>
          <w:lang w:val="fr-CA"/>
        </w:rPr>
        <w:t xml:space="preserve">2019, p. 96, ll. 3-22; p.179, l. 2 </w:t>
      </w:r>
      <w:r>
        <w:rPr>
          <w:lang w:val="fr-CA"/>
        </w:rPr>
        <w:t>à</w:t>
      </w:r>
      <w:r w:rsidRPr="007664EF">
        <w:rPr>
          <w:lang w:val="fr-CA"/>
        </w:rPr>
        <w:t xml:space="preserve"> p. 181, l. 25</w:t>
      </w:r>
    </w:p>
  </w:footnote>
  <w:footnote w:id="70">
    <w:p w14:paraId="4E0B50ED" w14:textId="7B65CF79" w:rsidR="00B95D74" w:rsidRPr="007664EF" w:rsidRDefault="00B95D74" w:rsidP="005C2288">
      <w:pPr>
        <w:pStyle w:val="FootnoteText"/>
        <w:rPr>
          <w:lang w:val="fr-CA"/>
        </w:rPr>
      </w:pPr>
      <w:r w:rsidRPr="007664EF">
        <w:rPr>
          <w:rStyle w:val="FootnoteReference"/>
          <w:lang w:val="fr-CA"/>
        </w:rPr>
        <w:footnoteRef/>
      </w:r>
      <w:r w:rsidRPr="007664EF">
        <w:rPr>
          <w:lang w:val="fr-CA"/>
        </w:rPr>
        <w:t xml:space="preserve"> </w:t>
      </w:r>
      <w:r>
        <w:rPr>
          <w:lang w:val="fr-CA"/>
        </w:rPr>
        <w:t xml:space="preserve">Rapport </w:t>
      </w:r>
      <w:r w:rsidRPr="007664EF">
        <w:rPr>
          <w:lang w:val="fr-CA"/>
        </w:rPr>
        <w:t xml:space="preserve">Wyant, </w:t>
      </w:r>
      <w:r w:rsidRPr="007664EF">
        <w:rPr>
          <w:i/>
          <w:lang w:val="fr-CA"/>
        </w:rPr>
        <w:t>supra</w:t>
      </w:r>
      <w:r>
        <w:rPr>
          <w:lang w:val="fr-CA"/>
        </w:rPr>
        <w:t>, Recomme</w:t>
      </w:r>
      <w:r w:rsidRPr="007664EF">
        <w:rPr>
          <w:lang w:val="fr-CA"/>
        </w:rPr>
        <w:t xml:space="preserve">ndation 19 </w:t>
      </w:r>
      <w:r>
        <w:rPr>
          <w:lang w:val="fr-CA"/>
        </w:rPr>
        <w:t xml:space="preserve">– </w:t>
      </w:r>
      <w:r w:rsidRPr="007664EF">
        <w:rPr>
          <w:lang w:val="fr-CA"/>
        </w:rPr>
        <w:t>The Use of Video and Bail Triage</w:t>
      </w:r>
    </w:p>
  </w:footnote>
  <w:footnote w:id="71">
    <w:p w14:paraId="063825BE" w14:textId="6747763D" w:rsidR="00B95D74" w:rsidRPr="007664EF" w:rsidRDefault="00B95D74">
      <w:pPr>
        <w:pStyle w:val="FootnoteText"/>
        <w:rPr>
          <w:lang w:val="fr-CA"/>
        </w:rPr>
      </w:pPr>
      <w:r w:rsidRPr="007664EF">
        <w:rPr>
          <w:rStyle w:val="FootnoteReference"/>
          <w:lang w:val="fr-CA"/>
        </w:rPr>
        <w:footnoteRef/>
      </w:r>
      <w:r w:rsidRPr="007664EF">
        <w:rPr>
          <w:lang w:val="fr-CA"/>
        </w:rPr>
        <w:t xml:space="preserve"> </w:t>
      </w:r>
      <w:bookmarkStart w:id="51" w:name="_Hlk38321406"/>
      <w:r>
        <w:rPr>
          <w:lang w:val="fr-CA"/>
        </w:rPr>
        <w:t xml:space="preserve">Transcription du 17 septembre </w:t>
      </w:r>
      <w:r w:rsidRPr="007664EF">
        <w:rPr>
          <w:lang w:val="fr-CA"/>
        </w:rPr>
        <w:t xml:space="preserve">2019, p. 114, l. 15 </w:t>
      </w:r>
      <w:r>
        <w:rPr>
          <w:lang w:val="fr-CA"/>
        </w:rPr>
        <w:t>à</w:t>
      </w:r>
      <w:r w:rsidRPr="007664EF">
        <w:rPr>
          <w:lang w:val="fr-CA"/>
        </w:rPr>
        <w:t xml:space="preserve"> p. 115, l.15</w:t>
      </w:r>
      <w:bookmarkEnd w:id="51"/>
    </w:p>
  </w:footnote>
  <w:footnote w:id="72">
    <w:p w14:paraId="21ABCC1B" w14:textId="1DE884C5" w:rsidR="00B95D74" w:rsidRPr="007664EF" w:rsidRDefault="00B95D74">
      <w:pPr>
        <w:pStyle w:val="FootnoteText"/>
        <w:rPr>
          <w:lang w:val="fr-CA"/>
        </w:rPr>
      </w:pPr>
      <w:r w:rsidRPr="007664EF">
        <w:rPr>
          <w:rStyle w:val="FootnoteReference"/>
          <w:lang w:val="fr-CA"/>
        </w:rPr>
        <w:footnoteRef/>
      </w:r>
      <w:r w:rsidRPr="007664EF">
        <w:rPr>
          <w:lang w:val="fr-CA"/>
        </w:rPr>
        <w:t xml:space="preserve"> </w:t>
      </w:r>
      <w:r>
        <w:rPr>
          <w:lang w:val="fr-CA"/>
        </w:rPr>
        <w:t xml:space="preserve">Transcription du 18 septembre </w:t>
      </w:r>
      <w:r w:rsidRPr="007664EF">
        <w:rPr>
          <w:lang w:val="fr-CA"/>
        </w:rPr>
        <w:t xml:space="preserve">2019, p. 30, l. 16 </w:t>
      </w:r>
      <w:r>
        <w:rPr>
          <w:lang w:val="fr-CA"/>
        </w:rPr>
        <w:t>à</w:t>
      </w:r>
      <w:r w:rsidRPr="007664EF">
        <w:rPr>
          <w:lang w:val="fr-CA"/>
        </w:rPr>
        <w:t xml:space="preserve"> p, 34, l. 15</w:t>
      </w:r>
    </w:p>
  </w:footnote>
  <w:footnote w:id="73">
    <w:p w14:paraId="41893F76" w14:textId="020E7E51" w:rsidR="00B95D74" w:rsidRPr="007664EF" w:rsidRDefault="00B95D74">
      <w:pPr>
        <w:pStyle w:val="FootnoteText"/>
        <w:rPr>
          <w:lang w:val="fr-CA"/>
        </w:rPr>
      </w:pPr>
      <w:r w:rsidRPr="007664EF">
        <w:rPr>
          <w:rStyle w:val="FootnoteReference"/>
          <w:lang w:val="fr-CA"/>
        </w:rPr>
        <w:footnoteRef/>
      </w:r>
      <w:r w:rsidRPr="007664EF">
        <w:rPr>
          <w:lang w:val="fr-CA"/>
        </w:rPr>
        <w:t xml:space="preserve"> Ibid, p. 33, l. 1 </w:t>
      </w:r>
      <w:r>
        <w:rPr>
          <w:lang w:val="fr-CA"/>
        </w:rPr>
        <w:t>à</w:t>
      </w:r>
      <w:r w:rsidRPr="007664EF">
        <w:rPr>
          <w:lang w:val="fr-CA"/>
        </w:rPr>
        <w:t xml:space="preserve"> p. 34, l. 24</w:t>
      </w:r>
    </w:p>
  </w:footnote>
  <w:footnote w:id="74">
    <w:p w14:paraId="400D58FE" w14:textId="4D555535" w:rsidR="00B95D74" w:rsidRPr="007664EF" w:rsidRDefault="00B95D74" w:rsidP="00657CB5">
      <w:pPr>
        <w:pStyle w:val="FootnoteText"/>
        <w:rPr>
          <w:lang w:val="fr-CA"/>
        </w:rPr>
      </w:pPr>
      <w:r w:rsidRPr="007664EF">
        <w:rPr>
          <w:rStyle w:val="FootnoteReference"/>
          <w:lang w:val="fr-CA"/>
        </w:rPr>
        <w:footnoteRef/>
      </w:r>
      <w:r w:rsidRPr="007664EF">
        <w:rPr>
          <w:lang w:val="fr-CA"/>
        </w:rPr>
        <w:t xml:space="preserve"> Ibid, p. 49, l. 12 </w:t>
      </w:r>
      <w:r>
        <w:rPr>
          <w:lang w:val="fr-CA"/>
        </w:rPr>
        <w:t>à</w:t>
      </w:r>
      <w:r w:rsidRPr="007664EF">
        <w:rPr>
          <w:lang w:val="fr-CA"/>
        </w:rPr>
        <w:t xml:space="preserve"> p. 51, l. 23; </w:t>
      </w:r>
      <w:r>
        <w:rPr>
          <w:lang w:val="fr-CA"/>
        </w:rPr>
        <w:t>aussi</w:t>
      </w:r>
      <w:r w:rsidRPr="007664EF">
        <w:rPr>
          <w:lang w:val="fr-CA"/>
        </w:rPr>
        <w:t xml:space="preserve">, p. 34. ll. 20-24; </w:t>
      </w:r>
      <w:r>
        <w:rPr>
          <w:lang w:val="fr-CA"/>
        </w:rPr>
        <w:t xml:space="preserve">et transcription du 17 septembre </w:t>
      </w:r>
      <w:r w:rsidRPr="007664EF">
        <w:rPr>
          <w:lang w:val="fr-CA"/>
        </w:rPr>
        <w:t>2019</w:t>
      </w:r>
      <w:r>
        <w:rPr>
          <w:lang w:val="fr-CA"/>
        </w:rPr>
        <w:t xml:space="preserve">, </w:t>
      </w:r>
      <w:r w:rsidRPr="007664EF">
        <w:rPr>
          <w:lang w:val="fr-CA"/>
        </w:rPr>
        <w:t>p.</w:t>
      </w:r>
      <w:r>
        <w:rPr>
          <w:lang w:val="fr-CA"/>
        </w:rPr>
        <w:t> </w:t>
      </w:r>
      <w:r w:rsidRPr="007664EF">
        <w:rPr>
          <w:lang w:val="fr-CA"/>
        </w:rPr>
        <w:t>181, ll. 16-25</w:t>
      </w:r>
    </w:p>
    <w:p w14:paraId="748A447B" w14:textId="77777777" w:rsidR="00B95D74" w:rsidRPr="007664EF" w:rsidRDefault="00B95D74" w:rsidP="00657CB5">
      <w:pPr>
        <w:pStyle w:val="FootnoteText"/>
        <w:rPr>
          <w:lang w:val="fr-CA"/>
        </w:rPr>
      </w:pPr>
    </w:p>
  </w:footnote>
  <w:footnote w:id="75">
    <w:p w14:paraId="2E71517C" w14:textId="34C85F25" w:rsidR="00B95D74" w:rsidRPr="007664EF" w:rsidRDefault="00B95D74">
      <w:pPr>
        <w:pStyle w:val="FootnoteText"/>
        <w:rPr>
          <w:lang w:val="fr-CA"/>
        </w:rPr>
      </w:pPr>
      <w:r w:rsidRPr="007664EF">
        <w:rPr>
          <w:rStyle w:val="FootnoteReference"/>
          <w:lang w:val="fr-CA"/>
        </w:rPr>
        <w:footnoteRef/>
      </w:r>
      <w:r w:rsidRPr="007664EF">
        <w:rPr>
          <w:lang w:val="fr-CA"/>
        </w:rPr>
        <w:t xml:space="preserve"> Transcript</w:t>
      </w:r>
      <w:r>
        <w:rPr>
          <w:lang w:val="fr-CA"/>
        </w:rPr>
        <w:t xml:space="preserve">ion du 17 septembre </w:t>
      </w:r>
      <w:r w:rsidRPr="007664EF">
        <w:rPr>
          <w:lang w:val="fr-CA"/>
        </w:rPr>
        <w:t xml:space="preserve">2019, p. 118, l. 10, </w:t>
      </w:r>
      <w:r>
        <w:rPr>
          <w:lang w:val="fr-CA"/>
        </w:rPr>
        <w:t xml:space="preserve">à </w:t>
      </w:r>
      <w:r w:rsidRPr="007664EF">
        <w:rPr>
          <w:lang w:val="fr-CA"/>
        </w:rPr>
        <w:t>p. 119, l. 21</w:t>
      </w:r>
    </w:p>
  </w:footnote>
  <w:footnote w:id="76">
    <w:p w14:paraId="33181A23" w14:textId="2323184B" w:rsidR="00B95D74" w:rsidRPr="007664EF" w:rsidRDefault="00B95D74">
      <w:pPr>
        <w:pStyle w:val="FootnoteText"/>
        <w:rPr>
          <w:lang w:val="fr-CA"/>
        </w:rPr>
      </w:pPr>
      <w:r w:rsidRPr="007664EF">
        <w:rPr>
          <w:rStyle w:val="FootnoteReference"/>
          <w:lang w:val="fr-CA"/>
        </w:rPr>
        <w:footnoteRef/>
      </w:r>
      <w:r w:rsidRPr="007664EF">
        <w:rPr>
          <w:lang w:val="fr-CA"/>
        </w:rPr>
        <w:t xml:space="preserve"> Transcript</w:t>
      </w:r>
      <w:r>
        <w:rPr>
          <w:lang w:val="fr-CA"/>
        </w:rPr>
        <w:t xml:space="preserve">ion du 17 septembre </w:t>
      </w:r>
      <w:r w:rsidRPr="007664EF">
        <w:rPr>
          <w:rFonts w:ascii="Arial" w:hAnsi="Arial" w:cs="Arial"/>
          <w:lang w:val="fr-CA"/>
        </w:rPr>
        <w:t>2019</w:t>
      </w:r>
      <w:r>
        <w:rPr>
          <w:rFonts w:ascii="Arial" w:hAnsi="Arial" w:cs="Arial"/>
          <w:lang w:val="fr-CA"/>
        </w:rPr>
        <w:t>,</w:t>
      </w:r>
      <w:r w:rsidRPr="007664EF">
        <w:rPr>
          <w:rFonts w:ascii="Arial" w:hAnsi="Arial" w:cs="Arial"/>
          <w:lang w:val="fr-CA"/>
        </w:rPr>
        <w:t xml:space="preserve"> p.91, ll. 10-21; </w:t>
      </w:r>
      <w:r>
        <w:rPr>
          <w:rFonts w:ascii="Arial" w:hAnsi="Arial" w:cs="Arial"/>
          <w:lang w:val="fr-CA"/>
        </w:rPr>
        <w:t xml:space="preserve">et transcription du 18 septembre </w:t>
      </w:r>
      <w:r w:rsidRPr="007664EF">
        <w:rPr>
          <w:rFonts w:ascii="Arial" w:hAnsi="Arial" w:cs="Arial"/>
          <w:lang w:val="fr-CA"/>
        </w:rPr>
        <w:t>2019</w:t>
      </w:r>
      <w:r>
        <w:rPr>
          <w:rFonts w:ascii="Arial" w:hAnsi="Arial" w:cs="Arial"/>
          <w:lang w:val="fr-CA"/>
        </w:rPr>
        <w:t xml:space="preserve">, </w:t>
      </w:r>
      <w:r w:rsidRPr="007664EF">
        <w:rPr>
          <w:rFonts w:ascii="Arial" w:hAnsi="Arial" w:cs="Arial"/>
          <w:lang w:val="fr-CA"/>
        </w:rPr>
        <w:t>p.</w:t>
      </w:r>
      <w:r>
        <w:rPr>
          <w:rFonts w:ascii="Arial" w:hAnsi="Arial" w:cs="Arial"/>
          <w:lang w:val="fr-CA"/>
        </w:rPr>
        <w:t> </w:t>
      </w:r>
      <w:r w:rsidRPr="007664EF">
        <w:rPr>
          <w:rFonts w:ascii="Arial" w:hAnsi="Arial" w:cs="Arial"/>
          <w:lang w:val="fr-CA"/>
        </w:rPr>
        <w:t>94, ll.2-22</w:t>
      </w:r>
    </w:p>
  </w:footnote>
  <w:footnote w:id="77">
    <w:p w14:paraId="592B8797" w14:textId="7327BEEF" w:rsidR="00B95D74" w:rsidRPr="007664EF" w:rsidRDefault="00B95D74" w:rsidP="007D1215">
      <w:pPr>
        <w:spacing w:after="160" w:line="259" w:lineRule="auto"/>
        <w:jc w:val="left"/>
        <w:rPr>
          <w:rFonts w:asciiTheme="minorHAnsi" w:hAnsiTheme="minorHAnsi" w:cstheme="minorHAnsi"/>
          <w:b/>
          <w:lang w:val="fr-CA"/>
        </w:rPr>
      </w:pPr>
      <w:r w:rsidRPr="007664EF">
        <w:rPr>
          <w:rStyle w:val="FootnoteReference"/>
          <w:sz w:val="20"/>
          <w:szCs w:val="20"/>
          <w:lang w:val="fr-CA"/>
        </w:rPr>
        <w:footnoteRef/>
      </w:r>
      <w:r w:rsidRPr="007664EF">
        <w:rPr>
          <w:lang w:val="fr-CA"/>
        </w:rPr>
        <w:t xml:space="preserve"> </w:t>
      </w:r>
      <w:r w:rsidRPr="00FA32AC">
        <w:rPr>
          <w:sz w:val="20"/>
          <w:szCs w:val="20"/>
          <w:lang w:val="fr-CA"/>
        </w:rPr>
        <w:t>Transcription du 18 septembre</w:t>
      </w:r>
      <w:r>
        <w:rPr>
          <w:lang w:val="fr-CA"/>
        </w:rPr>
        <w:t xml:space="preserve"> </w:t>
      </w:r>
      <w:r w:rsidRPr="007664EF">
        <w:rPr>
          <w:rFonts w:asciiTheme="minorHAnsi" w:hAnsiTheme="minorHAnsi" w:cstheme="minorHAnsi"/>
          <w:sz w:val="20"/>
          <w:szCs w:val="20"/>
          <w:lang w:val="fr-CA"/>
        </w:rPr>
        <w:t>2019</w:t>
      </w:r>
      <w:r>
        <w:rPr>
          <w:rFonts w:asciiTheme="minorHAnsi" w:hAnsiTheme="minorHAnsi" w:cstheme="minorHAnsi"/>
          <w:sz w:val="20"/>
          <w:szCs w:val="20"/>
          <w:lang w:val="fr-CA"/>
        </w:rPr>
        <w:t xml:space="preserve">, </w:t>
      </w:r>
      <w:r w:rsidRPr="007664EF">
        <w:rPr>
          <w:rFonts w:asciiTheme="minorHAnsi" w:hAnsiTheme="minorHAnsi" w:cstheme="minorHAnsi"/>
          <w:sz w:val="20"/>
          <w:szCs w:val="20"/>
          <w:lang w:val="fr-CA"/>
        </w:rPr>
        <w:t xml:space="preserve">p. 130, l. 12 </w:t>
      </w:r>
      <w:r>
        <w:rPr>
          <w:rFonts w:asciiTheme="minorHAnsi" w:hAnsiTheme="minorHAnsi" w:cstheme="minorHAnsi"/>
          <w:sz w:val="20"/>
          <w:szCs w:val="20"/>
          <w:lang w:val="fr-CA"/>
        </w:rPr>
        <w:t>à</w:t>
      </w:r>
      <w:r w:rsidRPr="007664EF">
        <w:rPr>
          <w:rFonts w:asciiTheme="minorHAnsi" w:hAnsiTheme="minorHAnsi" w:cstheme="minorHAnsi"/>
          <w:sz w:val="20"/>
          <w:szCs w:val="20"/>
          <w:lang w:val="fr-CA"/>
        </w:rPr>
        <w:t xml:space="preserve"> p. 131, l. 5</w:t>
      </w:r>
    </w:p>
  </w:footnote>
  <w:footnote w:id="78">
    <w:p w14:paraId="64ECFF98" w14:textId="56D4C857" w:rsidR="00B95D74" w:rsidRPr="007664EF" w:rsidRDefault="00B95D74">
      <w:pPr>
        <w:pStyle w:val="FootnoteText"/>
        <w:rPr>
          <w:lang w:val="fr-CA"/>
        </w:rPr>
      </w:pPr>
      <w:r w:rsidRPr="007664EF">
        <w:rPr>
          <w:rStyle w:val="FootnoteReference"/>
          <w:lang w:val="fr-CA"/>
        </w:rPr>
        <w:footnoteRef/>
      </w:r>
      <w:r w:rsidRPr="00FA32AC">
        <w:rPr>
          <w:lang w:val="fr-CA"/>
        </w:rPr>
        <w:t>Transcription du 1</w:t>
      </w:r>
      <w:r>
        <w:rPr>
          <w:lang w:val="fr-CA"/>
        </w:rPr>
        <w:t>7</w:t>
      </w:r>
      <w:r w:rsidRPr="00FA32AC">
        <w:rPr>
          <w:lang w:val="fr-CA"/>
        </w:rPr>
        <w:t xml:space="preserve"> septembre</w:t>
      </w:r>
      <w:r>
        <w:rPr>
          <w:lang w:val="fr-CA"/>
        </w:rPr>
        <w:t xml:space="preserve"> </w:t>
      </w:r>
      <w:r w:rsidRPr="007664EF">
        <w:rPr>
          <w:rFonts w:cstheme="minorHAnsi"/>
          <w:lang w:val="fr-CA"/>
        </w:rPr>
        <w:t>2019</w:t>
      </w:r>
      <w:r>
        <w:rPr>
          <w:rFonts w:cstheme="minorHAnsi"/>
          <w:lang w:val="fr-CA"/>
        </w:rPr>
        <w:t xml:space="preserve">. </w:t>
      </w:r>
      <w:r w:rsidRPr="007664EF">
        <w:rPr>
          <w:rFonts w:cstheme="minorHAnsi"/>
          <w:lang w:val="fr-CA"/>
        </w:rPr>
        <w:t>p</w:t>
      </w:r>
      <w:r w:rsidRPr="007664EF">
        <w:rPr>
          <w:lang w:val="fr-CA"/>
        </w:rPr>
        <w:t xml:space="preserve"> 195, l. 3 </w:t>
      </w:r>
      <w:r>
        <w:rPr>
          <w:lang w:val="fr-CA"/>
        </w:rPr>
        <w:t>à</w:t>
      </w:r>
      <w:r w:rsidRPr="007664EF">
        <w:rPr>
          <w:lang w:val="fr-CA"/>
        </w:rPr>
        <w:t xml:space="preserve"> p. 196, l. 8</w:t>
      </w:r>
    </w:p>
  </w:footnote>
  <w:footnote w:id="79">
    <w:p w14:paraId="6C5F509D" w14:textId="3C1692A3" w:rsidR="00B95D74" w:rsidRPr="007664EF" w:rsidRDefault="00B95D74">
      <w:pPr>
        <w:pStyle w:val="FootnoteText"/>
        <w:rPr>
          <w:lang w:val="fr-CA"/>
        </w:rPr>
      </w:pPr>
      <w:r w:rsidRPr="007664EF">
        <w:rPr>
          <w:rStyle w:val="FootnoteReference"/>
          <w:lang w:val="fr-CA"/>
        </w:rPr>
        <w:footnoteRef/>
      </w:r>
      <w:r w:rsidRPr="007664EF">
        <w:rPr>
          <w:lang w:val="fr-CA"/>
        </w:rPr>
        <w:t xml:space="preserve"> </w:t>
      </w:r>
      <w:r w:rsidRPr="00FA32AC">
        <w:rPr>
          <w:lang w:val="fr-CA"/>
        </w:rPr>
        <w:t>Transcription du 18 septembre</w:t>
      </w:r>
      <w:r>
        <w:rPr>
          <w:lang w:val="fr-CA"/>
        </w:rPr>
        <w:t xml:space="preserve"> </w:t>
      </w:r>
      <w:r w:rsidRPr="007664EF">
        <w:rPr>
          <w:rFonts w:cstheme="minorHAnsi"/>
          <w:lang w:val="fr-CA"/>
        </w:rPr>
        <w:t>2019</w:t>
      </w:r>
      <w:r>
        <w:rPr>
          <w:rFonts w:cstheme="minorHAnsi"/>
          <w:lang w:val="fr-CA"/>
        </w:rPr>
        <w:t xml:space="preserve">, </w:t>
      </w:r>
      <w:r w:rsidRPr="007664EF">
        <w:rPr>
          <w:rFonts w:cstheme="minorHAnsi"/>
          <w:lang w:val="fr-CA"/>
        </w:rPr>
        <w:t>p</w:t>
      </w:r>
      <w:r w:rsidRPr="007664EF">
        <w:rPr>
          <w:lang w:val="fr-CA"/>
        </w:rPr>
        <w:t xml:space="preserve"> </w:t>
      </w:r>
      <w:r>
        <w:rPr>
          <w:lang w:val="fr-CA"/>
        </w:rPr>
        <w:t>7, l. 25, à</w:t>
      </w:r>
      <w:r w:rsidRPr="007664EF">
        <w:rPr>
          <w:lang w:val="fr-CA"/>
        </w:rPr>
        <w:t xml:space="preserve"> p. 8, l. 4</w:t>
      </w:r>
    </w:p>
  </w:footnote>
  <w:footnote w:id="80">
    <w:p w14:paraId="106E2881" w14:textId="0C3BF4B7" w:rsidR="00B95D74" w:rsidRPr="007664EF" w:rsidRDefault="00B95D74">
      <w:pPr>
        <w:pStyle w:val="FootnoteText"/>
        <w:rPr>
          <w:lang w:val="fr-CA"/>
        </w:rPr>
      </w:pPr>
      <w:r w:rsidRPr="007664EF">
        <w:rPr>
          <w:rStyle w:val="FootnoteReference"/>
          <w:lang w:val="fr-CA"/>
        </w:rPr>
        <w:footnoteRef/>
      </w:r>
      <w:r w:rsidRPr="007664EF">
        <w:rPr>
          <w:lang w:val="fr-CA"/>
        </w:rPr>
        <w:t xml:space="preserve">  </w:t>
      </w:r>
      <w:r w:rsidRPr="00FA32AC">
        <w:rPr>
          <w:lang w:val="fr-CA"/>
        </w:rPr>
        <w:t>Transcription du 1</w:t>
      </w:r>
      <w:r>
        <w:rPr>
          <w:lang w:val="fr-CA"/>
        </w:rPr>
        <w:t>7</w:t>
      </w:r>
      <w:r w:rsidRPr="00FA32AC">
        <w:rPr>
          <w:lang w:val="fr-CA"/>
        </w:rPr>
        <w:t xml:space="preserve"> septembre</w:t>
      </w:r>
      <w:r>
        <w:rPr>
          <w:lang w:val="fr-CA"/>
        </w:rPr>
        <w:t xml:space="preserve"> </w:t>
      </w:r>
      <w:r w:rsidRPr="007664EF">
        <w:rPr>
          <w:rFonts w:cstheme="minorHAnsi"/>
          <w:lang w:val="fr-CA"/>
        </w:rPr>
        <w:t>2019</w:t>
      </w:r>
      <w:r>
        <w:rPr>
          <w:rFonts w:cstheme="minorHAnsi"/>
          <w:lang w:val="fr-CA"/>
        </w:rPr>
        <w:t xml:space="preserve">, </w:t>
      </w:r>
      <w:r w:rsidRPr="007664EF">
        <w:rPr>
          <w:rFonts w:cstheme="minorHAnsi"/>
          <w:lang w:val="fr-CA"/>
        </w:rPr>
        <w:t>p</w:t>
      </w:r>
      <w:r w:rsidRPr="007664EF">
        <w:rPr>
          <w:lang w:val="fr-CA"/>
        </w:rPr>
        <w:t xml:space="preserve"> 169, l. 16 </w:t>
      </w:r>
      <w:r>
        <w:rPr>
          <w:lang w:val="fr-CA"/>
        </w:rPr>
        <w:t>à</w:t>
      </w:r>
      <w:r w:rsidRPr="007664EF">
        <w:rPr>
          <w:lang w:val="fr-CA"/>
        </w:rPr>
        <w:t xml:space="preserve"> p. 172, l. 24</w:t>
      </w:r>
    </w:p>
  </w:footnote>
  <w:footnote w:id="81">
    <w:p w14:paraId="3B4C9B4D" w14:textId="5CF92742" w:rsidR="00B95D74" w:rsidRPr="007664EF" w:rsidRDefault="00B95D74" w:rsidP="00EA47BF">
      <w:pPr>
        <w:pStyle w:val="FootnoteText"/>
        <w:rPr>
          <w:lang w:val="fr-CA"/>
        </w:rPr>
      </w:pPr>
      <w:r w:rsidRPr="007664EF">
        <w:rPr>
          <w:rStyle w:val="FootnoteReference"/>
          <w:lang w:val="fr-CA"/>
        </w:rPr>
        <w:footnoteRef/>
      </w:r>
      <w:r w:rsidRPr="007664EF">
        <w:rPr>
          <w:lang w:val="fr-CA"/>
        </w:rPr>
        <w:t xml:space="preserve"> Ibid, p. 170, l. 4 </w:t>
      </w:r>
      <w:r>
        <w:rPr>
          <w:lang w:val="fr-CA"/>
        </w:rPr>
        <w:t>-</w:t>
      </w:r>
      <w:r w:rsidRPr="007664EF">
        <w:rPr>
          <w:lang w:val="fr-CA"/>
        </w:rPr>
        <w:t xml:space="preserve"> p. 173, l. 9</w:t>
      </w:r>
    </w:p>
  </w:footnote>
  <w:footnote w:id="82">
    <w:p w14:paraId="1E558A43" w14:textId="15AF96F8" w:rsidR="00B95D74" w:rsidRPr="007664EF" w:rsidRDefault="00B95D74">
      <w:pPr>
        <w:pStyle w:val="FootnoteText"/>
        <w:rPr>
          <w:lang w:val="fr-CA"/>
        </w:rPr>
      </w:pPr>
      <w:r w:rsidRPr="007664EF">
        <w:rPr>
          <w:rStyle w:val="FootnoteReference"/>
          <w:lang w:val="fr-CA"/>
        </w:rPr>
        <w:footnoteRef/>
      </w:r>
      <w:r w:rsidRPr="007664EF">
        <w:rPr>
          <w:lang w:val="fr-CA"/>
        </w:rPr>
        <w:t xml:space="preserve"> Ibid, p. 42, ll. 7-2</w:t>
      </w:r>
    </w:p>
  </w:footnote>
  <w:footnote w:id="83">
    <w:p w14:paraId="2A083653" w14:textId="14E6B1CE" w:rsidR="00B95D74" w:rsidRPr="007664EF" w:rsidRDefault="00B95D74">
      <w:pPr>
        <w:pStyle w:val="FootnoteText"/>
        <w:rPr>
          <w:lang w:val="fr-CA"/>
        </w:rPr>
      </w:pPr>
      <w:r w:rsidRPr="007664EF">
        <w:rPr>
          <w:rStyle w:val="FootnoteReference"/>
          <w:lang w:val="fr-CA"/>
        </w:rPr>
        <w:footnoteRef/>
      </w:r>
      <w:r w:rsidRPr="007664EF">
        <w:rPr>
          <w:lang w:val="fr-CA"/>
        </w:rPr>
        <w:t xml:space="preserve"> Ibid, p. 172, ll. 19-23</w:t>
      </w:r>
    </w:p>
  </w:footnote>
  <w:footnote w:id="84">
    <w:p w14:paraId="1761DB17" w14:textId="3040678E" w:rsidR="00B95D74" w:rsidRPr="007664EF" w:rsidRDefault="00B95D74">
      <w:pPr>
        <w:pStyle w:val="FootnoteText"/>
        <w:rPr>
          <w:lang w:val="fr-CA"/>
        </w:rPr>
      </w:pPr>
      <w:r w:rsidRPr="007664EF">
        <w:rPr>
          <w:rStyle w:val="FootnoteReference"/>
          <w:lang w:val="fr-CA"/>
        </w:rPr>
        <w:footnoteRef/>
      </w:r>
      <w:r w:rsidRPr="007664EF">
        <w:rPr>
          <w:lang w:val="fr-CA"/>
        </w:rPr>
        <w:t xml:space="preserve"> Ibid, p. 46, l. 10 </w:t>
      </w:r>
      <w:r>
        <w:rPr>
          <w:lang w:val="fr-CA"/>
        </w:rPr>
        <w:t>à</w:t>
      </w:r>
      <w:r w:rsidRPr="007664EF">
        <w:rPr>
          <w:lang w:val="fr-CA"/>
        </w:rPr>
        <w:t xml:space="preserve"> p. 47, l. 4</w:t>
      </w:r>
    </w:p>
  </w:footnote>
  <w:footnote w:id="85">
    <w:p w14:paraId="4F64AA0E" w14:textId="2C27C1A0" w:rsidR="00B95D74" w:rsidRPr="007664EF" w:rsidRDefault="00B95D74" w:rsidP="00514BCD">
      <w:pPr>
        <w:pStyle w:val="FootnoteText"/>
        <w:rPr>
          <w:lang w:val="fr-CA"/>
        </w:rPr>
      </w:pPr>
      <w:r w:rsidRPr="007664EF">
        <w:rPr>
          <w:rStyle w:val="FootnoteReference"/>
          <w:lang w:val="fr-CA"/>
        </w:rPr>
        <w:footnoteRef/>
      </w:r>
      <w:r>
        <w:rPr>
          <w:lang w:val="fr-CA"/>
        </w:rPr>
        <w:t xml:space="preserve"> Transcription du 17 septembre </w:t>
      </w:r>
      <w:r w:rsidRPr="007664EF">
        <w:rPr>
          <w:lang w:val="fr-CA"/>
        </w:rPr>
        <w:t>2019</w:t>
      </w:r>
      <w:r>
        <w:rPr>
          <w:lang w:val="fr-CA"/>
        </w:rPr>
        <w:t xml:space="preserve">, </w:t>
      </w:r>
      <w:r w:rsidRPr="007664EF">
        <w:rPr>
          <w:lang w:val="fr-CA"/>
        </w:rPr>
        <w:t xml:space="preserve">p. 200, l. 2 </w:t>
      </w:r>
      <w:r>
        <w:rPr>
          <w:lang w:val="fr-CA"/>
        </w:rPr>
        <w:t>à</w:t>
      </w:r>
      <w:r w:rsidRPr="007664EF">
        <w:rPr>
          <w:lang w:val="fr-CA"/>
        </w:rPr>
        <w:t xml:space="preserve"> p. 201, l. 3, </w:t>
      </w:r>
      <w:r>
        <w:rPr>
          <w:lang w:val="fr-CA"/>
        </w:rPr>
        <w:t xml:space="preserve">et transcription du 18 septembre </w:t>
      </w:r>
      <w:r w:rsidRPr="007664EF">
        <w:rPr>
          <w:lang w:val="fr-CA"/>
        </w:rPr>
        <w:t xml:space="preserve">2019, </w:t>
      </w:r>
      <w:r>
        <w:rPr>
          <w:lang w:val="fr-CA"/>
        </w:rPr>
        <w:t>p</w:t>
      </w:r>
      <w:r w:rsidRPr="007664EF">
        <w:rPr>
          <w:lang w:val="fr-CA"/>
        </w:rPr>
        <w:t xml:space="preserve">. 83, l 9 </w:t>
      </w:r>
      <w:r>
        <w:rPr>
          <w:lang w:val="fr-CA"/>
        </w:rPr>
        <w:t>à</w:t>
      </w:r>
      <w:r w:rsidRPr="007664EF">
        <w:rPr>
          <w:lang w:val="fr-CA"/>
        </w:rPr>
        <w:t xml:space="preserve"> p. 84, l. 11 </w:t>
      </w:r>
    </w:p>
  </w:footnote>
  <w:footnote w:id="86">
    <w:p w14:paraId="3698EBC7" w14:textId="14921838" w:rsidR="00B95D74" w:rsidRPr="007664EF" w:rsidRDefault="00B95D74" w:rsidP="005C2288">
      <w:pPr>
        <w:pStyle w:val="FootnoteText"/>
        <w:rPr>
          <w:lang w:val="fr-CA"/>
        </w:rPr>
      </w:pPr>
      <w:r w:rsidRPr="007664EF">
        <w:rPr>
          <w:rStyle w:val="FootnoteReference"/>
          <w:lang w:val="fr-CA"/>
        </w:rPr>
        <w:footnoteRef/>
      </w:r>
      <w:r w:rsidRPr="007664EF">
        <w:rPr>
          <w:lang w:val="fr-CA"/>
        </w:rPr>
        <w:t xml:space="preserve"> Ibid, p. 181 l. 5 </w:t>
      </w:r>
      <w:r>
        <w:rPr>
          <w:lang w:val="fr-CA"/>
        </w:rPr>
        <w:t>à</w:t>
      </w:r>
      <w:r w:rsidRPr="007664EF">
        <w:rPr>
          <w:lang w:val="fr-CA"/>
        </w:rPr>
        <w:t xml:space="preserve"> p. 182, l. 4  </w:t>
      </w:r>
    </w:p>
  </w:footnote>
  <w:footnote w:id="87">
    <w:p w14:paraId="3E7E88B5" w14:textId="3C6D6DCA" w:rsidR="00B95D74" w:rsidRPr="007664EF" w:rsidRDefault="00B95D74" w:rsidP="00A556EE">
      <w:pPr>
        <w:pStyle w:val="FootnoteText"/>
        <w:rPr>
          <w:lang w:val="fr-CA"/>
        </w:rPr>
      </w:pPr>
      <w:r w:rsidRPr="007664EF">
        <w:rPr>
          <w:rStyle w:val="FootnoteReference"/>
          <w:lang w:val="fr-CA"/>
        </w:rPr>
        <w:footnoteRef/>
      </w:r>
      <w:r w:rsidRPr="007664EF">
        <w:rPr>
          <w:lang w:val="fr-CA"/>
        </w:rPr>
        <w:t xml:space="preserve"> </w:t>
      </w:r>
      <w:r>
        <w:rPr>
          <w:lang w:val="fr-CA"/>
        </w:rPr>
        <w:t>Pièce</w:t>
      </w:r>
      <w:r w:rsidRPr="007664EF">
        <w:rPr>
          <w:lang w:val="fr-CA"/>
        </w:rPr>
        <w:t xml:space="preserve"> 8</w:t>
      </w:r>
      <w:r>
        <w:rPr>
          <w:lang w:val="fr-CA"/>
        </w:rPr>
        <w:t xml:space="preserve"> </w:t>
      </w:r>
      <w:r w:rsidRPr="007664EF">
        <w:rPr>
          <w:lang w:val="fr-CA"/>
        </w:rPr>
        <w:t xml:space="preserve">: Affidavit </w:t>
      </w:r>
      <w:r>
        <w:rPr>
          <w:lang w:val="fr-CA"/>
        </w:rPr>
        <w:t>de</w:t>
      </w:r>
      <w:r w:rsidRPr="007664EF">
        <w:rPr>
          <w:lang w:val="fr-CA"/>
        </w:rPr>
        <w:t xml:space="preserve"> Julie Lauzon</w:t>
      </w:r>
    </w:p>
  </w:footnote>
  <w:footnote w:id="88">
    <w:p w14:paraId="174F4D11" w14:textId="252D366F" w:rsidR="00B95D74" w:rsidRPr="007664EF" w:rsidRDefault="00B95D74" w:rsidP="00A556EE">
      <w:pPr>
        <w:pStyle w:val="FootnoteText"/>
        <w:rPr>
          <w:lang w:val="fr-CA"/>
        </w:rPr>
      </w:pPr>
      <w:r w:rsidRPr="007664EF">
        <w:rPr>
          <w:rStyle w:val="FootnoteReference"/>
          <w:lang w:val="fr-CA"/>
        </w:rPr>
        <w:footnoteRef/>
      </w:r>
      <w:r w:rsidRPr="007664EF">
        <w:rPr>
          <w:lang w:val="fr-CA"/>
        </w:rPr>
        <w:t xml:space="preserve"> Ibid, p. 201, l. 16 </w:t>
      </w:r>
      <w:r>
        <w:rPr>
          <w:lang w:val="fr-CA"/>
        </w:rPr>
        <w:t>à</w:t>
      </w:r>
      <w:r w:rsidRPr="007664EF">
        <w:rPr>
          <w:lang w:val="fr-CA"/>
        </w:rPr>
        <w:t xml:space="preserve"> p. 202, l. 6</w:t>
      </w:r>
    </w:p>
  </w:footnote>
  <w:footnote w:id="89">
    <w:p w14:paraId="584C3953" w14:textId="6EB9AA5C" w:rsidR="00B95D74" w:rsidRPr="007664EF" w:rsidRDefault="00B95D74" w:rsidP="00A556EE">
      <w:pPr>
        <w:pStyle w:val="FootnoteText"/>
        <w:rPr>
          <w:lang w:val="fr-CA"/>
        </w:rPr>
      </w:pPr>
      <w:r w:rsidRPr="007664EF">
        <w:rPr>
          <w:rStyle w:val="FootnoteReference"/>
          <w:lang w:val="fr-CA"/>
        </w:rPr>
        <w:footnoteRef/>
      </w:r>
      <w:r w:rsidRPr="007664EF">
        <w:rPr>
          <w:lang w:val="fr-CA"/>
        </w:rPr>
        <w:t xml:space="preserve"> Ibid, p. 204, l. 20 </w:t>
      </w:r>
      <w:r>
        <w:rPr>
          <w:lang w:val="fr-CA"/>
        </w:rPr>
        <w:t>à</w:t>
      </w:r>
      <w:r w:rsidRPr="007664EF">
        <w:rPr>
          <w:lang w:val="fr-CA"/>
        </w:rPr>
        <w:t xml:space="preserve"> p. 205, l. 18</w:t>
      </w:r>
    </w:p>
  </w:footnote>
  <w:footnote w:id="90">
    <w:p w14:paraId="7F400F2C" w14:textId="77777777" w:rsidR="00B95D74" w:rsidRPr="007664EF" w:rsidRDefault="00B95D74" w:rsidP="00A556EE">
      <w:pPr>
        <w:pStyle w:val="FootnoteText"/>
        <w:rPr>
          <w:lang w:val="fr-CA"/>
        </w:rPr>
      </w:pPr>
      <w:r w:rsidRPr="007664EF">
        <w:rPr>
          <w:rStyle w:val="FootnoteReference"/>
          <w:lang w:val="fr-CA"/>
        </w:rPr>
        <w:footnoteRef/>
      </w:r>
      <w:r w:rsidRPr="007664EF">
        <w:rPr>
          <w:lang w:val="fr-CA"/>
        </w:rPr>
        <w:t xml:space="preserve"> Ibid, p. 210, l. 2-21</w:t>
      </w:r>
    </w:p>
  </w:footnote>
  <w:footnote w:id="91">
    <w:p w14:paraId="57930C03" w14:textId="10AB1D26" w:rsidR="00B95D74" w:rsidRPr="007664EF" w:rsidRDefault="00B95D74" w:rsidP="00A556EE">
      <w:pPr>
        <w:pStyle w:val="FootnoteText"/>
        <w:rPr>
          <w:lang w:val="fr-CA"/>
        </w:rPr>
      </w:pPr>
      <w:r w:rsidRPr="007664EF">
        <w:rPr>
          <w:rStyle w:val="FootnoteReference"/>
          <w:lang w:val="fr-CA"/>
        </w:rPr>
        <w:footnoteRef/>
      </w:r>
      <w:r w:rsidRPr="007664EF">
        <w:rPr>
          <w:lang w:val="fr-CA"/>
        </w:rPr>
        <w:t xml:space="preserve"> Ibid, p. 70, l. 11, </w:t>
      </w:r>
      <w:r>
        <w:rPr>
          <w:lang w:val="fr-CA"/>
        </w:rPr>
        <w:t>à</w:t>
      </w:r>
      <w:r w:rsidRPr="007664EF">
        <w:rPr>
          <w:lang w:val="fr-CA"/>
        </w:rPr>
        <w:t xml:space="preserve"> 71, l. 15; p. 222, l. 16 </w:t>
      </w:r>
      <w:r>
        <w:rPr>
          <w:lang w:val="fr-CA"/>
        </w:rPr>
        <w:t>à</w:t>
      </w:r>
      <w:r w:rsidRPr="007664EF">
        <w:rPr>
          <w:lang w:val="fr-CA"/>
        </w:rPr>
        <w:t xml:space="preserve"> p.  223, l. 22; p. 225, l. 10-19</w:t>
      </w:r>
    </w:p>
  </w:footnote>
  <w:footnote w:id="92">
    <w:p w14:paraId="64A4EE08" w14:textId="6B227D48" w:rsidR="00B95D74" w:rsidRPr="007664EF" w:rsidRDefault="00B95D74" w:rsidP="007A18CE">
      <w:pPr>
        <w:pStyle w:val="FootnoteText"/>
        <w:rPr>
          <w:lang w:val="fr-CA"/>
        </w:rPr>
      </w:pPr>
      <w:r w:rsidRPr="007664EF">
        <w:rPr>
          <w:rStyle w:val="FootnoteReference"/>
          <w:lang w:val="fr-CA"/>
        </w:rPr>
        <w:footnoteRef/>
      </w:r>
      <w:r w:rsidRPr="007664EF">
        <w:rPr>
          <w:lang w:val="fr-CA"/>
        </w:rPr>
        <w:t xml:space="preserve"> Transcript</w:t>
      </w:r>
      <w:r>
        <w:rPr>
          <w:lang w:val="fr-CA"/>
        </w:rPr>
        <w:t xml:space="preserve">ion du 17 septembre </w:t>
      </w:r>
      <w:r w:rsidRPr="007664EF">
        <w:rPr>
          <w:lang w:val="fr-CA"/>
        </w:rPr>
        <w:t xml:space="preserve">2019, p. 174, l. 11 </w:t>
      </w:r>
      <w:r>
        <w:rPr>
          <w:lang w:val="fr-CA"/>
        </w:rPr>
        <w:t>à p.</w:t>
      </w:r>
      <w:r w:rsidRPr="007664EF">
        <w:rPr>
          <w:lang w:val="fr-CA"/>
        </w:rPr>
        <w:t xml:space="preserve"> 178, l. 13</w:t>
      </w:r>
    </w:p>
  </w:footnote>
  <w:footnote w:id="93">
    <w:p w14:paraId="370C57C4" w14:textId="4621FFA8" w:rsidR="00B95D74" w:rsidRPr="007664EF" w:rsidRDefault="00B95D74" w:rsidP="005C2288">
      <w:pPr>
        <w:pStyle w:val="FootnoteText"/>
        <w:rPr>
          <w:lang w:val="fr-CA"/>
        </w:rPr>
      </w:pPr>
      <w:r w:rsidRPr="007664EF">
        <w:rPr>
          <w:rStyle w:val="FootnoteReference"/>
          <w:lang w:val="fr-CA"/>
        </w:rPr>
        <w:footnoteRef/>
      </w:r>
      <w:r w:rsidRPr="007664EF">
        <w:rPr>
          <w:lang w:val="fr-CA"/>
        </w:rPr>
        <w:t xml:space="preserve"> Ibid</w:t>
      </w:r>
      <w:r>
        <w:rPr>
          <w:lang w:val="fr-CA"/>
        </w:rPr>
        <w:t xml:space="preserve">, </w:t>
      </w:r>
      <w:r w:rsidRPr="007664EF">
        <w:rPr>
          <w:lang w:val="fr-CA"/>
        </w:rPr>
        <w:t>p. 28, ll. 11-14</w:t>
      </w:r>
    </w:p>
  </w:footnote>
  <w:footnote w:id="94">
    <w:p w14:paraId="4FF891FE" w14:textId="7968D78C" w:rsidR="00B95D74" w:rsidRPr="007664EF" w:rsidRDefault="00B95D74" w:rsidP="00F67F03">
      <w:pPr>
        <w:pStyle w:val="FootnoteText"/>
        <w:rPr>
          <w:lang w:val="fr-CA"/>
        </w:rPr>
      </w:pPr>
      <w:r w:rsidRPr="007664EF">
        <w:rPr>
          <w:rStyle w:val="FootnoteReference"/>
          <w:lang w:val="fr-CA"/>
        </w:rPr>
        <w:footnoteRef/>
      </w:r>
      <w:r w:rsidRPr="007664EF">
        <w:rPr>
          <w:lang w:val="fr-CA"/>
        </w:rPr>
        <w:t xml:space="preserve"> Ibid, p. 43, ll. 5-22</w:t>
      </w:r>
    </w:p>
  </w:footnote>
  <w:footnote w:id="95">
    <w:p w14:paraId="4CAB362A" w14:textId="631AF974" w:rsidR="00B95D74" w:rsidRPr="007664EF" w:rsidRDefault="00B95D74">
      <w:pPr>
        <w:pStyle w:val="FootnoteText"/>
        <w:rPr>
          <w:lang w:val="fr-CA"/>
        </w:rPr>
      </w:pPr>
      <w:r w:rsidRPr="007664EF">
        <w:rPr>
          <w:rStyle w:val="FootnoteReference"/>
          <w:lang w:val="fr-CA"/>
        </w:rPr>
        <w:footnoteRef/>
      </w:r>
      <w:r w:rsidRPr="007664EF">
        <w:rPr>
          <w:lang w:val="fr-CA"/>
        </w:rPr>
        <w:t xml:space="preserve"> </w:t>
      </w:r>
      <w:r>
        <w:rPr>
          <w:lang w:val="fr-CA"/>
        </w:rPr>
        <w:t>Pièce</w:t>
      </w:r>
      <w:r w:rsidRPr="007664EF">
        <w:rPr>
          <w:lang w:val="fr-CA"/>
        </w:rPr>
        <w:t xml:space="preserve"> 3 – </w:t>
      </w:r>
      <w:r>
        <w:rPr>
          <w:lang w:val="fr-CA"/>
        </w:rPr>
        <w:t>Cahier conjoint de documents</w:t>
      </w:r>
      <w:r w:rsidRPr="007664EF">
        <w:rPr>
          <w:lang w:val="fr-CA"/>
        </w:rPr>
        <w:t>,</w:t>
      </w:r>
      <w:r>
        <w:rPr>
          <w:lang w:val="fr-CA"/>
        </w:rPr>
        <w:t xml:space="preserve"> onglet</w:t>
      </w:r>
      <w:r w:rsidRPr="007664EF">
        <w:rPr>
          <w:lang w:val="fr-CA"/>
        </w:rPr>
        <w:t xml:space="preserve"> 3,</w:t>
      </w:r>
      <w:r>
        <w:rPr>
          <w:lang w:val="fr-CA"/>
        </w:rPr>
        <w:t xml:space="preserve"> Article en ligne du </w:t>
      </w:r>
      <w:r w:rsidRPr="00B776E4">
        <w:rPr>
          <w:i/>
          <w:lang w:val="fr-CA"/>
        </w:rPr>
        <w:t>National Post</w:t>
      </w:r>
      <w:r w:rsidRPr="007664EF">
        <w:rPr>
          <w:lang w:val="fr-CA"/>
        </w:rPr>
        <w:t xml:space="preserve"> </w:t>
      </w:r>
      <w:r>
        <w:rPr>
          <w:lang w:val="fr-CA"/>
        </w:rPr>
        <w:t>« </w:t>
      </w:r>
      <w:r w:rsidRPr="007664EF">
        <w:rPr>
          <w:lang w:val="fr-CA"/>
        </w:rPr>
        <w:t>When ba</w:t>
      </w:r>
      <w:r>
        <w:rPr>
          <w:lang w:val="fr-CA"/>
        </w:rPr>
        <w:t>il courts don’t’ follow the law »</w:t>
      </w:r>
      <w:r w:rsidRPr="007664EF">
        <w:rPr>
          <w:lang w:val="fr-CA"/>
        </w:rPr>
        <w:t xml:space="preserve"> </w:t>
      </w:r>
    </w:p>
  </w:footnote>
  <w:footnote w:id="96">
    <w:p w14:paraId="327BD4A6" w14:textId="290F446E" w:rsidR="00B95D74" w:rsidRPr="007664EF" w:rsidRDefault="00B95D74">
      <w:pPr>
        <w:pStyle w:val="FootnoteText"/>
        <w:rPr>
          <w:lang w:val="fr-CA"/>
        </w:rPr>
      </w:pPr>
      <w:r w:rsidRPr="007664EF">
        <w:rPr>
          <w:rStyle w:val="FootnoteReference"/>
          <w:lang w:val="fr-CA"/>
        </w:rPr>
        <w:footnoteRef/>
      </w:r>
      <w:r w:rsidRPr="007664EF">
        <w:rPr>
          <w:lang w:val="fr-CA"/>
        </w:rPr>
        <w:t xml:space="preserve"> </w:t>
      </w:r>
      <w:r>
        <w:rPr>
          <w:lang w:val="fr-CA"/>
        </w:rPr>
        <w:t>Au</w:t>
      </w:r>
      <w:r w:rsidRPr="007664EF">
        <w:rPr>
          <w:lang w:val="fr-CA"/>
        </w:rPr>
        <w:t xml:space="preserve"> para. 70 </w:t>
      </w:r>
      <w:r>
        <w:rPr>
          <w:lang w:val="fr-CA"/>
        </w:rPr>
        <w:t>ci-dessus</w:t>
      </w:r>
      <w:r w:rsidRPr="007664EF">
        <w:rPr>
          <w:lang w:val="fr-CA"/>
        </w:rPr>
        <w:t xml:space="preserve"> </w:t>
      </w:r>
    </w:p>
  </w:footnote>
  <w:footnote w:id="97">
    <w:p w14:paraId="71B517CB" w14:textId="39654CAE" w:rsidR="00B95D74" w:rsidRPr="007664EF" w:rsidRDefault="00B95D74" w:rsidP="00580F7E">
      <w:pPr>
        <w:pStyle w:val="FootnoteText"/>
        <w:rPr>
          <w:lang w:val="fr-CA"/>
        </w:rPr>
      </w:pPr>
      <w:r w:rsidRPr="007664EF">
        <w:rPr>
          <w:rStyle w:val="FootnoteReference"/>
          <w:lang w:val="fr-CA"/>
        </w:rPr>
        <w:footnoteRef/>
      </w:r>
      <w:r w:rsidRPr="007664EF">
        <w:rPr>
          <w:lang w:val="fr-CA"/>
        </w:rPr>
        <w:t xml:space="preserve"> </w:t>
      </w:r>
      <w:r>
        <w:rPr>
          <w:lang w:val="fr-CA"/>
        </w:rPr>
        <w:t>Pièce</w:t>
      </w:r>
      <w:r w:rsidRPr="007664EF">
        <w:rPr>
          <w:lang w:val="fr-CA"/>
        </w:rPr>
        <w:t xml:space="preserve"> 12, </w:t>
      </w:r>
      <w:r>
        <w:rPr>
          <w:lang w:val="fr-CA"/>
        </w:rPr>
        <w:t>article de l’</w:t>
      </w:r>
      <w:r w:rsidRPr="006D7554">
        <w:rPr>
          <w:i/>
          <w:lang w:val="fr-CA"/>
        </w:rPr>
        <w:t>Ottawa Sun</w:t>
      </w:r>
    </w:p>
  </w:footnote>
  <w:footnote w:id="98">
    <w:p w14:paraId="4B5EBFFB" w14:textId="1DE51BD1" w:rsidR="00B95D74" w:rsidRPr="007664EF" w:rsidRDefault="00B95D74" w:rsidP="00580F7E">
      <w:pPr>
        <w:pStyle w:val="FootnoteText"/>
        <w:rPr>
          <w:lang w:val="fr-CA"/>
        </w:rPr>
      </w:pPr>
      <w:r w:rsidRPr="007664EF">
        <w:rPr>
          <w:rStyle w:val="FootnoteReference"/>
          <w:lang w:val="fr-CA"/>
        </w:rPr>
        <w:footnoteRef/>
      </w:r>
      <w:r w:rsidRPr="007664EF">
        <w:rPr>
          <w:lang w:val="fr-CA"/>
        </w:rPr>
        <w:t xml:space="preserve"> Transcript</w:t>
      </w:r>
      <w:r>
        <w:rPr>
          <w:lang w:val="fr-CA"/>
        </w:rPr>
        <w:t xml:space="preserve">ion du 18 septembre </w:t>
      </w:r>
      <w:r w:rsidRPr="007664EF">
        <w:rPr>
          <w:lang w:val="fr-CA"/>
        </w:rPr>
        <w:t>2019, p. 123</w:t>
      </w:r>
    </w:p>
  </w:footnote>
  <w:footnote w:id="99">
    <w:p w14:paraId="0CF7D621" w14:textId="02A98856" w:rsidR="00B95D74" w:rsidRPr="007664EF" w:rsidRDefault="00B95D74" w:rsidP="00580F7E">
      <w:pPr>
        <w:pStyle w:val="FootnoteText"/>
        <w:rPr>
          <w:lang w:val="fr-CA"/>
        </w:rPr>
      </w:pPr>
      <w:r w:rsidRPr="007664EF">
        <w:rPr>
          <w:rStyle w:val="FootnoteReference"/>
          <w:lang w:val="fr-CA"/>
        </w:rPr>
        <w:footnoteRef/>
      </w:r>
      <w:r w:rsidRPr="007664EF">
        <w:rPr>
          <w:lang w:val="fr-CA"/>
        </w:rPr>
        <w:t xml:space="preserve"> </w:t>
      </w:r>
      <w:r>
        <w:rPr>
          <w:lang w:val="fr-CA"/>
        </w:rPr>
        <w:t>Pièce</w:t>
      </w:r>
      <w:r w:rsidRPr="007664EF">
        <w:rPr>
          <w:lang w:val="fr-CA"/>
        </w:rPr>
        <w:t xml:space="preserve"> 13, </w:t>
      </w:r>
      <w:r>
        <w:rPr>
          <w:lang w:val="fr-CA"/>
        </w:rPr>
        <w:t xml:space="preserve">article de </w:t>
      </w:r>
      <w:r w:rsidRPr="006D7554">
        <w:rPr>
          <w:lang w:val="fr-CA"/>
        </w:rPr>
        <w:t>l’</w:t>
      </w:r>
      <w:r w:rsidRPr="006D7554">
        <w:rPr>
          <w:i/>
          <w:lang w:val="fr-CA"/>
        </w:rPr>
        <w:t>Ottawa Citizen</w:t>
      </w:r>
      <w:r w:rsidRPr="007664EF">
        <w:rPr>
          <w:lang w:val="fr-CA"/>
        </w:rPr>
        <w:t xml:space="preserve"> </w:t>
      </w:r>
    </w:p>
  </w:footnote>
  <w:footnote w:id="100">
    <w:p w14:paraId="0070B0B7" w14:textId="5E813542" w:rsidR="00B95D74" w:rsidRPr="007664EF" w:rsidRDefault="00B95D74">
      <w:pPr>
        <w:pStyle w:val="FootnoteText"/>
        <w:rPr>
          <w:lang w:val="fr-CA"/>
        </w:rPr>
      </w:pPr>
      <w:r w:rsidRPr="007664EF">
        <w:rPr>
          <w:rStyle w:val="FootnoteReference"/>
          <w:lang w:val="fr-CA"/>
        </w:rPr>
        <w:footnoteRef/>
      </w:r>
      <w:r w:rsidRPr="007664EF">
        <w:rPr>
          <w:lang w:val="fr-CA"/>
        </w:rPr>
        <w:t xml:space="preserve"> Transcript</w:t>
      </w:r>
      <w:r>
        <w:rPr>
          <w:lang w:val="fr-CA"/>
        </w:rPr>
        <w:t xml:space="preserve">ion du 18 septembre </w:t>
      </w:r>
      <w:r w:rsidRPr="007664EF">
        <w:rPr>
          <w:lang w:val="fr-CA"/>
        </w:rPr>
        <w:t>2019</w:t>
      </w:r>
      <w:r>
        <w:rPr>
          <w:lang w:val="fr-CA"/>
        </w:rPr>
        <w:t xml:space="preserve">, </w:t>
      </w:r>
      <w:r w:rsidRPr="007664EF">
        <w:rPr>
          <w:lang w:val="fr-CA"/>
        </w:rPr>
        <w:t xml:space="preserve">p. 130, l. 12 </w:t>
      </w:r>
      <w:r>
        <w:rPr>
          <w:lang w:val="fr-CA"/>
        </w:rPr>
        <w:t>à</w:t>
      </w:r>
      <w:r w:rsidRPr="007664EF">
        <w:rPr>
          <w:lang w:val="fr-CA"/>
        </w:rPr>
        <w:t xml:space="preserve"> p. 131, l. 5</w:t>
      </w:r>
    </w:p>
  </w:footnote>
  <w:footnote w:id="101">
    <w:p w14:paraId="401E72B6" w14:textId="2C94AB6D" w:rsidR="00B95D74" w:rsidRPr="007664EF" w:rsidRDefault="00B95D74" w:rsidP="00580F7E">
      <w:pPr>
        <w:pStyle w:val="FootnoteText"/>
        <w:rPr>
          <w:lang w:val="fr-CA"/>
        </w:rPr>
      </w:pPr>
      <w:r w:rsidRPr="007664EF">
        <w:rPr>
          <w:rStyle w:val="FootnoteReference"/>
          <w:lang w:val="fr-CA"/>
        </w:rPr>
        <w:footnoteRef/>
      </w:r>
      <w:r w:rsidRPr="007664EF">
        <w:rPr>
          <w:lang w:val="fr-CA"/>
        </w:rPr>
        <w:t xml:space="preserve"> Transcript</w:t>
      </w:r>
      <w:r>
        <w:rPr>
          <w:lang w:val="fr-CA"/>
        </w:rPr>
        <w:t xml:space="preserve">ion du témoignage de </w:t>
      </w:r>
      <w:r w:rsidRPr="007664EF">
        <w:rPr>
          <w:lang w:val="fr-CA"/>
        </w:rPr>
        <w:t>Kate Matthews</w:t>
      </w:r>
      <w:r>
        <w:rPr>
          <w:lang w:val="fr-CA"/>
        </w:rPr>
        <w:t xml:space="preserve"> déposé le 9 octobre </w:t>
      </w:r>
      <w:r w:rsidRPr="007664EF">
        <w:rPr>
          <w:lang w:val="fr-CA"/>
        </w:rPr>
        <w:t xml:space="preserve">2019, p. 39, ll. 15-21 </w:t>
      </w:r>
      <w:r>
        <w:rPr>
          <w:lang w:val="fr-CA"/>
        </w:rPr>
        <w:t>et</w:t>
      </w:r>
      <w:r w:rsidRPr="007664EF">
        <w:rPr>
          <w:lang w:val="fr-CA"/>
        </w:rPr>
        <w:t xml:space="preserve"> p. 40, ll. 19-22</w:t>
      </w:r>
    </w:p>
  </w:footnote>
  <w:footnote w:id="102">
    <w:p w14:paraId="6B238396" w14:textId="67FD2F5D" w:rsidR="00B95D74" w:rsidRPr="007664EF" w:rsidRDefault="00B95D74" w:rsidP="00580F7E">
      <w:pPr>
        <w:pStyle w:val="FootnoteText"/>
        <w:rPr>
          <w:lang w:val="fr-CA"/>
        </w:rPr>
      </w:pPr>
      <w:r w:rsidRPr="007664EF">
        <w:rPr>
          <w:rStyle w:val="FootnoteReference"/>
          <w:lang w:val="fr-CA"/>
        </w:rPr>
        <w:footnoteRef/>
      </w:r>
      <w:r w:rsidRPr="007664EF">
        <w:rPr>
          <w:lang w:val="fr-CA"/>
        </w:rPr>
        <w:t xml:space="preserve"> Ibid, p. 39, l. 22 </w:t>
      </w:r>
      <w:r>
        <w:rPr>
          <w:lang w:val="fr-CA"/>
        </w:rPr>
        <w:t>à</w:t>
      </w:r>
      <w:r w:rsidRPr="007664EF">
        <w:rPr>
          <w:lang w:val="fr-CA"/>
        </w:rPr>
        <w:t xml:space="preserve"> p. 40, l. 2</w:t>
      </w:r>
    </w:p>
  </w:footnote>
  <w:footnote w:id="103">
    <w:p w14:paraId="4C7BF8AB" w14:textId="302CB3C1" w:rsidR="00B95D74" w:rsidRPr="007664EF" w:rsidRDefault="00B95D74" w:rsidP="00580F7E">
      <w:pPr>
        <w:pStyle w:val="FootnoteText"/>
        <w:rPr>
          <w:lang w:val="fr-CA"/>
        </w:rPr>
      </w:pPr>
      <w:r w:rsidRPr="007664EF">
        <w:rPr>
          <w:rStyle w:val="FootnoteReference"/>
          <w:lang w:val="fr-CA"/>
        </w:rPr>
        <w:footnoteRef/>
      </w:r>
      <w:r w:rsidRPr="007664EF">
        <w:rPr>
          <w:lang w:val="fr-CA"/>
        </w:rPr>
        <w:t xml:space="preserve"> Ibid, p. 40, l. 23 </w:t>
      </w:r>
      <w:r>
        <w:rPr>
          <w:lang w:val="fr-CA"/>
        </w:rPr>
        <w:t>à</w:t>
      </w:r>
      <w:r w:rsidRPr="007664EF">
        <w:rPr>
          <w:lang w:val="fr-CA"/>
        </w:rPr>
        <w:t xml:space="preserve"> p. 41, l. 9; </w:t>
      </w:r>
      <w:r>
        <w:rPr>
          <w:lang w:val="fr-CA"/>
        </w:rPr>
        <w:t xml:space="preserve">témoignage de la juge de paix </w:t>
      </w:r>
      <w:r w:rsidRPr="007664EF">
        <w:rPr>
          <w:lang w:val="fr-CA"/>
        </w:rPr>
        <w:t xml:space="preserve">J. Lauzon, </w:t>
      </w:r>
      <w:r>
        <w:rPr>
          <w:lang w:val="fr-CA"/>
        </w:rPr>
        <w:t xml:space="preserve">transcription du 17 septembre </w:t>
      </w:r>
      <w:r w:rsidRPr="007664EF">
        <w:rPr>
          <w:lang w:val="fr-CA"/>
        </w:rPr>
        <w:t>2019</w:t>
      </w:r>
      <w:r>
        <w:rPr>
          <w:lang w:val="fr-CA"/>
        </w:rPr>
        <w:t>,</w:t>
      </w:r>
      <w:r w:rsidRPr="007664EF">
        <w:rPr>
          <w:lang w:val="fr-CA"/>
        </w:rPr>
        <w:t xml:space="preserve"> p. 99, l. 6 </w:t>
      </w:r>
      <w:r>
        <w:rPr>
          <w:lang w:val="fr-CA"/>
        </w:rPr>
        <w:t>à</w:t>
      </w:r>
      <w:r w:rsidRPr="007664EF">
        <w:rPr>
          <w:lang w:val="fr-CA"/>
        </w:rPr>
        <w:t xml:space="preserve"> p. 100, l. 14</w:t>
      </w:r>
    </w:p>
  </w:footnote>
  <w:footnote w:id="104">
    <w:p w14:paraId="4AFF969B" w14:textId="77777777" w:rsidR="00B95D74" w:rsidRPr="007664EF" w:rsidRDefault="00B95D74" w:rsidP="00580F7E">
      <w:pPr>
        <w:pStyle w:val="FootnoteText"/>
        <w:rPr>
          <w:lang w:val="fr-CA"/>
        </w:rPr>
      </w:pPr>
      <w:r w:rsidRPr="007664EF">
        <w:rPr>
          <w:rStyle w:val="FootnoteReference"/>
          <w:lang w:val="fr-CA"/>
        </w:rPr>
        <w:footnoteRef/>
      </w:r>
      <w:r w:rsidRPr="007664EF">
        <w:rPr>
          <w:lang w:val="fr-CA"/>
        </w:rPr>
        <w:t xml:space="preserve"> Ibid, p. 42, ll. 3-15</w:t>
      </w:r>
    </w:p>
  </w:footnote>
  <w:footnote w:id="105">
    <w:p w14:paraId="4A419405" w14:textId="189C0064" w:rsidR="00B95D74" w:rsidRPr="007664EF" w:rsidRDefault="00B95D74" w:rsidP="00580F7E">
      <w:pPr>
        <w:pStyle w:val="FootnoteText"/>
        <w:rPr>
          <w:lang w:val="fr-CA"/>
        </w:rPr>
      </w:pPr>
      <w:r w:rsidRPr="007664EF">
        <w:rPr>
          <w:rStyle w:val="FootnoteReference"/>
          <w:lang w:val="fr-CA"/>
        </w:rPr>
        <w:footnoteRef/>
      </w:r>
      <w:r w:rsidRPr="007664EF">
        <w:rPr>
          <w:lang w:val="fr-CA"/>
        </w:rPr>
        <w:t xml:space="preserve"> Ibid, p. 45, l. 13 </w:t>
      </w:r>
      <w:r>
        <w:rPr>
          <w:lang w:val="fr-CA"/>
        </w:rPr>
        <w:t>à</w:t>
      </w:r>
      <w:r w:rsidRPr="007664EF">
        <w:rPr>
          <w:lang w:val="fr-CA"/>
        </w:rPr>
        <w:t xml:space="preserve"> p. 46, l. 8</w:t>
      </w:r>
    </w:p>
  </w:footnote>
  <w:footnote w:id="106">
    <w:p w14:paraId="50D86A3E" w14:textId="1308B176" w:rsidR="00B95D74" w:rsidRPr="007664EF" w:rsidRDefault="00B95D74" w:rsidP="00580F7E">
      <w:pPr>
        <w:pStyle w:val="FootnoteText"/>
        <w:rPr>
          <w:lang w:val="fr-CA"/>
        </w:rPr>
      </w:pPr>
      <w:r w:rsidRPr="007664EF">
        <w:rPr>
          <w:rStyle w:val="FootnoteReference"/>
          <w:lang w:val="fr-CA"/>
        </w:rPr>
        <w:footnoteRef/>
      </w:r>
      <w:r w:rsidRPr="007664EF">
        <w:rPr>
          <w:lang w:val="fr-CA"/>
        </w:rPr>
        <w:t xml:space="preserve"> Ibid, p. 45, l. 2 </w:t>
      </w:r>
      <w:r>
        <w:rPr>
          <w:lang w:val="fr-CA"/>
        </w:rPr>
        <w:t>à</w:t>
      </w:r>
      <w:r w:rsidRPr="007664EF">
        <w:rPr>
          <w:lang w:val="fr-CA"/>
        </w:rPr>
        <w:t xml:space="preserve"> p. 46, ll. 15</w:t>
      </w:r>
    </w:p>
  </w:footnote>
  <w:footnote w:id="107">
    <w:p w14:paraId="1970B1FB" w14:textId="6593D918" w:rsidR="00B95D74" w:rsidRPr="007664EF" w:rsidRDefault="00B95D74" w:rsidP="00580F7E">
      <w:pPr>
        <w:pStyle w:val="FootnoteText"/>
        <w:rPr>
          <w:lang w:val="fr-CA"/>
        </w:rPr>
      </w:pPr>
      <w:r w:rsidRPr="007664EF">
        <w:rPr>
          <w:rStyle w:val="FootnoteReference"/>
          <w:lang w:val="fr-CA"/>
        </w:rPr>
        <w:footnoteRef/>
      </w:r>
      <w:r w:rsidRPr="007664EF">
        <w:rPr>
          <w:lang w:val="fr-CA"/>
        </w:rPr>
        <w:t xml:space="preserve"> Ibid, p. 46, l. 16 </w:t>
      </w:r>
      <w:r>
        <w:rPr>
          <w:lang w:val="fr-CA"/>
        </w:rPr>
        <w:t>à</w:t>
      </w:r>
      <w:r w:rsidRPr="007664EF">
        <w:rPr>
          <w:lang w:val="fr-CA"/>
        </w:rPr>
        <w:t xml:space="preserve"> p. 47, l. 6</w:t>
      </w:r>
    </w:p>
  </w:footnote>
  <w:footnote w:id="108">
    <w:p w14:paraId="13689B6A" w14:textId="30F02382" w:rsidR="00B95D74" w:rsidRPr="007664EF" w:rsidRDefault="00B95D74" w:rsidP="00580F7E">
      <w:pPr>
        <w:pStyle w:val="FootnoteText"/>
        <w:rPr>
          <w:lang w:val="fr-CA"/>
        </w:rPr>
      </w:pPr>
      <w:r w:rsidRPr="007664EF">
        <w:rPr>
          <w:rStyle w:val="FootnoteReference"/>
          <w:lang w:val="fr-CA"/>
        </w:rPr>
        <w:footnoteRef/>
      </w:r>
      <w:r w:rsidRPr="007664EF">
        <w:rPr>
          <w:lang w:val="fr-CA"/>
        </w:rPr>
        <w:t xml:space="preserve"> Ibid, </w:t>
      </w:r>
      <w:r>
        <w:rPr>
          <w:lang w:val="fr-CA"/>
        </w:rPr>
        <w:t xml:space="preserve">interrogatoire principal </w:t>
      </w:r>
      <w:r w:rsidRPr="007664EF">
        <w:rPr>
          <w:lang w:val="fr-CA"/>
        </w:rPr>
        <w:t xml:space="preserve">: p. 47, ll. 7-10; </w:t>
      </w:r>
      <w:r>
        <w:rPr>
          <w:lang w:val="fr-CA"/>
        </w:rPr>
        <w:t xml:space="preserve">contre-interrogatoire </w:t>
      </w:r>
      <w:r w:rsidRPr="007664EF">
        <w:rPr>
          <w:lang w:val="fr-CA"/>
        </w:rPr>
        <w:t xml:space="preserve">: p. 56, l. 19 </w:t>
      </w:r>
      <w:r>
        <w:rPr>
          <w:lang w:val="fr-CA"/>
        </w:rPr>
        <w:t>à</w:t>
      </w:r>
      <w:r w:rsidRPr="007664EF">
        <w:rPr>
          <w:lang w:val="fr-CA"/>
        </w:rPr>
        <w:t xml:space="preserve"> p. 57, 23</w:t>
      </w:r>
    </w:p>
  </w:footnote>
  <w:footnote w:id="109">
    <w:p w14:paraId="2F1EF1F3" w14:textId="69CCFD05" w:rsidR="00B95D74" w:rsidRPr="007664EF" w:rsidRDefault="00B95D74" w:rsidP="00580F7E">
      <w:pPr>
        <w:pStyle w:val="FootnoteText"/>
        <w:rPr>
          <w:lang w:val="fr-CA"/>
        </w:rPr>
      </w:pPr>
      <w:r w:rsidRPr="007664EF">
        <w:rPr>
          <w:rStyle w:val="FootnoteReference"/>
          <w:lang w:val="fr-CA"/>
        </w:rPr>
        <w:footnoteRef/>
      </w:r>
      <w:r w:rsidRPr="007664EF">
        <w:rPr>
          <w:lang w:val="fr-CA"/>
        </w:rPr>
        <w:t xml:space="preserve"> </w:t>
      </w:r>
      <w:r>
        <w:rPr>
          <w:lang w:val="fr-CA"/>
        </w:rPr>
        <w:t>Pièce</w:t>
      </w:r>
      <w:r w:rsidRPr="007664EF">
        <w:rPr>
          <w:lang w:val="fr-CA"/>
        </w:rPr>
        <w:t xml:space="preserve"> 15</w:t>
      </w:r>
    </w:p>
  </w:footnote>
  <w:footnote w:id="110">
    <w:p w14:paraId="5134B2D8" w14:textId="2A2AADD2" w:rsidR="00B95D74" w:rsidRPr="007664EF" w:rsidRDefault="00B95D74" w:rsidP="00580F7E">
      <w:pPr>
        <w:pStyle w:val="FootnoteText"/>
        <w:rPr>
          <w:lang w:val="fr-CA"/>
        </w:rPr>
      </w:pPr>
      <w:r w:rsidRPr="007664EF">
        <w:rPr>
          <w:rStyle w:val="FootnoteReference"/>
          <w:lang w:val="fr-CA"/>
        </w:rPr>
        <w:footnoteRef/>
      </w:r>
      <w:r w:rsidRPr="007664EF">
        <w:rPr>
          <w:lang w:val="fr-CA"/>
        </w:rPr>
        <w:t xml:space="preserve"> Ibid, p. 87, l. 20 </w:t>
      </w:r>
      <w:r>
        <w:rPr>
          <w:lang w:val="fr-CA"/>
        </w:rPr>
        <w:t>à</w:t>
      </w:r>
      <w:r w:rsidRPr="007664EF">
        <w:rPr>
          <w:lang w:val="fr-CA"/>
        </w:rPr>
        <w:t xml:space="preserve"> p. 90, l. 20; p. 92, l. 1 </w:t>
      </w:r>
      <w:r>
        <w:rPr>
          <w:lang w:val="fr-CA"/>
        </w:rPr>
        <w:t>à</w:t>
      </w:r>
      <w:r w:rsidRPr="007664EF">
        <w:rPr>
          <w:lang w:val="fr-CA"/>
        </w:rPr>
        <w:t xml:space="preserve"> p</w:t>
      </w:r>
      <w:r>
        <w:rPr>
          <w:lang w:val="fr-CA"/>
        </w:rPr>
        <w:t>.</w:t>
      </w:r>
      <w:r w:rsidRPr="007664EF">
        <w:rPr>
          <w:lang w:val="fr-CA"/>
        </w:rPr>
        <w:t xml:space="preserve"> 93, l. 1</w:t>
      </w:r>
    </w:p>
  </w:footnote>
  <w:footnote w:id="111">
    <w:p w14:paraId="6DBDF1D1" w14:textId="77777777" w:rsidR="00B95D74" w:rsidRPr="007664EF" w:rsidRDefault="00B95D74" w:rsidP="00580F7E">
      <w:pPr>
        <w:pStyle w:val="FootnoteText"/>
        <w:rPr>
          <w:lang w:val="fr-CA"/>
        </w:rPr>
      </w:pPr>
      <w:r w:rsidRPr="007664EF">
        <w:rPr>
          <w:rStyle w:val="FootnoteReference"/>
          <w:lang w:val="fr-CA"/>
        </w:rPr>
        <w:footnoteRef/>
      </w:r>
      <w:r w:rsidRPr="007664EF">
        <w:rPr>
          <w:lang w:val="fr-CA"/>
        </w:rPr>
        <w:t xml:space="preserve"> Ibid, p. 47, ll. 11-23</w:t>
      </w:r>
    </w:p>
  </w:footnote>
  <w:footnote w:id="112">
    <w:p w14:paraId="57EF8EB9" w14:textId="22BBF374" w:rsidR="00B95D74" w:rsidRPr="007664EF" w:rsidRDefault="00B95D74">
      <w:pPr>
        <w:pStyle w:val="FootnoteText"/>
        <w:rPr>
          <w:lang w:val="fr-CA"/>
        </w:rPr>
      </w:pPr>
      <w:r w:rsidRPr="007664EF">
        <w:rPr>
          <w:rStyle w:val="FootnoteReference"/>
          <w:lang w:val="fr-CA"/>
        </w:rPr>
        <w:footnoteRef/>
      </w:r>
      <w:r w:rsidRPr="007664EF">
        <w:rPr>
          <w:lang w:val="fr-CA"/>
        </w:rPr>
        <w:t xml:space="preserve"> </w:t>
      </w:r>
      <w:r>
        <w:rPr>
          <w:lang w:val="fr-CA"/>
        </w:rPr>
        <w:t>Pièce</w:t>
      </w:r>
      <w:r w:rsidRPr="007664EF">
        <w:rPr>
          <w:lang w:val="fr-CA"/>
        </w:rPr>
        <w:t xml:space="preserve"> 5, </w:t>
      </w:r>
      <w:r>
        <w:rPr>
          <w:lang w:val="fr-CA"/>
        </w:rPr>
        <w:t>Mémoire sur l’historique</w:t>
      </w:r>
      <w:r w:rsidRPr="007664EF">
        <w:rPr>
          <w:lang w:val="fr-CA"/>
        </w:rPr>
        <w:t xml:space="preserve">, </w:t>
      </w:r>
      <w:r>
        <w:rPr>
          <w:lang w:val="fr-CA"/>
        </w:rPr>
        <w:t>onglet</w:t>
      </w:r>
      <w:r w:rsidRPr="007664EF">
        <w:rPr>
          <w:lang w:val="fr-CA"/>
        </w:rPr>
        <w:t xml:space="preserve"> 6, </w:t>
      </w:r>
      <w:r>
        <w:rPr>
          <w:lang w:val="fr-CA"/>
        </w:rPr>
        <w:t xml:space="preserve">Audience de justification de </w:t>
      </w:r>
      <w:r w:rsidRPr="007664EF">
        <w:rPr>
          <w:lang w:val="fr-CA"/>
        </w:rPr>
        <w:t xml:space="preserve">Cody Boast, p. 1, l. 5 </w:t>
      </w:r>
      <w:r>
        <w:rPr>
          <w:lang w:val="fr-CA"/>
        </w:rPr>
        <w:t>à</w:t>
      </w:r>
      <w:r w:rsidRPr="007664EF">
        <w:rPr>
          <w:lang w:val="fr-CA"/>
        </w:rPr>
        <w:t xml:space="preserve"> p. 2, l.12</w:t>
      </w:r>
    </w:p>
  </w:footnote>
  <w:footnote w:id="113">
    <w:p w14:paraId="404D76CA" w14:textId="43848FE9" w:rsidR="00B95D74" w:rsidRPr="007664EF" w:rsidRDefault="00B95D74">
      <w:pPr>
        <w:pStyle w:val="FootnoteText"/>
        <w:rPr>
          <w:lang w:val="fr-CA"/>
        </w:rPr>
      </w:pPr>
      <w:r w:rsidRPr="007664EF">
        <w:rPr>
          <w:rStyle w:val="FootnoteReference"/>
          <w:lang w:val="fr-CA"/>
        </w:rPr>
        <w:footnoteRef/>
      </w:r>
      <w:r w:rsidRPr="007664EF">
        <w:rPr>
          <w:lang w:val="fr-CA"/>
        </w:rPr>
        <w:t xml:space="preserve"> Ibid, p. 2, l. 20 </w:t>
      </w:r>
      <w:r>
        <w:rPr>
          <w:lang w:val="fr-CA"/>
        </w:rPr>
        <w:t>à</w:t>
      </w:r>
      <w:r w:rsidRPr="007664EF">
        <w:rPr>
          <w:lang w:val="fr-CA"/>
        </w:rPr>
        <w:t xml:space="preserve"> p. 3, l. 7</w:t>
      </w:r>
    </w:p>
  </w:footnote>
  <w:footnote w:id="114">
    <w:p w14:paraId="42F630F5" w14:textId="26B14545" w:rsidR="00B95D74" w:rsidRPr="007664EF" w:rsidRDefault="00B95D74">
      <w:pPr>
        <w:pStyle w:val="FootnoteText"/>
        <w:rPr>
          <w:lang w:val="fr-CA"/>
        </w:rPr>
      </w:pPr>
      <w:r w:rsidRPr="007664EF">
        <w:rPr>
          <w:rStyle w:val="FootnoteReference"/>
          <w:lang w:val="fr-CA"/>
        </w:rPr>
        <w:footnoteRef/>
      </w:r>
      <w:r w:rsidRPr="007664EF">
        <w:rPr>
          <w:lang w:val="fr-CA"/>
        </w:rPr>
        <w:t xml:space="preserve"> Ibid, p. 8, l. 3 </w:t>
      </w:r>
      <w:r>
        <w:rPr>
          <w:lang w:val="fr-CA"/>
        </w:rPr>
        <w:t>à</w:t>
      </w:r>
      <w:r w:rsidRPr="007664EF">
        <w:rPr>
          <w:lang w:val="fr-CA"/>
        </w:rPr>
        <w:t xml:space="preserve"> p. 12, l. 20</w:t>
      </w:r>
    </w:p>
  </w:footnote>
  <w:footnote w:id="115">
    <w:p w14:paraId="22EDC1D3" w14:textId="1C279DA2" w:rsidR="00B95D74" w:rsidRPr="007664EF" w:rsidRDefault="00B95D74" w:rsidP="0057447E">
      <w:pPr>
        <w:pStyle w:val="FootnoteText"/>
        <w:rPr>
          <w:lang w:val="fr-CA"/>
        </w:rPr>
      </w:pPr>
      <w:r w:rsidRPr="007664EF">
        <w:rPr>
          <w:rStyle w:val="FootnoteReference"/>
          <w:lang w:val="fr-CA"/>
        </w:rPr>
        <w:footnoteRef/>
      </w:r>
      <w:r w:rsidRPr="007664EF">
        <w:rPr>
          <w:lang w:val="fr-CA"/>
        </w:rPr>
        <w:t xml:space="preserve"> Ibid, p. 5, l. 27 </w:t>
      </w:r>
      <w:r>
        <w:rPr>
          <w:lang w:val="fr-CA"/>
        </w:rPr>
        <w:t>à</w:t>
      </w:r>
      <w:r w:rsidRPr="007664EF">
        <w:rPr>
          <w:lang w:val="fr-CA"/>
        </w:rPr>
        <w:t xml:space="preserve"> p. 12, l. 15</w:t>
      </w:r>
    </w:p>
  </w:footnote>
  <w:footnote w:id="116">
    <w:p w14:paraId="76B50B48" w14:textId="2F8F6EA6" w:rsidR="00B95D74" w:rsidRPr="007664EF" w:rsidRDefault="00B95D74" w:rsidP="004903CD">
      <w:pPr>
        <w:pStyle w:val="FootnoteText"/>
        <w:rPr>
          <w:lang w:val="fr-CA"/>
        </w:rPr>
      </w:pPr>
      <w:r w:rsidRPr="007664EF">
        <w:rPr>
          <w:rStyle w:val="FootnoteReference"/>
          <w:lang w:val="fr-CA"/>
        </w:rPr>
        <w:footnoteRef/>
      </w:r>
      <w:r w:rsidRPr="007664EF">
        <w:rPr>
          <w:lang w:val="fr-CA"/>
        </w:rPr>
        <w:t xml:space="preserve"> Ibid, p. 94, ll. 10-11, </w:t>
      </w:r>
      <w:r>
        <w:rPr>
          <w:lang w:val="fr-CA"/>
        </w:rPr>
        <w:t xml:space="preserve">et transcription du 18 septembre </w:t>
      </w:r>
      <w:r w:rsidRPr="007664EF">
        <w:rPr>
          <w:lang w:val="fr-CA"/>
        </w:rPr>
        <w:t>2019</w:t>
      </w:r>
      <w:r>
        <w:rPr>
          <w:lang w:val="fr-CA"/>
        </w:rPr>
        <w:t xml:space="preserve">, </w:t>
      </w:r>
      <w:r w:rsidRPr="007664EF">
        <w:rPr>
          <w:lang w:val="fr-CA"/>
        </w:rPr>
        <w:t xml:space="preserve">p. 57, l. 8 </w:t>
      </w:r>
      <w:r>
        <w:rPr>
          <w:lang w:val="fr-CA"/>
        </w:rPr>
        <w:t>à</w:t>
      </w:r>
      <w:r w:rsidRPr="007664EF">
        <w:rPr>
          <w:lang w:val="fr-CA"/>
        </w:rPr>
        <w:t xml:space="preserve"> p. 59,  l. 6 </w:t>
      </w:r>
      <w:r>
        <w:rPr>
          <w:lang w:val="fr-CA"/>
        </w:rPr>
        <w:t>et</w:t>
      </w:r>
      <w:r w:rsidRPr="007664EF">
        <w:rPr>
          <w:lang w:val="fr-CA"/>
        </w:rPr>
        <w:t xml:space="preserve"> </w:t>
      </w:r>
      <w:r>
        <w:rPr>
          <w:lang w:val="fr-CA"/>
        </w:rPr>
        <w:t xml:space="preserve">transcription du 10 octobre </w:t>
      </w:r>
      <w:r w:rsidRPr="007664EF">
        <w:rPr>
          <w:lang w:val="fr-CA"/>
        </w:rPr>
        <w:t>2019</w:t>
      </w:r>
      <w:r>
        <w:rPr>
          <w:lang w:val="fr-CA"/>
        </w:rPr>
        <w:t xml:space="preserve">, </w:t>
      </w:r>
      <w:r w:rsidRPr="007664EF">
        <w:rPr>
          <w:lang w:val="fr-CA"/>
        </w:rPr>
        <w:t xml:space="preserve">p. 8, l. 12 </w:t>
      </w:r>
      <w:r>
        <w:rPr>
          <w:lang w:val="fr-CA"/>
        </w:rPr>
        <w:t>à</w:t>
      </w:r>
      <w:r w:rsidRPr="007664EF">
        <w:rPr>
          <w:lang w:val="fr-CA"/>
        </w:rPr>
        <w:t xml:space="preserve"> p. 9, l.10</w:t>
      </w:r>
    </w:p>
  </w:footnote>
  <w:footnote w:id="117">
    <w:p w14:paraId="1A7ECC5C" w14:textId="155B6070" w:rsidR="00B95D74" w:rsidRPr="007664EF" w:rsidRDefault="00B95D74" w:rsidP="004903CD">
      <w:pPr>
        <w:pStyle w:val="FootnoteText"/>
        <w:rPr>
          <w:lang w:val="fr-CA"/>
        </w:rPr>
      </w:pPr>
      <w:r w:rsidRPr="007664EF">
        <w:rPr>
          <w:rStyle w:val="FootnoteReference"/>
          <w:lang w:val="fr-CA"/>
        </w:rPr>
        <w:footnoteRef/>
      </w:r>
      <w:r w:rsidRPr="007664EF">
        <w:rPr>
          <w:lang w:val="fr-CA"/>
        </w:rPr>
        <w:t xml:space="preserve"> </w:t>
      </w:r>
      <w:r w:rsidRPr="007664EF">
        <w:rPr>
          <w:i/>
          <w:lang w:val="fr-CA"/>
        </w:rPr>
        <w:t>Re McLeod</w:t>
      </w:r>
      <w:r w:rsidRPr="007664EF">
        <w:rPr>
          <w:lang w:val="fr-CA"/>
        </w:rPr>
        <w:t xml:space="preserve">, </w:t>
      </w:r>
      <w:r w:rsidRPr="007664EF">
        <w:rPr>
          <w:i/>
          <w:lang w:val="fr-CA"/>
        </w:rPr>
        <w:t>supra</w:t>
      </w:r>
      <w:r w:rsidRPr="007664EF">
        <w:rPr>
          <w:lang w:val="fr-CA"/>
        </w:rPr>
        <w:t xml:space="preserve">, </w:t>
      </w:r>
      <w:r>
        <w:rPr>
          <w:lang w:val="fr-CA"/>
        </w:rPr>
        <w:t>au</w:t>
      </w:r>
      <w:r w:rsidRPr="007664EF">
        <w:rPr>
          <w:lang w:val="fr-CA"/>
        </w:rPr>
        <w:t xml:space="preserve"> para. 53; </w:t>
      </w:r>
      <w:r w:rsidRPr="007664EF">
        <w:rPr>
          <w:i/>
          <w:lang w:val="fr-CA"/>
        </w:rPr>
        <w:t>Re Zabel</w:t>
      </w:r>
      <w:r w:rsidRPr="007664EF">
        <w:rPr>
          <w:lang w:val="fr-CA"/>
        </w:rPr>
        <w:t xml:space="preserve"> OJC September 11</w:t>
      </w:r>
      <w:r w:rsidRPr="007664EF">
        <w:rPr>
          <w:vertAlign w:val="superscript"/>
          <w:lang w:val="fr-CA"/>
        </w:rPr>
        <w:t>th</w:t>
      </w:r>
      <w:r w:rsidRPr="007664EF">
        <w:rPr>
          <w:lang w:val="fr-CA"/>
        </w:rPr>
        <w:t>, 2017</w:t>
      </w:r>
      <w:r>
        <w:rPr>
          <w:lang w:val="fr-CA"/>
        </w:rPr>
        <w:t>, au</w:t>
      </w:r>
      <w:r w:rsidRPr="007664EF">
        <w:rPr>
          <w:lang w:val="fr-CA"/>
        </w:rPr>
        <w:t xml:space="preserve"> para. 34</w:t>
      </w:r>
    </w:p>
  </w:footnote>
  <w:footnote w:id="118">
    <w:p w14:paraId="74FB07FB" w14:textId="551A0444" w:rsidR="00B95D74" w:rsidRPr="007664EF" w:rsidRDefault="00B95D74" w:rsidP="00AF7E73">
      <w:pPr>
        <w:pStyle w:val="FootnoteText"/>
        <w:rPr>
          <w:lang w:val="fr-CA"/>
        </w:rPr>
      </w:pPr>
      <w:r w:rsidRPr="007664EF">
        <w:rPr>
          <w:rStyle w:val="FootnoteReference"/>
          <w:lang w:val="fr-CA"/>
        </w:rPr>
        <w:footnoteRef/>
      </w:r>
      <w:r w:rsidRPr="007664EF">
        <w:rPr>
          <w:lang w:val="fr-CA"/>
        </w:rPr>
        <w:t xml:space="preserve"> </w:t>
      </w:r>
      <w:r>
        <w:rPr>
          <w:lang w:val="fr-CA"/>
        </w:rPr>
        <w:t xml:space="preserve">Pièce </w:t>
      </w:r>
      <w:r w:rsidRPr="007664EF">
        <w:rPr>
          <w:lang w:val="fr-CA"/>
        </w:rPr>
        <w:t xml:space="preserve">14; </w:t>
      </w:r>
      <w:r>
        <w:rPr>
          <w:lang w:val="fr-CA"/>
        </w:rPr>
        <w:t xml:space="preserve">et transcription du 17 septembre </w:t>
      </w:r>
      <w:r w:rsidRPr="007664EF">
        <w:rPr>
          <w:lang w:val="fr-CA"/>
        </w:rPr>
        <w:t>2019</w:t>
      </w:r>
      <w:r>
        <w:rPr>
          <w:lang w:val="fr-CA"/>
        </w:rPr>
        <w:t>,</w:t>
      </w:r>
      <w:r w:rsidRPr="007664EF">
        <w:rPr>
          <w:lang w:val="fr-CA"/>
        </w:rPr>
        <w:t xml:space="preserve"> p. 43, ll. 5 </w:t>
      </w:r>
      <w:r>
        <w:rPr>
          <w:lang w:val="fr-CA"/>
        </w:rPr>
        <w:t>à</w:t>
      </w:r>
      <w:r w:rsidRPr="007664EF">
        <w:rPr>
          <w:lang w:val="fr-CA"/>
        </w:rPr>
        <w:t xml:space="preserve"> p. 45, l. 5</w:t>
      </w:r>
    </w:p>
  </w:footnote>
  <w:footnote w:id="119">
    <w:p w14:paraId="7E5FDFDA" w14:textId="7D06C3B9" w:rsidR="00B95D74" w:rsidRPr="007664EF" w:rsidRDefault="00B95D74" w:rsidP="00F4676A">
      <w:pPr>
        <w:pStyle w:val="FootnoteText"/>
        <w:rPr>
          <w:lang w:val="fr-CA"/>
        </w:rPr>
      </w:pPr>
      <w:r w:rsidRPr="007664EF">
        <w:rPr>
          <w:rStyle w:val="FootnoteReference"/>
          <w:lang w:val="fr-CA"/>
        </w:rPr>
        <w:footnoteRef/>
      </w:r>
      <w:r w:rsidRPr="007664EF">
        <w:rPr>
          <w:lang w:val="fr-CA"/>
        </w:rPr>
        <w:t xml:space="preserve"> Transcript</w:t>
      </w:r>
      <w:r>
        <w:rPr>
          <w:lang w:val="fr-CA"/>
        </w:rPr>
        <w:t xml:space="preserve">ion du 17 septembre </w:t>
      </w:r>
      <w:r w:rsidRPr="007664EF">
        <w:rPr>
          <w:lang w:val="fr-CA"/>
        </w:rPr>
        <w:t xml:space="preserve">2019, p. 197, l. 10 </w:t>
      </w:r>
      <w:r>
        <w:rPr>
          <w:lang w:val="fr-CA"/>
        </w:rPr>
        <w:t>à</w:t>
      </w:r>
      <w:r w:rsidRPr="007664EF">
        <w:rPr>
          <w:lang w:val="fr-CA"/>
        </w:rPr>
        <w:t xml:space="preserve"> p. 198, l. 6</w:t>
      </w:r>
    </w:p>
  </w:footnote>
  <w:footnote w:id="120">
    <w:p w14:paraId="69517102" w14:textId="2598EA64" w:rsidR="00B95D74" w:rsidRPr="007664EF" w:rsidRDefault="00B95D74">
      <w:pPr>
        <w:pStyle w:val="FootnoteText"/>
        <w:rPr>
          <w:lang w:val="fr-CA"/>
        </w:rPr>
      </w:pPr>
      <w:r w:rsidRPr="007664EF">
        <w:rPr>
          <w:rStyle w:val="FootnoteReference"/>
          <w:lang w:val="fr-CA"/>
        </w:rPr>
        <w:footnoteRef/>
      </w:r>
      <w:r w:rsidRPr="007664EF">
        <w:rPr>
          <w:lang w:val="fr-CA"/>
        </w:rPr>
        <w:t xml:space="preserve"> </w:t>
      </w:r>
      <w:r w:rsidRPr="007664EF">
        <w:rPr>
          <w:i/>
          <w:lang w:val="fr-CA"/>
        </w:rPr>
        <w:t>Ibid,</w:t>
      </w:r>
      <w:r w:rsidRPr="007664EF">
        <w:rPr>
          <w:lang w:val="fr-CA"/>
        </w:rPr>
        <w:t xml:space="preserve"> p. 94, ll. 10-11, </w:t>
      </w:r>
      <w:r>
        <w:rPr>
          <w:lang w:val="fr-CA"/>
        </w:rPr>
        <w:t xml:space="preserve">et transcription du 18 septembre </w:t>
      </w:r>
      <w:r w:rsidRPr="007664EF">
        <w:rPr>
          <w:lang w:val="fr-CA"/>
        </w:rPr>
        <w:t>2019</w:t>
      </w:r>
      <w:r>
        <w:rPr>
          <w:lang w:val="fr-CA"/>
        </w:rPr>
        <w:t xml:space="preserve">, </w:t>
      </w:r>
      <w:r w:rsidRPr="007664EF">
        <w:rPr>
          <w:lang w:val="fr-CA"/>
        </w:rPr>
        <w:t xml:space="preserve">p. 8, l. 5 </w:t>
      </w:r>
      <w:r>
        <w:rPr>
          <w:lang w:val="fr-CA"/>
        </w:rPr>
        <w:t>à</w:t>
      </w:r>
      <w:r w:rsidRPr="007664EF">
        <w:rPr>
          <w:lang w:val="fr-CA"/>
        </w:rPr>
        <w:t xml:space="preserve"> p. 9, l. 5; p. 18, ll. 11-24; p. 42, ll. 17- 23; p. 46, ll. 10-15; p. 57, l. 8 </w:t>
      </w:r>
      <w:r>
        <w:rPr>
          <w:lang w:val="fr-CA"/>
        </w:rPr>
        <w:t>à</w:t>
      </w:r>
      <w:r w:rsidRPr="007664EF">
        <w:rPr>
          <w:lang w:val="fr-CA"/>
        </w:rPr>
        <w:t xml:space="preserve"> p. 59,  l. 6; p. 169, l. 13 </w:t>
      </w:r>
      <w:r>
        <w:rPr>
          <w:lang w:val="fr-CA"/>
        </w:rPr>
        <w:t>à</w:t>
      </w:r>
      <w:r w:rsidRPr="007664EF">
        <w:rPr>
          <w:lang w:val="fr-CA"/>
        </w:rPr>
        <w:t xml:space="preserve"> p. 173, l. </w:t>
      </w:r>
    </w:p>
  </w:footnote>
  <w:footnote w:id="121">
    <w:p w14:paraId="620A3300" w14:textId="7B49AE30" w:rsidR="00B95D74" w:rsidRPr="007664EF" w:rsidRDefault="00B95D74">
      <w:pPr>
        <w:pStyle w:val="FootnoteText"/>
        <w:rPr>
          <w:lang w:val="fr-CA"/>
        </w:rPr>
      </w:pPr>
      <w:r w:rsidRPr="007664EF">
        <w:rPr>
          <w:rStyle w:val="FootnoteReference"/>
          <w:lang w:val="fr-CA"/>
        </w:rPr>
        <w:footnoteRef/>
      </w:r>
      <w:r w:rsidRPr="007664EF">
        <w:rPr>
          <w:lang w:val="fr-CA"/>
        </w:rPr>
        <w:t xml:space="preserve"> </w:t>
      </w:r>
      <w:r>
        <w:rPr>
          <w:lang w:val="fr-CA"/>
        </w:rPr>
        <w:t xml:space="preserve">au </w:t>
      </w:r>
      <w:r w:rsidRPr="007664EF">
        <w:rPr>
          <w:lang w:val="fr-CA"/>
        </w:rPr>
        <w:t>para. 68</w:t>
      </w:r>
    </w:p>
  </w:footnote>
  <w:footnote w:id="122">
    <w:p w14:paraId="30384046" w14:textId="125130B4" w:rsidR="00B95D74" w:rsidRPr="007664EF" w:rsidRDefault="00B95D74">
      <w:pPr>
        <w:pStyle w:val="FootnoteText"/>
        <w:rPr>
          <w:lang w:val="fr-CA"/>
        </w:rPr>
      </w:pPr>
      <w:r w:rsidRPr="007664EF">
        <w:rPr>
          <w:rStyle w:val="FootnoteReference"/>
          <w:lang w:val="fr-CA"/>
        </w:rPr>
        <w:footnoteRef/>
      </w:r>
      <w:r>
        <w:rPr>
          <w:lang w:val="fr-CA"/>
        </w:rPr>
        <w:t xml:space="preserve"> </w:t>
      </w:r>
      <w:r>
        <w:rPr>
          <w:lang w:val="fr-CA"/>
        </w:rPr>
        <w:t xml:space="preserve">au </w:t>
      </w:r>
      <w:r w:rsidRPr="007664EF">
        <w:rPr>
          <w:lang w:val="fr-CA"/>
        </w:rPr>
        <w:t>para. 69-71</w:t>
      </w:r>
    </w:p>
  </w:footnote>
  <w:footnote w:id="123">
    <w:p w14:paraId="763E0857" w14:textId="4AB0CB41" w:rsidR="00B95D74" w:rsidRPr="007664EF" w:rsidRDefault="00B95D74">
      <w:pPr>
        <w:pStyle w:val="FootnoteText"/>
        <w:rPr>
          <w:lang w:val="fr-CA"/>
        </w:rPr>
      </w:pPr>
      <w:r w:rsidRPr="007664EF">
        <w:rPr>
          <w:rStyle w:val="FootnoteReference"/>
          <w:lang w:val="fr-CA"/>
        </w:rPr>
        <w:footnoteRef/>
      </w:r>
      <w:r w:rsidRPr="007664EF">
        <w:rPr>
          <w:lang w:val="fr-CA"/>
        </w:rPr>
        <w:t xml:space="preserve"> Transcript</w:t>
      </w:r>
      <w:r>
        <w:rPr>
          <w:lang w:val="fr-CA"/>
        </w:rPr>
        <w:t xml:space="preserve">ion du 17 septembre </w:t>
      </w:r>
      <w:r w:rsidRPr="007664EF">
        <w:rPr>
          <w:lang w:val="fr-CA"/>
        </w:rPr>
        <w:t>2019</w:t>
      </w:r>
      <w:r>
        <w:rPr>
          <w:lang w:val="fr-CA"/>
        </w:rPr>
        <w:t xml:space="preserve">, </w:t>
      </w:r>
      <w:r w:rsidRPr="007664EF">
        <w:rPr>
          <w:lang w:val="fr-CA"/>
        </w:rPr>
        <w:t>p. 136</w:t>
      </w:r>
    </w:p>
  </w:footnote>
  <w:footnote w:id="124">
    <w:p w14:paraId="0CBFA286" w14:textId="26E9E8E0" w:rsidR="00B95D74" w:rsidRPr="007664EF" w:rsidRDefault="00B95D74">
      <w:pPr>
        <w:pStyle w:val="FootnoteText"/>
        <w:rPr>
          <w:lang w:val="fr-CA"/>
        </w:rPr>
      </w:pPr>
      <w:r w:rsidRPr="007664EF">
        <w:rPr>
          <w:rStyle w:val="FootnoteReference"/>
          <w:lang w:val="fr-CA"/>
        </w:rPr>
        <w:footnoteRef/>
      </w:r>
      <w:r w:rsidRPr="007664EF">
        <w:rPr>
          <w:lang w:val="fr-CA"/>
        </w:rPr>
        <w:t xml:space="preserve"> Transcript</w:t>
      </w:r>
      <w:r>
        <w:rPr>
          <w:lang w:val="fr-CA"/>
        </w:rPr>
        <w:t xml:space="preserve">ion du 18 septembre </w:t>
      </w:r>
      <w:r w:rsidRPr="007664EF">
        <w:rPr>
          <w:lang w:val="fr-CA"/>
        </w:rPr>
        <w:t>2019</w:t>
      </w:r>
      <w:r>
        <w:rPr>
          <w:lang w:val="fr-CA"/>
        </w:rPr>
        <w:t xml:space="preserve">, </w:t>
      </w:r>
      <w:r w:rsidRPr="007664EF">
        <w:rPr>
          <w:lang w:val="fr-CA"/>
        </w:rPr>
        <w:t xml:space="preserve">p. 180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8D910" w14:textId="77777777" w:rsidR="00B95D74" w:rsidRDefault="00B95D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D8802" w14:textId="77777777" w:rsidR="00B95D74" w:rsidRDefault="00B95D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F9B71" w14:textId="77777777" w:rsidR="00B95D74" w:rsidRDefault="00B95D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241D1"/>
    <w:multiLevelType w:val="hybridMultilevel"/>
    <w:tmpl w:val="8A2C5F8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8D5155E"/>
    <w:multiLevelType w:val="hybridMultilevel"/>
    <w:tmpl w:val="40DCC16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127F39"/>
    <w:multiLevelType w:val="hybridMultilevel"/>
    <w:tmpl w:val="989AB52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21B4C2A"/>
    <w:multiLevelType w:val="hybridMultilevel"/>
    <w:tmpl w:val="66AAF38C"/>
    <w:lvl w:ilvl="0" w:tplc="74F448B8">
      <w:start w:val="115"/>
      <w:numFmt w:val="decimal"/>
      <w:lvlText w:val="[%1]"/>
      <w:lvlJc w:val="left"/>
      <w:pPr>
        <w:ind w:left="360" w:hanging="360"/>
      </w:pPr>
      <w:rPr>
        <w:rFonts w:hint="default"/>
        <w:b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2BD1FFC"/>
    <w:multiLevelType w:val="hybridMultilevel"/>
    <w:tmpl w:val="758E43AE"/>
    <w:lvl w:ilvl="0" w:tplc="B254F562">
      <w:start w:val="1"/>
      <w:numFmt w:val="upperLetter"/>
      <w:lvlText w:val="%1."/>
      <w:lvlJc w:val="left"/>
      <w:pPr>
        <w:ind w:left="1145" w:hanging="360"/>
      </w:pPr>
    </w:lvl>
    <w:lvl w:ilvl="1" w:tplc="10090019">
      <w:start w:val="1"/>
      <w:numFmt w:val="lowerLetter"/>
      <w:lvlText w:val="%2."/>
      <w:lvlJc w:val="left"/>
      <w:pPr>
        <w:ind w:left="1865" w:hanging="360"/>
      </w:pPr>
    </w:lvl>
    <w:lvl w:ilvl="2" w:tplc="1009001B">
      <w:start w:val="1"/>
      <w:numFmt w:val="lowerRoman"/>
      <w:lvlText w:val="%3."/>
      <w:lvlJc w:val="right"/>
      <w:pPr>
        <w:ind w:left="2585" w:hanging="180"/>
      </w:pPr>
    </w:lvl>
    <w:lvl w:ilvl="3" w:tplc="1009000F">
      <w:start w:val="1"/>
      <w:numFmt w:val="decimal"/>
      <w:lvlText w:val="%4."/>
      <w:lvlJc w:val="left"/>
      <w:pPr>
        <w:ind w:left="3305" w:hanging="360"/>
      </w:pPr>
    </w:lvl>
    <w:lvl w:ilvl="4" w:tplc="10090019">
      <w:start w:val="1"/>
      <w:numFmt w:val="lowerLetter"/>
      <w:lvlText w:val="%5."/>
      <w:lvlJc w:val="left"/>
      <w:pPr>
        <w:ind w:left="4025" w:hanging="360"/>
      </w:pPr>
    </w:lvl>
    <w:lvl w:ilvl="5" w:tplc="1009001B">
      <w:start w:val="1"/>
      <w:numFmt w:val="lowerRoman"/>
      <w:lvlText w:val="%6."/>
      <w:lvlJc w:val="right"/>
      <w:pPr>
        <w:ind w:left="4745" w:hanging="180"/>
      </w:pPr>
    </w:lvl>
    <w:lvl w:ilvl="6" w:tplc="1009000F">
      <w:start w:val="1"/>
      <w:numFmt w:val="decimal"/>
      <w:lvlText w:val="%7."/>
      <w:lvlJc w:val="left"/>
      <w:pPr>
        <w:ind w:left="5465" w:hanging="360"/>
      </w:pPr>
    </w:lvl>
    <w:lvl w:ilvl="7" w:tplc="10090019">
      <w:start w:val="1"/>
      <w:numFmt w:val="lowerLetter"/>
      <w:lvlText w:val="%8."/>
      <w:lvlJc w:val="left"/>
      <w:pPr>
        <w:ind w:left="6185" w:hanging="360"/>
      </w:pPr>
    </w:lvl>
    <w:lvl w:ilvl="8" w:tplc="1009001B">
      <w:start w:val="1"/>
      <w:numFmt w:val="lowerRoman"/>
      <w:lvlText w:val="%9."/>
      <w:lvlJc w:val="right"/>
      <w:pPr>
        <w:ind w:left="6905" w:hanging="180"/>
      </w:pPr>
    </w:lvl>
  </w:abstractNum>
  <w:abstractNum w:abstractNumId="5" w15:restartNumberingAfterBreak="0">
    <w:nsid w:val="1A032A5E"/>
    <w:multiLevelType w:val="hybridMultilevel"/>
    <w:tmpl w:val="F59A95F4"/>
    <w:lvl w:ilvl="0" w:tplc="B3DEDC18">
      <w:start w:val="1"/>
      <w:numFmt w:val="decimal"/>
      <w:lvlText w:val="[%1]"/>
      <w:lvlJc w:val="left"/>
      <w:pPr>
        <w:ind w:left="360" w:hanging="360"/>
      </w:pPr>
      <w:rPr>
        <w:rFonts w:hint="default"/>
        <w:b w:val="0"/>
        <w:color w:val="auto"/>
        <w:sz w:val="24"/>
        <w:szCs w:val="24"/>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1AA31089"/>
    <w:multiLevelType w:val="hybridMultilevel"/>
    <w:tmpl w:val="FBC0A5D4"/>
    <w:lvl w:ilvl="0" w:tplc="6290A246">
      <w:start w:val="1"/>
      <w:numFmt w:val="upperLetter"/>
      <w:pStyle w:val="Style1"/>
      <w:lvlText w:val="%1."/>
      <w:lvlJc w:val="left"/>
      <w:pPr>
        <w:ind w:left="2520" w:hanging="72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7" w15:restartNumberingAfterBreak="0">
    <w:nsid w:val="2B644945"/>
    <w:multiLevelType w:val="multilevel"/>
    <w:tmpl w:val="688C3FC2"/>
    <w:lvl w:ilvl="0">
      <w:start w:val="6"/>
      <w:numFmt w:val="decimal"/>
      <w:pStyle w:val="AParaNumbering"/>
      <w:lvlText w:val="%1."/>
      <w:lvlJc w:val="left"/>
      <w:pPr>
        <w:tabs>
          <w:tab w:val="num" w:pos="1800"/>
        </w:tabs>
        <w:ind w:left="1800" w:hanging="360"/>
      </w:pPr>
      <w:rPr>
        <w:rFonts w:hint="default"/>
      </w:rPr>
    </w:lvl>
    <w:lvl w:ilvl="1">
      <w:start w:val="1"/>
      <w:numFmt w:val="decimal"/>
      <w:pStyle w:val="AParaNumbering"/>
      <w:lvlText w:val="[%2]"/>
      <w:lvlJc w:val="left"/>
      <w:pPr>
        <w:tabs>
          <w:tab w:val="num" w:pos="786"/>
        </w:tabs>
        <w:ind w:left="426" w:firstLine="0"/>
      </w:pPr>
      <w:rPr>
        <w:rFonts w:hint="default"/>
        <w:b w:val="0"/>
        <w:i w:val="0"/>
        <w:sz w:val="24"/>
      </w:rPr>
    </w:lvl>
    <w:lvl w:ilvl="2">
      <w:start w:val="1"/>
      <w:numFmt w:val="none"/>
      <w:lvlRestart w:val="0"/>
      <w:suff w:val="nothing"/>
      <w:lvlText w:val="%3"/>
      <w:lvlJc w:val="left"/>
      <w:pPr>
        <w:ind w:left="1440" w:firstLine="0"/>
      </w:pPr>
      <w:rPr>
        <w:rFonts w:hint="default"/>
      </w:rPr>
    </w:lvl>
    <w:lvl w:ilvl="3">
      <w:start w:val="1"/>
      <w:numFmt w:val="decimal"/>
      <w:lvlRestart w:val="0"/>
      <w:suff w:val="nothing"/>
      <w:lvlText w:val="%4."/>
      <w:lvlJc w:val="left"/>
      <w:pPr>
        <w:ind w:left="1440" w:firstLine="0"/>
      </w:pPr>
      <w:rPr>
        <w:rFonts w:hint="default"/>
      </w:rPr>
    </w:lvl>
    <w:lvl w:ilvl="4">
      <w:start w:val="1"/>
      <w:numFmt w:val="lowerLetter"/>
      <w:lvlRestart w:val="0"/>
      <w:suff w:val="nothing"/>
      <w:lvlText w:val="(%5)"/>
      <w:lvlJc w:val="left"/>
      <w:pPr>
        <w:ind w:left="1440" w:firstLine="0"/>
      </w:pPr>
      <w:rPr>
        <w:rFonts w:hint="default"/>
      </w:rPr>
    </w:lvl>
    <w:lvl w:ilvl="5">
      <w:start w:val="1"/>
      <w:numFmt w:val="lowerRoman"/>
      <w:lvlRestart w:val="0"/>
      <w:suff w:val="nothing"/>
      <w:lvlText w:val="(%6)"/>
      <w:lvlJc w:val="left"/>
      <w:pPr>
        <w:ind w:left="1440" w:firstLine="72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 w15:restartNumberingAfterBreak="0">
    <w:nsid w:val="2B7974FF"/>
    <w:multiLevelType w:val="hybridMultilevel"/>
    <w:tmpl w:val="D146E378"/>
    <w:lvl w:ilvl="0" w:tplc="0CF684E8">
      <w:start w:val="1"/>
      <w:numFmt w:val="decimal"/>
      <w:lvlText w:val="%1)"/>
      <w:lvlJc w:val="left"/>
      <w:pPr>
        <w:ind w:left="720" w:hanging="360"/>
      </w:pPr>
      <w:rPr>
        <w:rFonts w:ascii="Arial" w:eastAsiaTheme="minorHAns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1012904"/>
    <w:multiLevelType w:val="hybridMultilevel"/>
    <w:tmpl w:val="09823204"/>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36D9712D"/>
    <w:multiLevelType w:val="hybridMultilevel"/>
    <w:tmpl w:val="E59E65E4"/>
    <w:lvl w:ilvl="0" w:tplc="664624FE">
      <w:start w:val="1"/>
      <w:numFmt w:val="lowerRoman"/>
      <w:pStyle w:val="Special2"/>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ED523BC"/>
    <w:multiLevelType w:val="hybridMultilevel"/>
    <w:tmpl w:val="1478C578"/>
    <w:lvl w:ilvl="0" w:tplc="10090001">
      <w:start w:val="1"/>
      <w:numFmt w:val="bullet"/>
      <w:lvlText w:val=""/>
      <w:lvlJc w:val="left"/>
      <w:pPr>
        <w:ind w:left="1222" w:hanging="360"/>
      </w:pPr>
      <w:rPr>
        <w:rFonts w:ascii="Symbol" w:hAnsi="Symbol" w:hint="default"/>
      </w:rPr>
    </w:lvl>
    <w:lvl w:ilvl="1" w:tplc="10090003" w:tentative="1">
      <w:start w:val="1"/>
      <w:numFmt w:val="bullet"/>
      <w:lvlText w:val="o"/>
      <w:lvlJc w:val="left"/>
      <w:pPr>
        <w:ind w:left="1942" w:hanging="360"/>
      </w:pPr>
      <w:rPr>
        <w:rFonts w:ascii="Courier New" w:hAnsi="Courier New" w:cs="Courier New" w:hint="default"/>
      </w:rPr>
    </w:lvl>
    <w:lvl w:ilvl="2" w:tplc="10090005" w:tentative="1">
      <w:start w:val="1"/>
      <w:numFmt w:val="bullet"/>
      <w:lvlText w:val=""/>
      <w:lvlJc w:val="left"/>
      <w:pPr>
        <w:ind w:left="2662" w:hanging="360"/>
      </w:pPr>
      <w:rPr>
        <w:rFonts w:ascii="Wingdings" w:hAnsi="Wingdings" w:hint="default"/>
      </w:rPr>
    </w:lvl>
    <w:lvl w:ilvl="3" w:tplc="10090001" w:tentative="1">
      <w:start w:val="1"/>
      <w:numFmt w:val="bullet"/>
      <w:lvlText w:val=""/>
      <w:lvlJc w:val="left"/>
      <w:pPr>
        <w:ind w:left="3382" w:hanging="360"/>
      </w:pPr>
      <w:rPr>
        <w:rFonts w:ascii="Symbol" w:hAnsi="Symbol" w:hint="default"/>
      </w:rPr>
    </w:lvl>
    <w:lvl w:ilvl="4" w:tplc="10090003" w:tentative="1">
      <w:start w:val="1"/>
      <w:numFmt w:val="bullet"/>
      <w:lvlText w:val="o"/>
      <w:lvlJc w:val="left"/>
      <w:pPr>
        <w:ind w:left="4102" w:hanging="360"/>
      </w:pPr>
      <w:rPr>
        <w:rFonts w:ascii="Courier New" w:hAnsi="Courier New" w:cs="Courier New" w:hint="default"/>
      </w:rPr>
    </w:lvl>
    <w:lvl w:ilvl="5" w:tplc="10090005" w:tentative="1">
      <w:start w:val="1"/>
      <w:numFmt w:val="bullet"/>
      <w:lvlText w:val=""/>
      <w:lvlJc w:val="left"/>
      <w:pPr>
        <w:ind w:left="4822" w:hanging="360"/>
      </w:pPr>
      <w:rPr>
        <w:rFonts w:ascii="Wingdings" w:hAnsi="Wingdings" w:hint="default"/>
      </w:rPr>
    </w:lvl>
    <w:lvl w:ilvl="6" w:tplc="10090001" w:tentative="1">
      <w:start w:val="1"/>
      <w:numFmt w:val="bullet"/>
      <w:lvlText w:val=""/>
      <w:lvlJc w:val="left"/>
      <w:pPr>
        <w:ind w:left="5542" w:hanging="360"/>
      </w:pPr>
      <w:rPr>
        <w:rFonts w:ascii="Symbol" w:hAnsi="Symbol" w:hint="default"/>
      </w:rPr>
    </w:lvl>
    <w:lvl w:ilvl="7" w:tplc="10090003" w:tentative="1">
      <w:start w:val="1"/>
      <w:numFmt w:val="bullet"/>
      <w:lvlText w:val="o"/>
      <w:lvlJc w:val="left"/>
      <w:pPr>
        <w:ind w:left="6262" w:hanging="360"/>
      </w:pPr>
      <w:rPr>
        <w:rFonts w:ascii="Courier New" w:hAnsi="Courier New" w:cs="Courier New" w:hint="default"/>
      </w:rPr>
    </w:lvl>
    <w:lvl w:ilvl="8" w:tplc="10090005" w:tentative="1">
      <w:start w:val="1"/>
      <w:numFmt w:val="bullet"/>
      <w:lvlText w:val=""/>
      <w:lvlJc w:val="left"/>
      <w:pPr>
        <w:ind w:left="6982" w:hanging="360"/>
      </w:pPr>
      <w:rPr>
        <w:rFonts w:ascii="Wingdings" w:hAnsi="Wingdings" w:hint="default"/>
      </w:rPr>
    </w:lvl>
  </w:abstractNum>
  <w:abstractNum w:abstractNumId="12" w15:restartNumberingAfterBreak="0">
    <w:nsid w:val="442D2886"/>
    <w:multiLevelType w:val="hybridMultilevel"/>
    <w:tmpl w:val="D7D226F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45813266"/>
    <w:multiLevelType w:val="hybridMultilevel"/>
    <w:tmpl w:val="D1EE2016"/>
    <w:lvl w:ilvl="0" w:tplc="E0083E6A">
      <w:start w:val="1"/>
      <w:numFmt w:val="decimal"/>
      <w:lvlText w:val="%1)"/>
      <w:lvlJc w:val="left"/>
      <w:pPr>
        <w:ind w:left="877" w:hanging="375"/>
      </w:pPr>
      <w:rPr>
        <w:rFonts w:hint="default"/>
      </w:r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14" w15:restartNumberingAfterBreak="0">
    <w:nsid w:val="486B70A3"/>
    <w:multiLevelType w:val="multilevel"/>
    <w:tmpl w:val="8FDA3F7A"/>
    <w:lvl w:ilvl="0">
      <w:start w:val="1"/>
      <w:numFmt w:val="decimal"/>
      <w:pStyle w:val="MAINPARAGRAPH"/>
      <w:lvlText w:val="[%1]"/>
      <w:lvlJc w:val="left"/>
      <w:pPr>
        <w:ind w:left="0" w:firstLine="0"/>
      </w:pPr>
    </w:lvl>
    <w:lvl w:ilvl="1">
      <w:start w:val="1"/>
      <w:numFmt w:val="decimal"/>
      <w:pStyle w:val="Para1"/>
      <w:lvlText w:val="(%2)"/>
      <w:lvlJc w:val="left"/>
      <w:pPr>
        <w:tabs>
          <w:tab w:val="num" w:pos="720"/>
        </w:tabs>
        <w:ind w:left="720" w:firstLine="0"/>
      </w:pPr>
    </w:lvl>
    <w:lvl w:ilvl="2">
      <w:start w:val="1"/>
      <w:numFmt w:val="lowerLetter"/>
      <w:lvlRestart w:val="1"/>
      <w:pStyle w:val="Paraa"/>
      <w:lvlText w:val="(%3)"/>
      <w:lvlJc w:val="left"/>
      <w:pPr>
        <w:tabs>
          <w:tab w:val="num" w:pos="720"/>
        </w:tabs>
        <w:ind w:left="720" w:firstLine="0"/>
      </w:pPr>
    </w:lvl>
    <w:lvl w:ilvl="3">
      <w:start w:val="1"/>
      <w:numFmt w:val="lowerRoman"/>
      <w:lvlRestart w:val="1"/>
      <w:pStyle w:val="Parai"/>
      <w:lvlText w:val="(%4)"/>
      <w:lvlJc w:val="left"/>
      <w:pPr>
        <w:tabs>
          <w:tab w:val="num" w:pos="720"/>
        </w:tabs>
        <w:ind w:left="720" w:firstLine="0"/>
      </w:pPr>
    </w:lvl>
    <w:lvl w:ilvl="4">
      <w:start w:val="1"/>
      <w:numFmt w:val="decimal"/>
      <w:lvlRestart w:val="1"/>
      <w:pStyle w:val="Para10"/>
      <w:lvlText w:val="%5."/>
      <w:lvlJc w:val="left"/>
      <w:pPr>
        <w:tabs>
          <w:tab w:val="num" w:pos="720"/>
        </w:tabs>
        <w:ind w:left="720" w:firstLine="0"/>
      </w:pPr>
    </w:lvl>
    <w:lvl w:ilvl="5">
      <w:start w:val="1"/>
      <w:numFmt w:val="lowerLetter"/>
      <w:pStyle w:val="Para1a"/>
      <w:lvlText w:val="(%6)"/>
      <w:lvlJc w:val="left"/>
      <w:pPr>
        <w:tabs>
          <w:tab w:val="num" w:pos="2160"/>
        </w:tabs>
        <w:ind w:left="2160" w:hanging="720"/>
      </w:pPr>
    </w:lvl>
    <w:lvl w:ilvl="6">
      <w:start w:val="1"/>
      <w:numFmt w:val="lowerRoman"/>
      <w:pStyle w:val="Para1i"/>
      <w:lvlText w:val="(%7)"/>
      <w:lvlJc w:val="left"/>
      <w:pPr>
        <w:tabs>
          <w:tab w:val="num" w:pos="2880"/>
        </w:tabs>
        <w:ind w:left="2880" w:hanging="72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F64795A"/>
    <w:multiLevelType w:val="hybridMultilevel"/>
    <w:tmpl w:val="9500C0BC"/>
    <w:lvl w:ilvl="0" w:tplc="634E1524">
      <w:start w:val="1"/>
      <w:numFmt w:val="decimal"/>
      <w:lvlText w:val="[%1]"/>
      <w:lvlJc w:val="left"/>
      <w:pPr>
        <w:ind w:left="360" w:hanging="360"/>
      </w:pPr>
      <w:rPr>
        <w:rFonts w:hint="default"/>
        <w:b w:val="0"/>
        <w:sz w:val="24"/>
        <w:szCs w:val="24"/>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5D4C7725"/>
    <w:multiLevelType w:val="hybridMultilevel"/>
    <w:tmpl w:val="905E109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3EF1812"/>
    <w:multiLevelType w:val="hybridMultilevel"/>
    <w:tmpl w:val="B5DAF688"/>
    <w:lvl w:ilvl="0" w:tplc="F492178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8C34337"/>
    <w:multiLevelType w:val="hybridMultilevel"/>
    <w:tmpl w:val="BC38255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9035F60"/>
    <w:multiLevelType w:val="hybridMultilevel"/>
    <w:tmpl w:val="CD360CF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83E3FDA"/>
    <w:multiLevelType w:val="hybridMultilevel"/>
    <w:tmpl w:val="DA30160C"/>
    <w:lvl w:ilvl="0" w:tplc="1F6261D0">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15:restartNumberingAfterBreak="0">
    <w:nsid w:val="7A5E467C"/>
    <w:multiLevelType w:val="multilevel"/>
    <w:tmpl w:val="958A3B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7"/>
  </w:num>
  <w:num w:numId="3">
    <w:abstractNumId w:val="9"/>
  </w:num>
  <w:num w:numId="4">
    <w:abstractNumId w:val="21"/>
  </w:num>
  <w:num w:numId="5">
    <w:abstractNumId w:val="13"/>
  </w:num>
  <w:num w:numId="6">
    <w:abstractNumId w:val="1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19"/>
  </w:num>
  <w:num w:numId="11">
    <w:abstractNumId w:val="0"/>
  </w:num>
  <w:num w:numId="12">
    <w:abstractNumId w:val="12"/>
  </w:num>
  <w:num w:numId="13">
    <w:abstractNumId w:val="1"/>
  </w:num>
  <w:num w:numId="14">
    <w:abstractNumId w:val="6"/>
  </w:num>
  <w:num w:numId="15">
    <w:abstractNumId w:val="20"/>
  </w:num>
  <w:num w:numId="16">
    <w:abstractNumId w:val="14"/>
  </w:num>
  <w:num w:numId="17">
    <w:abstractNumId w:val="15"/>
  </w:num>
  <w:num w:numId="18">
    <w:abstractNumId w:val="17"/>
  </w:num>
  <w:num w:numId="19">
    <w:abstractNumId w:val="3"/>
  </w:num>
  <w:num w:numId="20">
    <w:abstractNumId w:val="14"/>
  </w:num>
  <w:num w:numId="21">
    <w:abstractNumId w:val="10"/>
  </w:num>
  <w:num w:numId="22">
    <w:abstractNumId w:val="16"/>
  </w:num>
  <w:num w:numId="23">
    <w:abstractNumId w:val="18"/>
  </w:num>
  <w:num w:numId="24">
    <w:abstractNumId w:val="10"/>
  </w:num>
  <w:num w:numId="25">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A0"/>
    <w:rsid w:val="00002AC7"/>
    <w:rsid w:val="0000366D"/>
    <w:rsid w:val="00003E43"/>
    <w:rsid w:val="00006433"/>
    <w:rsid w:val="00006DD4"/>
    <w:rsid w:val="0000727F"/>
    <w:rsid w:val="00007C85"/>
    <w:rsid w:val="000100C0"/>
    <w:rsid w:val="00010EE3"/>
    <w:rsid w:val="00012151"/>
    <w:rsid w:val="000126D2"/>
    <w:rsid w:val="00012700"/>
    <w:rsid w:val="00013306"/>
    <w:rsid w:val="0001463A"/>
    <w:rsid w:val="00016E4F"/>
    <w:rsid w:val="000172EE"/>
    <w:rsid w:val="00023878"/>
    <w:rsid w:val="00023E2B"/>
    <w:rsid w:val="00025053"/>
    <w:rsid w:val="00025300"/>
    <w:rsid w:val="00026636"/>
    <w:rsid w:val="00026EC8"/>
    <w:rsid w:val="000278A5"/>
    <w:rsid w:val="00027E0C"/>
    <w:rsid w:val="00030781"/>
    <w:rsid w:val="00031517"/>
    <w:rsid w:val="0003296E"/>
    <w:rsid w:val="00032BAA"/>
    <w:rsid w:val="000354A6"/>
    <w:rsid w:val="000365F9"/>
    <w:rsid w:val="0003690C"/>
    <w:rsid w:val="00044721"/>
    <w:rsid w:val="0004538E"/>
    <w:rsid w:val="00045A80"/>
    <w:rsid w:val="00046393"/>
    <w:rsid w:val="000518FB"/>
    <w:rsid w:val="00051B36"/>
    <w:rsid w:val="00052426"/>
    <w:rsid w:val="0005252A"/>
    <w:rsid w:val="000526ED"/>
    <w:rsid w:val="00052A9C"/>
    <w:rsid w:val="00053C03"/>
    <w:rsid w:val="0005465D"/>
    <w:rsid w:val="00054777"/>
    <w:rsid w:val="0005557C"/>
    <w:rsid w:val="00055B97"/>
    <w:rsid w:val="00057A5E"/>
    <w:rsid w:val="0006012F"/>
    <w:rsid w:val="00060A27"/>
    <w:rsid w:val="0006107F"/>
    <w:rsid w:val="00062469"/>
    <w:rsid w:val="00063079"/>
    <w:rsid w:val="00065701"/>
    <w:rsid w:val="00065E93"/>
    <w:rsid w:val="000665EA"/>
    <w:rsid w:val="00066A8F"/>
    <w:rsid w:val="000672AE"/>
    <w:rsid w:val="00070002"/>
    <w:rsid w:val="00070398"/>
    <w:rsid w:val="00072D54"/>
    <w:rsid w:val="000751D4"/>
    <w:rsid w:val="0007720F"/>
    <w:rsid w:val="00080EDA"/>
    <w:rsid w:val="0008285E"/>
    <w:rsid w:val="00083011"/>
    <w:rsid w:val="0008333A"/>
    <w:rsid w:val="00084099"/>
    <w:rsid w:val="0008491F"/>
    <w:rsid w:val="00086150"/>
    <w:rsid w:val="000876B2"/>
    <w:rsid w:val="00087BF8"/>
    <w:rsid w:val="000919B5"/>
    <w:rsid w:val="00092AE9"/>
    <w:rsid w:val="00093192"/>
    <w:rsid w:val="000931D0"/>
    <w:rsid w:val="00094E84"/>
    <w:rsid w:val="00094F4F"/>
    <w:rsid w:val="0009520D"/>
    <w:rsid w:val="00095A3B"/>
    <w:rsid w:val="00096E83"/>
    <w:rsid w:val="000974B7"/>
    <w:rsid w:val="00097540"/>
    <w:rsid w:val="000A0119"/>
    <w:rsid w:val="000A0222"/>
    <w:rsid w:val="000A04CD"/>
    <w:rsid w:val="000A04EA"/>
    <w:rsid w:val="000A123D"/>
    <w:rsid w:val="000A2C2A"/>
    <w:rsid w:val="000A45E8"/>
    <w:rsid w:val="000A46BC"/>
    <w:rsid w:val="000A56DC"/>
    <w:rsid w:val="000A629D"/>
    <w:rsid w:val="000A6947"/>
    <w:rsid w:val="000B12BA"/>
    <w:rsid w:val="000B360B"/>
    <w:rsid w:val="000B49E5"/>
    <w:rsid w:val="000B4D3D"/>
    <w:rsid w:val="000B5720"/>
    <w:rsid w:val="000B7AE0"/>
    <w:rsid w:val="000C3172"/>
    <w:rsid w:val="000C53FF"/>
    <w:rsid w:val="000C563C"/>
    <w:rsid w:val="000C6120"/>
    <w:rsid w:val="000C6DF7"/>
    <w:rsid w:val="000C7D50"/>
    <w:rsid w:val="000D0EBA"/>
    <w:rsid w:val="000D32A1"/>
    <w:rsid w:val="000D3455"/>
    <w:rsid w:val="000D4B04"/>
    <w:rsid w:val="000D569A"/>
    <w:rsid w:val="000D5E65"/>
    <w:rsid w:val="000D6319"/>
    <w:rsid w:val="000D757E"/>
    <w:rsid w:val="000E0950"/>
    <w:rsid w:val="000E0988"/>
    <w:rsid w:val="000E2349"/>
    <w:rsid w:val="000E3ACC"/>
    <w:rsid w:val="000E3C95"/>
    <w:rsid w:val="000E3D14"/>
    <w:rsid w:val="000E3D37"/>
    <w:rsid w:val="000E3E82"/>
    <w:rsid w:val="000E4E90"/>
    <w:rsid w:val="000E4FFC"/>
    <w:rsid w:val="000E62F1"/>
    <w:rsid w:val="000E6AAA"/>
    <w:rsid w:val="000E6E5A"/>
    <w:rsid w:val="000E7DCB"/>
    <w:rsid w:val="000F0388"/>
    <w:rsid w:val="000F06FE"/>
    <w:rsid w:val="000F0FD2"/>
    <w:rsid w:val="000F2536"/>
    <w:rsid w:val="000F2A63"/>
    <w:rsid w:val="000F412A"/>
    <w:rsid w:val="000F5A97"/>
    <w:rsid w:val="000F6801"/>
    <w:rsid w:val="000F7F9B"/>
    <w:rsid w:val="000F7FAA"/>
    <w:rsid w:val="00101992"/>
    <w:rsid w:val="0010262F"/>
    <w:rsid w:val="00104C33"/>
    <w:rsid w:val="001050F8"/>
    <w:rsid w:val="00105EBF"/>
    <w:rsid w:val="00106018"/>
    <w:rsid w:val="0010618B"/>
    <w:rsid w:val="00106585"/>
    <w:rsid w:val="00110A94"/>
    <w:rsid w:val="001113E7"/>
    <w:rsid w:val="0011144C"/>
    <w:rsid w:val="001119AA"/>
    <w:rsid w:val="0011305A"/>
    <w:rsid w:val="00113CAB"/>
    <w:rsid w:val="00113D15"/>
    <w:rsid w:val="00113EA4"/>
    <w:rsid w:val="00117DF4"/>
    <w:rsid w:val="001208DF"/>
    <w:rsid w:val="00123621"/>
    <w:rsid w:val="0012393D"/>
    <w:rsid w:val="00123AFF"/>
    <w:rsid w:val="001274F8"/>
    <w:rsid w:val="00127C8A"/>
    <w:rsid w:val="001308D0"/>
    <w:rsid w:val="0013210A"/>
    <w:rsid w:val="001334C7"/>
    <w:rsid w:val="00134252"/>
    <w:rsid w:val="0013479D"/>
    <w:rsid w:val="00135721"/>
    <w:rsid w:val="00135904"/>
    <w:rsid w:val="00136703"/>
    <w:rsid w:val="00140AC1"/>
    <w:rsid w:val="00142D4D"/>
    <w:rsid w:val="00144320"/>
    <w:rsid w:val="00144624"/>
    <w:rsid w:val="00145516"/>
    <w:rsid w:val="001457FB"/>
    <w:rsid w:val="001470C4"/>
    <w:rsid w:val="001501F3"/>
    <w:rsid w:val="00150489"/>
    <w:rsid w:val="001508FC"/>
    <w:rsid w:val="001526D5"/>
    <w:rsid w:val="00152E66"/>
    <w:rsid w:val="00157CAA"/>
    <w:rsid w:val="0016050D"/>
    <w:rsid w:val="001608B8"/>
    <w:rsid w:val="00162076"/>
    <w:rsid w:val="00163767"/>
    <w:rsid w:val="00165772"/>
    <w:rsid w:val="00165D34"/>
    <w:rsid w:val="00167671"/>
    <w:rsid w:val="00167C13"/>
    <w:rsid w:val="00172AFF"/>
    <w:rsid w:val="00173229"/>
    <w:rsid w:val="00174047"/>
    <w:rsid w:val="00174A52"/>
    <w:rsid w:val="00174ACE"/>
    <w:rsid w:val="00175340"/>
    <w:rsid w:val="001759E1"/>
    <w:rsid w:val="00176DDA"/>
    <w:rsid w:val="00176F6B"/>
    <w:rsid w:val="00176FC5"/>
    <w:rsid w:val="001771DD"/>
    <w:rsid w:val="001774E6"/>
    <w:rsid w:val="001775B6"/>
    <w:rsid w:val="001803B9"/>
    <w:rsid w:val="00180A0E"/>
    <w:rsid w:val="001818E3"/>
    <w:rsid w:val="001819AB"/>
    <w:rsid w:val="00181E05"/>
    <w:rsid w:val="00182486"/>
    <w:rsid w:val="00182EE6"/>
    <w:rsid w:val="0018369F"/>
    <w:rsid w:val="00186284"/>
    <w:rsid w:val="001864D9"/>
    <w:rsid w:val="00186B57"/>
    <w:rsid w:val="00186DEF"/>
    <w:rsid w:val="00187F9C"/>
    <w:rsid w:val="00191838"/>
    <w:rsid w:val="00191F58"/>
    <w:rsid w:val="00194575"/>
    <w:rsid w:val="001946F5"/>
    <w:rsid w:val="00194EBE"/>
    <w:rsid w:val="00195AF3"/>
    <w:rsid w:val="00196EF9"/>
    <w:rsid w:val="00197D4B"/>
    <w:rsid w:val="001A0690"/>
    <w:rsid w:val="001A1D33"/>
    <w:rsid w:val="001A263D"/>
    <w:rsid w:val="001A2863"/>
    <w:rsid w:val="001A29B0"/>
    <w:rsid w:val="001A39EB"/>
    <w:rsid w:val="001A43A8"/>
    <w:rsid w:val="001A67D4"/>
    <w:rsid w:val="001B07C1"/>
    <w:rsid w:val="001B0EA0"/>
    <w:rsid w:val="001B0EBA"/>
    <w:rsid w:val="001B10A6"/>
    <w:rsid w:val="001B40BB"/>
    <w:rsid w:val="001B4792"/>
    <w:rsid w:val="001B4CCB"/>
    <w:rsid w:val="001B745D"/>
    <w:rsid w:val="001B7666"/>
    <w:rsid w:val="001B7BFD"/>
    <w:rsid w:val="001C0DB8"/>
    <w:rsid w:val="001C37B4"/>
    <w:rsid w:val="001C4E86"/>
    <w:rsid w:val="001C57F4"/>
    <w:rsid w:val="001D0AC7"/>
    <w:rsid w:val="001D363E"/>
    <w:rsid w:val="001D3B8C"/>
    <w:rsid w:val="001D3FAD"/>
    <w:rsid w:val="001D4132"/>
    <w:rsid w:val="001D42AC"/>
    <w:rsid w:val="001D76B6"/>
    <w:rsid w:val="001E0B04"/>
    <w:rsid w:val="001E29AF"/>
    <w:rsid w:val="001E3336"/>
    <w:rsid w:val="001F082B"/>
    <w:rsid w:val="001F129E"/>
    <w:rsid w:val="001F2CA5"/>
    <w:rsid w:val="001F3594"/>
    <w:rsid w:val="001F7D53"/>
    <w:rsid w:val="002000E9"/>
    <w:rsid w:val="00201158"/>
    <w:rsid w:val="002012B7"/>
    <w:rsid w:val="00201EFC"/>
    <w:rsid w:val="0020217B"/>
    <w:rsid w:val="00202500"/>
    <w:rsid w:val="00207865"/>
    <w:rsid w:val="00207EEE"/>
    <w:rsid w:val="00210F40"/>
    <w:rsid w:val="002118A7"/>
    <w:rsid w:val="00211BEC"/>
    <w:rsid w:val="002125FC"/>
    <w:rsid w:val="002147AF"/>
    <w:rsid w:val="00216E9C"/>
    <w:rsid w:val="002172C5"/>
    <w:rsid w:val="002175CE"/>
    <w:rsid w:val="0021773C"/>
    <w:rsid w:val="002220AC"/>
    <w:rsid w:val="002230F5"/>
    <w:rsid w:val="0022358E"/>
    <w:rsid w:val="002239DD"/>
    <w:rsid w:val="0022402E"/>
    <w:rsid w:val="00224967"/>
    <w:rsid w:val="00224E0A"/>
    <w:rsid w:val="00225BE4"/>
    <w:rsid w:val="002262E8"/>
    <w:rsid w:val="00226E89"/>
    <w:rsid w:val="0022777A"/>
    <w:rsid w:val="00227A27"/>
    <w:rsid w:val="00231975"/>
    <w:rsid w:val="002319C6"/>
    <w:rsid w:val="0023246D"/>
    <w:rsid w:val="0023571B"/>
    <w:rsid w:val="0024136F"/>
    <w:rsid w:val="00242BB1"/>
    <w:rsid w:val="002434F0"/>
    <w:rsid w:val="00243E66"/>
    <w:rsid w:val="0024749E"/>
    <w:rsid w:val="002500CB"/>
    <w:rsid w:val="002506DB"/>
    <w:rsid w:val="0025085E"/>
    <w:rsid w:val="00253A9E"/>
    <w:rsid w:val="00255FC5"/>
    <w:rsid w:val="00256528"/>
    <w:rsid w:val="00257C1E"/>
    <w:rsid w:val="00261B70"/>
    <w:rsid w:val="002627E3"/>
    <w:rsid w:val="00263C59"/>
    <w:rsid w:val="00264527"/>
    <w:rsid w:val="002649E0"/>
    <w:rsid w:val="00264ABB"/>
    <w:rsid w:val="002679A4"/>
    <w:rsid w:val="0027219A"/>
    <w:rsid w:val="0027289C"/>
    <w:rsid w:val="00281F93"/>
    <w:rsid w:val="00282FAF"/>
    <w:rsid w:val="00284FDC"/>
    <w:rsid w:val="002906EB"/>
    <w:rsid w:val="00290D44"/>
    <w:rsid w:val="00292259"/>
    <w:rsid w:val="00297653"/>
    <w:rsid w:val="002A19A1"/>
    <w:rsid w:val="002A1ED3"/>
    <w:rsid w:val="002A244B"/>
    <w:rsid w:val="002A39C4"/>
    <w:rsid w:val="002A3B0F"/>
    <w:rsid w:val="002A4364"/>
    <w:rsid w:val="002A77FC"/>
    <w:rsid w:val="002B1335"/>
    <w:rsid w:val="002B2D73"/>
    <w:rsid w:val="002B325E"/>
    <w:rsid w:val="002B4723"/>
    <w:rsid w:val="002B4771"/>
    <w:rsid w:val="002B51CE"/>
    <w:rsid w:val="002B5E42"/>
    <w:rsid w:val="002B68F5"/>
    <w:rsid w:val="002B6907"/>
    <w:rsid w:val="002B7827"/>
    <w:rsid w:val="002B7AE1"/>
    <w:rsid w:val="002C1A5E"/>
    <w:rsid w:val="002C241F"/>
    <w:rsid w:val="002C390C"/>
    <w:rsid w:val="002C3F0F"/>
    <w:rsid w:val="002C4535"/>
    <w:rsid w:val="002C47C1"/>
    <w:rsid w:val="002C543E"/>
    <w:rsid w:val="002C66A0"/>
    <w:rsid w:val="002C6C32"/>
    <w:rsid w:val="002D15C4"/>
    <w:rsid w:val="002D2FB5"/>
    <w:rsid w:val="002D4E7D"/>
    <w:rsid w:val="002D5676"/>
    <w:rsid w:val="002D5D11"/>
    <w:rsid w:val="002D7306"/>
    <w:rsid w:val="002E02B3"/>
    <w:rsid w:val="002E38CB"/>
    <w:rsid w:val="002E5D97"/>
    <w:rsid w:val="002E612F"/>
    <w:rsid w:val="002E6FF6"/>
    <w:rsid w:val="002E7342"/>
    <w:rsid w:val="002F09FA"/>
    <w:rsid w:val="002F1DF1"/>
    <w:rsid w:val="002F29C2"/>
    <w:rsid w:val="002F435E"/>
    <w:rsid w:val="002F43B4"/>
    <w:rsid w:val="002F7A54"/>
    <w:rsid w:val="00301726"/>
    <w:rsid w:val="003024D8"/>
    <w:rsid w:val="00302691"/>
    <w:rsid w:val="003033AE"/>
    <w:rsid w:val="003037E3"/>
    <w:rsid w:val="003059E1"/>
    <w:rsid w:val="00307368"/>
    <w:rsid w:val="00312266"/>
    <w:rsid w:val="003123E2"/>
    <w:rsid w:val="00312C9B"/>
    <w:rsid w:val="00313B93"/>
    <w:rsid w:val="0031500E"/>
    <w:rsid w:val="0031598F"/>
    <w:rsid w:val="0031620F"/>
    <w:rsid w:val="00317BCA"/>
    <w:rsid w:val="00317F1F"/>
    <w:rsid w:val="00320722"/>
    <w:rsid w:val="0032103C"/>
    <w:rsid w:val="003217AD"/>
    <w:rsid w:val="00326503"/>
    <w:rsid w:val="0032799F"/>
    <w:rsid w:val="00327BBA"/>
    <w:rsid w:val="00331794"/>
    <w:rsid w:val="00333349"/>
    <w:rsid w:val="0033394C"/>
    <w:rsid w:val="00334BDF"/>
    <w:rsid w:val="00334E4B"/>
    <w:rsid w:val="003352FB"/>
    <w:rsid w:val="003358A1"/>
    <w:rsid w:val="00335A90"/>
    <w:rsid w:val="00336F1E"/>
    <w:rsid w:val="00341C79"/>
    <w:rsid w:val="00342A22"/>
    <w:rsid w:val="00342D07"/>
    <w:rsid w:val="003445D0"/>
    <w:rsid w:val="00345193"/>
    <w:rsid w:val="0035301D"/>
    <w:rsid w:val="00355D1E"/>
    <w:rsid w:val="00356379"/>
    <w:rsid w:val="00357FA0"/>
    <w:rsid w:val="00360949"/>
    <w:rsid w:val="00362C21"/>
    <w:rsid w:val="0036413B"/>
    <w:rsid w:val="003666AF"/>
    <w:rsid w:val="003667C9"/>
    <w:rsid w:val="003668A9"/>
    <w:rsid w:val="003715B7"/>
    <w:rsid w:val="003736F6"/>
    <w:rsid w:val="00375332"/>
    <w:rsid w:val="00375E81"/>
    <w:rsid w:val="003768B1"/>
    <w:rsid w:val="00376F6A"/>
    <w:rsid w:val="00377106"/>
    <w:rsid w:val="00377752"/>
    <w:rsid w:val="003777E2"/>
    <w:rsid w:val="00377D6D"/>
    <w:rsid w:val="003805F3"/>
    <w:rsid w:val="00381992"/>
    <w:rsid w:val="00382AFC"/>
    <w:rsid w:val="00384FE2"/>
    <w:rsid w:val="00385C8F"/>
    <w:rsid w:val="00386BD5"/>
    <w:rsid w:val="0039014F"/>
    <w:rsid w:val="0039033B"/>
    <w:rsid w:val="00391CB6"/>
    <w:rsid w:val="003920C4"/>
    <w:rsid w:val="0039235F"/>
    <w:rsid w:val="00392BD9"/>
    <w:rsid w:val="00392D3B"/>
    <w:rsid w:val="00392F9C"/>
    <w:rsid w:val="00393B65"/>
    <w:rsid w:val="00394497"/>
    <w:rsid w:val="00394F86"/>
    <w:rsid w:val="003B0645"/>
    <w:rsid w:val="003B1015"/>
    <w:rsid w:val="003B12D2"/>
    <w:rsid w:val="003B1CB6"/>
    <w:rsid w:val="003B24D5"/>
    <w:rsid w:val="003B29E8"/>
    <w:rsid w:val="003C0263"/>
    <w:rsid w:val="003C1B64"/>
    <w:rsid w:val="003C1CA7"/>
    <w:rsid w:val="003C4B2F"/>
    <w:rsid w:val="003C4E7A"/>
    <w:rsid w:val="003C66B5"/>
    <w:rsid w:val="003C71C6"/>
    <w:rsid w:val="003D0045"/>
    <w:rsid w:val="003D2343"/>
    <w:rsid w:val="003D2835"/>
    <w:rsid w:val="003D2873"/>
    <w:rsid w:val="003D2A0B"/>
    <w:rsid w:val="003D3F46"/>
    <w:rsid w:val="003D4098"/>
    <w:rsid w:val="003D42DD"/>
    <w:rsid w:val="003D4C00"/>
    <w:rsid w:val="003D4F03"/>
    <w:rsid w:val="003D5337"/>
    <w:rsid w:val="003D616F"/>
    <w:rsid w:val="003D7E2E"/>
    <w:rsid w:val="003E00BB"/>
    <w:rsid w:val="003E115B"/>
    <w:rsid w:val="003E17E9"/>
    <w:rsid w:val="003E2157"/>
    <w:rsid w:val="003E4B71"/>
    <w:rsid w:val="003E5524"/>
    <w:rsid w:val="003E60B2"/>
    <w:rsid w:val="003F000F"/>
    <w:rsid w:val="003F0985"/>
    <w:rsid w:val="003F53D5"/>
    <w:rsid w:val="003F6135"/>
    <w:rsid w:val="003F6240"/>
    <w:rsid w:val="003F751D"/>
    <w:rsid w:val="0040009C"/>
    <w:rsid w:val="004034AD"/>
    <w:rsid w:val="0040432F"/>
    <w:rsid w:val="00404C1A"/>
    <w:rsid w:val="00412DBE"/>
    <w:rsid w:val="00413360"/>
    <w:rsid w:val="0041346D"/>
    <w:rsid w:val="0041373C"/>
    <w:rsid w:val="004143C0"/>
    <w:rsid w:val="004149F5"/>
    <w:rsid w:val="00414AB6"/>
    <w:rsid w:val="004155AC"/>
    <w:rsid w:val="00416B7D"/>
    <w:rsid w:val="00416E6A"/>
    <w:rsid w:val="00421C43"/>
    <w:rsid w:val="00421CED"/>
    <w:rsid w:val="00422A92"/>
    <w:rsid w:val="004235E8"/>
    <w:rsid w:val="00423A6D"/>
    <w:rsid w:val="0042627C"/>
    <w:rsid w:val="00427E1C"/>
    <w:rsid w:val="00430EBF"/>
    <w:rsid w:val="00433F25"/>
    <w:rsid w:val="0043579C"/>
    <w:rsid w:val="00435FF5"/>
    <w:rsid w:val="004365C3"/>
    <w:rsid w:val="00441650"/>
    <w:rsid w:val="00442234"/>
    <w:rsid w:val="004435C1"/>
    <w:rsid w:val="0044406E"/>
    <w:rsid w:val="00444076"/>
    <w:rsid w:val="00445EAC"/>
    <w:rsid w:val="00446C2F"/>
    <w:rsid w:val="00451E64"/>
    <w:rsid w:val="00452305"/>
    <w:rsid w:val="0045332B"/>
    <w:rsid w:val="0045347B"/>
    <w:rsid w:val="00454C3C"/>
    <w:rsid w:val="00455156"/>
    <w:rsid w:val="00455E4B"/>
    <w:rsid w:val="0046160F"/>
    <w:rsid w:val="0046261C"/>
    <w:rsid w:val="00464435"/>
    <w:rsid w:val="00466C0F"/>
    <w:rsid w:val="00470B1E"/>
    <w:rsid w:val="00470DDE"/>
    <w:rsid w:val="00471B16"/>
    <w:rsid w:val="00472D07"/>
    <w:rsid w:val="00473250"/>
    <w:rsid w:val="004733A5"/>
    <w:rsid w:val="004749BC"/>
    <w:rsid w:val="004760B0"/>
    <w:rsid w:val="00476823"/>
    <w:rsid w:val="00476FB1"/>
    <w:rsid w:val="00477194"/>
    <w:rsid w:val="0048007E"/>
    <w:rsid w:val="00480E4A"/>
    <w:rsid w:val="00480F22"/>
    <w:rsid w:val="0048578B"/>
    <w:rsid w:val="00485AEC"/>
    <w:rsid w:val="004866E6"/>
    <w:rsid w:val="00487378"/>
    <w:rsid w:val="00490363"/>
    <w:rsid w:val="004903CD"/>
    <w:rsid w:val="00490A5C"/>
    <w:rsid w:val="00490A79"/>
    <w:rsid w:val="00490D66"/>
    <w:rsid w:val="00490E7C"/>
    <w:rsid w:val="00492CA9"/>
    <w:rsid w:val="004962B5"/>
    <w:rsid w:val="00496752"/>
    <w:rsid w:val="00496F2C"/>
    <w:rsid w:val="004974A7"/>
    <w:rsid w:val="004A13D0"/>
    <w:rsid w:val="004A20A3"/>
    <w:rsid w:val="004A2238"/>
    <w:rsid w:val="004A2368"/>
    <w:rsid w:val="004A392D"/>
    <w:rsid w:val="004A40B0"/>
    <w:rsid w:val="004A4CBA"/>
    <w:rsid w:val="004A7487"/>
    <w:rsid w:val="004A751E"/>
    <w:rsid w:val="004B0698"/>
    <w:rsid w:val="004B0FDA"/>
    <w:rsid w:val="004B1A38"/>
    <w:rsid w:val="004B2701"/>
    <w:rsid w:val="004B29BF"/>
    <w:rsid w:val="004B347D"/>
    <w:rsid w:val="004B3610"/>
    <w:rsid w:val="004B658C"/>
    <w:rsid w:val="004B69F7"/>
    <w:rsid w:val="004B7707"/>
    <w:rsid w:val="004B7762"/>
    <w:rsid w:val="004C0551"/>
    <w:rsid w:val="004C0887"/>
    <w:rsid w:val="004C0B30"/>
    <w:rsid w:val="004C19C3"/>
    <w:rsid w:val="004C1FDA"/>
    <w:rsid w:val="004C2936"/>
    <w:rsid w:val="004C4DBF"/>
    <w:rsid w:val="004C629F"/>
    <w:rsid w:val="004D005F"/>
    <w:rsid w:val="004D0C6F"/>
    <w:rsid w:val="004D1BB8"/>
    <w:rsid w:val="004D1BF3"/>
    <w:rsid w:val="004D3A9A"/>
    <w:rsid w:val="004D4B60"/>
    <w:rsid w:val="004D7B9D"/>
    <w:rsid w:val="004D7DCF"/>
    <w:rsid w:val="004E01D2"/>
    <w:rsid w:val="004E17C2"/>
    <w:rsid w:val="004E1EB1"/>
    <w:rsid w:val="004E22BB"/>
    <w:rsid w:val="004E3186"/>
    <w:rsid w:val="004E3957"/>
    <w:rsid w:val="004E4452"/>
    <w:rsid w:val="004E550A"/>
    <w:rsid w:val="004E5F4F"/>
    <w:rsid w:val="004E6B5A"/>
    <w:rsid w:val="004F054D"/>
    <w:rsid w:val="004F080F"/>
    <w:rsid w:val="004F0C3B"/>
    <w:rsid w:val="004F1B03"/>
    <w:rsid w:val="004F20C3"/>
    <w:rsid w:val="004F2D5C"/>
    <w:rsid w:val="004F3D2B"/>
    <w:rsid w:val="004F4C32"/>
    <w:rsid w:val="004F4ED2"/>
    <w:rsid w:val="004F5988"/>
    <w:rsid w:val="00504786"/>
    <w:rsid w:val="00505D33"/>
    <w:rsid w:val="0050680B"/>
    <w:rsid w:val="00506ED0"/>
    <w:rsid w:val="0050716B"/>
    <w:rsid w:val="0050782E"/>
    <w:rsid w:val="00507A45"/>
    <w:rsid w:val="005114F8"/>
    <w:rsid w:val="005126BC"/>
    <w:rsid w:val="00514BCD"/>
    <w:rsid w:val="0051535C"/>
    <w:rsid w:val="0051559C"/>
    <w:rsid w:val="00517C5B"/>
    <w:rsid w:val="00520BA2"/>
    <w:rsid w:val="00520BF1"/>
    <w:rsid w:val="00521BAA"/>
    <w:rsid w:val="00524777"/>
    <w:rsid w:val="0052757F"/>
    <w:rsid w:val="00530FA5"/>
    <w:rsid w:val="00532F91"/>
    <w:rsid w:val="0053332E"/>
    <w:rsid w:val="00533888"/>
    <w:rsid w:val="00535EDF"/>
    <w:rsid w:val="00536260"/>
    <w:rsid w:val="00543936"/>
    <w:rsid w:val="00544B46"/>
    <w:rsid w:val="00545E18"/>
    <w:rsid w:val="00546FDB"/>
    <w:rsid w:val="005477AF"/>
    <w:rsid w:val="0055129D"/>
    <w:rsid w:val="00552CD8"/>
    <w:rsid w:val="005560B7"/>
    <w:rsid w:val="00556804"/>
    <w:rsid w:val="005571F5"/>
    <w:rsid w:val="00557543"/>
    <w:rsid w:val="0056320B"/>
    <w:rsid w:val="00563433"/>
    <w:rsid w:val="005637AB"/>
    <w:rsid w:val="00564305"/>
    <w:rsid w:val="00564DC4"/>
    <w:rsid w:val="00565139"/>
    <w:rsid w:val="00567D6B"/>
    <w:rsid w:val="00570782"/>
    <w:rsid w:val="00571115"/>
    <w:rsid w:val="005712E9"/>
    <w:rsid w:val="00571321"/>
    <w:rsid w:val="00571493"/>
    <w:rsid w:val="005720D1"/>
    <w:rsid w:val="00573A64"/>
    <w:rsid w:val="0057447E"/>
    <w:rsid w:val="00575F74"/>
    <w:rsid w:val="00576910"/>
    <w:rsid w:val="00576C07"/>
    <w:rsid w:val="0057735C"/>
    <w:rsid w:val="00577D0D"/>
    <w:rsid w:val="00577D1C"/>
    <w:rsid w:val="00577E46"/>
    <w:rsid w:val="00580F7E"/>
    <w:rsid w:val="0059142D"/>
    <w:rsid w:val="005915A5"/>
    <w:rsid w:val="00591721"/>
    <w:rsid w:val="00593463"/>
    <w:rsid w:val="00594239"/>
    <w:rsid w:val="00594924"/>
    <w:rsid w:val="00595495"/>
    <w:rsid w:val="005956A3"/>
    <w:rsid w:val="00596879"/>
    <w:rsid w:val="005977CC"/>
    <w:rsid w:val="005A31D2"/>
    <w:rsid w:val="005A4D09"/>
    <w:rsid w:val="005A5F24"/>
    <w:rsid w:val="005A732D"/>
    <w:rsid w:val="005A7344"/>
    <w:rsid w:val="005B41A5"/>
    <w:rsid w:val="005B4952"/>
    <w:rsid w:val="005B75E5"/>
    <w:rsid w:val="005B788E"/>
    <w:rsid w:val="005B7BE9"/>
    <w:rsid w:val="005C043A"/>
    <w:rsid w:val="005C05FE"/>
    <w:rsid w:val="005C0BB8"/>
    <w:rsid w:val="005C2288"/>
    <w:rsid w:val="005C4DCC"/>
    <w:rsid w:val="005C504A"/>
    <w:rsid w:val="005C678E"/>
    <w:rsid w:val="005D0681"/>
    <w:rsid w:val="005D1D64"/>
    <w:rsid w:val="005D40BA"/>
    <w:rsid w:val="005D40C4"/>
    <w:rsid w:val="005E0F3F"/>
    <w:rsid w:val="005E1D38"/>
    <w:rsid w:val="005E1E0B"/>
    <w:rsid w:val="005E2323"/>
    <w:rsid w:val="005E265C"/>
    <w:rsid w:val="005E3ECC"/>
    <w:rsid w:val="005E4A6F"/>
    <w:rsid w:val="005E59E3"/>
    <w:rsid w:val="005E5A6B"/>
    <w:rsid w:val="005E6E7F"/>
    <w:rsid w:val="005E7737"/>
    <w:rsid w:val="005F221D"/>
    <w:rsid w:val="005F3564"/>
    <w:rsid w:val="005F6B11"/>
    <w:rsid w:val="005F72D6"/>
    <w:rsid w:val="005F7A44"/>
    <w:rsid w:val="005F7FC9"/>
    <w:rsid w:val="00600BDD"/>
    <w:rsid w:val="006012C1"/>
    <w:rsid w:val="00601718"/>
    <w:rsid w:val="00604A59"/>
    <w:rsid w:val="0060581C"/>
    <w:rsid w:val="00606250"/>
    <w:rsid w:val="006062B4"/>
    <w:rsid w:val="00606884"/>
    <w:rsid w:val="00606E2C"/>
    <w:rsid w:val="00607284"/>
    <w:rsid w:val="00607BAC"/>
    <w:rsid w:val="0061083E"/>
    <w:rsid w:val="0061252A"/>
    <w:rsid w:val="006158EF"/>
    <w:rsid w:val="006168E2"/>
    <w:rsid w:val="00617ABC"/>
    <w:rsid w:val="00620E2C"/>
    <w:rsid w:val="00622679"/>
    <w:rsid w:val="00622BC5"/>
    <w:rsid w:val="00624531"/>
    <w:rsid w:val="00624B02"/>
    <w:rsid w:val="00626C33"/>
    <w:rsid w:val="00630615"/>
    <w:rsid w:val="00630783"/>
    <w:rsid w:val="006318AB"/>
    <w:rsid w:val="00631DFB"/>
    <w:rsid w:val="00632518"/>
    <w:rsid w:val="006349CA"/>
    <w:rsid w:val="00634AB6"/>
    <w:rsid w:val="006353DF"/>
    <w:rsid w:val="00637377"/>
    <w:rsid w:val="006373FB"/>
    <w:rsid w:val="00637FF1"/>
    <w:rsid w:val="006404D8"/>
    <w:rsid w:val="00640B8A"/>
    <w:rsid w:val="00641151"/>
    <w:rsid w:val="006422E6"/>
    <w:rsid w:val="006440BC"/>
    <w:rsid w:val="00644B24"/>
    <w:rsid w:val="00644B7C"/>
    <w:rsid w:val="006474FC"/>
    <w:rsid w:val="006479E7"/>
    <w:rsid w:val="0065024F"/>
    <w:rsid w:val="006509AC"/>
    <w:rsid w:val="00651170"/>
    <w:rsid w:val="00651568"/>
    <w:rsid w:val="00651F0F"/>
    <w:rsid w:val="006526A4"/>
    <w:rsid w:val="00652B4D"/>
    <w:rsid w:val="0065317C"/>
    <w:rsid w:val="006536FC"/>
    <w:rsid w:val="006537A4"/>
    <w:rsid w:val="00653807"/>
    <w:rsid w:val="00655DC3"/>
    <w:rsid w:val="006571A0"/>
    <w:rsid w:val="0065731C"/>
    <w:rsid w:val="00657CB5"/>
    <w:rsid w:val="00660327"/>
    <w:rsid w:val="00661406"/>
    <w:rsid w:val="0066341F"/>
    <w:rsid w:val="00663A92"/>
    <w:rsid w:val="00665879"/>
    <w:rsid w:val="00665EF4"/>
    <w:rsid w:val="006665F9"/>
    <w:rsid w:val="00666E92"/>
    <w:rsid w:val="006709E7"/>
    <w:rsid w:val="006710BD"/>
    <w:rsid w:val="00671161"/>
    <w:rsid w:val="006715D5"/>
    <w:rsid w:val="00671CC1"/>
    <w:rsid w:val="00672498"/>
    <w:rsid w:val="006756DC"/>
    <w:rsid w:val="00676EE2"/>
    <w:rsid w:val="00677BF6"/>
    <w:rsid w:val="00681BBB"/>
    <w:rsid w:val="0068269B"/>
    <w:rsid w:val="00683ABD"/>
    <w:rsid w:val="00684C19"/>
    <w:rsid w:val="00684EE0"/>
    <w:rsid w:val="006858D4"/>
    <w:rsid w:val="006867AF"/>
    <w:rsid w:val="0068723D"/>
    <w:rsid w:val="0069273A"/>
    <w:rsid w:val="00695C8E"/>
    <w:rsid w:val="00695E04"/>
    <w:rsid w:val="006A00AD"/>
    <w:rsid w:val="006A1779"/>
    <w:rsid w:val="006A3910"/>
    <w:rsid w:val="006A44DD"/>
    <w:rsid w:val="006A5442"/>
    <w:rsid w:val="006A5858"/>
    <w:rsid w:val="006A5BA8"/>
    <w:rsid w:val="006A6E5B"/>
    <w:rsid w:val="006A7A5A"/>
    <w:rsid w:val="006B05D1"/>
    <w:rsid w:val="006B0C03"/>
    <w:rsid w:val="006B2086"/>
    <w:rsid w:val="006B546D"/>
    <w:rsid w:val="006B68F5"/>
    <w:rsid w:val="006C00ED"/>
    <w:rsid w:val="006C1FBD"/>
    <w:rsid w:val="006C38F2"/>
    <w:rsid w:val="006C7751"/>
    <w:rsid w:val="006D0512"/>
    <w:rsid w:val="006D0F9C"/>
    <w:rsid w:val="006D2038"/>
    <w:rsid w:val="006D2320"/>
    <w:rsid w:val="006D28E6"/>
    <w:rsid w:val="006D2C43"/>
    <w:rsid w:val="006D524A"/>
    <w:rsid w:val="006D5CD6"/>
    <w:rsid w:val="006D6561"/>
    <w:rsid w:val="006D6885"/>
    <w:rsid w:val="006D72AA"/>
    <w:rsid w:val="006D7554"/>
    <w:rsid w:val="006D7666"/>
    <w:rsid w:val="006E1339"/>
    <w:rsid w:val="006E190B"/>
    <w:rsid w:val="006E24A7"/>
    <w:rsid w:val="006E3460"/>
    <w:rsid w:val="006E404E"/>
    <w:rsid w:val="006E4444"/>
    <w:rsid w:val="006E44C3"/>
    <w:rsid w:val="006E5615"/>
    <w:rsid w:val="006E75B5"/>
    <w:rsid w:val="006E766D"/>
    <w:rsid w:val="006F2697"/>
    <w:rsid w:val="006F339A"/>
    <w:rsid w:val="006F375F"/>
    <w:rsid w:val="006F3EB5"/>
    <w:rsid w:val="006F52E5"/>
    <w:rsid w:val="006F6271"/>
    <w:rsid w:val="00700D1A"/>
    <w:rsid w:val="0070176B"/>
    <w:rsid w:val="00701810"/>
    <w:rsid w:val="00705841"/>
    <w:rsid w:val="00705F5D"/>
    <w:rsid w:val="00707A11"/>
    <w:rsid w:val="00710CFC"/>
    <w:rsid w:val="007114CD"/>
    <w:rsid w:val="00712AAD"/>
    <w:rsid w:val="0071429B"/>
    <w:rsid w:val="00714D9C"/>
    <w:rsid w:val="0071680C"/>
    <w:rsid w:val="00716814"/>
    <w:rsid w:val="007169F6"/>
    <w:rsid w:val="00716D92"/>
    <w:rsid w:val="00717DB9"/>
    <w:rsid w:val="00717FDD"/>
    <w:rsid w:val="00720F0E"/>
    <w:rsid w:val="00720FBE"/>
    <w:rsid w:val="00721E42"/>
    <w:rsid w:val="00723EAA"/>
    <w:rsid w:val="00725371"/>
    <w:rsid w:val="00726ADD"/>
    <w:rsid w:val="007277E9"/>
    <w:rsid w:val="007301E2"/>
    <w:rsid w:val="00730A8D"/>
    <w:rsid w:val="0073162F"/>
    <w:rsid w:val="0073186F"/>
    <w:rsid w:val="00731964"/>
    <w:rsid w:val="0073242C"/>
    <w:rsid w:val="00733D7A"/>
    <w:rsid w:val="007347FE"/>
    <w:rsid w:val="00736291"/>
    <w:rsid w:val="00736762"/>
    <w:rsid w:val="0074043A"/>
    <w:rsid w:val="0074178E"/>
    <w:rsid w:val="00741CB1"/>
    <w:rsid w:val="00742580"/>
    <w:rsid w:val="00744D16"/>
    <w:rsid w:val="00747B4F"/>
    <w:rsid w:val="00747EAE"/>
    <w:rsid w:val="007529CB"/>
    <w:rsid w:val="007551DA"/>
    <w:rsid w:val="00756F64"/>
    <w:rsid w:val="00757658"/>
    <w:rsid w:val="00757EFE"/>
    <w:rsid w:val="00760697"/>
    <w:rsid w:val="00760924"/>
    <w:rsid w:val="007629F5"/>
    <w:rsid w:val="00763F32"/>
    <w:rsid w:val="00764F95"/>
    <w:rsid w:val="007664EF"/>
    <w:rsid w:val="0076652E"/>
    <w:rsid w:val="00767151"/>
    <w:rsid w:val="00767F3D"/>
    <w:rsid w:val="007707B1"/>
    <w:rsid w:val="00771E6B"/>
    <w:rsid w:val="00772846"/>
    <w:rsid w:val="007728DF"/>
    <w:rsid w:val="00772D2D"/>
    <w:rsid w:val="00773097"/>
    <w:rsid w:val="00773409"/>
    <w:rsid w:val="00774253"/>
    <w:rsid w:val="00774C8D"/>
    <w:rsid w:val="00776713"/>
    <w:rsid w:val="007773A2"/>
    <w:rsid w:val="007773D8"/>
    <w:rsid w:val="00777753"/>
    <w:rsid w:val="007804CF"/>
    <w:rsid w:val="00780968"/>
    <w:rsid w:val="00780AAA"/>
    <w:rsid w:val="007814D7"/>
    <w:rsid w:val="007817AB"/>
    <w:rsid w:val="007843FC"/>
    <w:rsid w:val="00784AF2"/>
    <w:rsid w:val="00785953"/>
    <w:rsid w:val="00786DD8"/>
    <w:rsid w:val="00787A75"/>
    <w:rsid w:val="00792054"/>
    <w:rsid w:val="00793F57"/>
    <w:rsid w:val="00794C32"/>
    <w:rsid w:val="00795C0F"/>
    <w:rsid w:val="00795F58"/>
    <w:rsid w:val="00797F52"/>
    <w:rsid w:val="007A1208"/>
    <w:rsid w:val="007A18CE"/>
    <w:rsid w:val="007A2F90"/>
    <w:rsid w:val="007A346D"/>
    <w:rsid w:val="007A4C1D"/>
    <w:rsid w:val="007A57C5"/>
    <w:rsid w:val="007A5C18"/>
    <w:rsid w:val="007A5E7E"/>
    <w:rsid w:val="007A61F7"/>
    <w:rsid w:val="007A6CDB"/>
    <w:rsid w:val="007A7A41"/>
    <w:rsid w:val="007B10DF"/>
    <w:rsid w:val="007B2950"/>
    <w:rsid w:val="007B35CD"/>
    <w:rsid w:val="007B40BD"/>
    <w:rsid w:val="007B4AD8"/>
    <w:rsid w:val="007B79EF"/>
    <w:rsid w:val="007B7F7B"/>
    <w:rsid w:val="007C0E58"/>
    <w:rsid w:val="007C314F"/>
    <w:rsid w:val="007C526E"/>
    <w:rsid w:val="007C6654"/>
    <w:rsid w:val="007C6D07"/>
    <w:rsid w:val="007C76C7"/>
    <w:rsid w:val="007D06EB"/>
    <w:rsid w:val="007D1215"/>
    <w:rsid w:val="007D1722"/>
    <w:rsid w:val="007D1813"/>
    <w:rsid w:val="007D1A58"/>
    <w:rsid w:val="007D3BF2"/>
    <w:rsid w:val="007D4D1A"/>
    <w:rsid w:val="007D4D81"/>
    <w:rsid w:val="007D522B"/>
    <w:rsid w:val="007D5B1D"/>
    <w:rsid w:val="007D6AE8"/>
    <w:rsid w:val="007D6DDD"/>
    <w:rsid w:val="007D7F4B"/>
    <w:rsid w:val="007E090A"/>
    <w:rsid w:val="007E09D3"/>
    <w:rsid w:val="007E0D03"/>
    <w:rsid w:val="007E0EB7"/>
    <w:rsid w:val="007E38A0"/>
    <w:rsid w:val="007E4C35"/>
    <w:rsid w:val="007E5160"/>
    <w:rsid w:val="007F0E92"/>
    <w:rsid w:val="007F1DDD"/>
    <w:rsid w:val="007F27FC"/>
    <w:rsid w:val="007F33D7"/>
    <w:rsid w:val="007F3A3B"/>
    <w:rsid w:val="007F68BC"/>
    <w:rsid w:val="007F6C91"/>
    <w:rsid w:val="007F70A3"/>
    <w:rsid w:val="007F76E0"/>
    <w:rsid w:val="0080032A"/>
    <w:rsid w:val="0080357D"/>
    <w:rsid w:val="00804321"/>
    <w:rsid w:val="0080567F"/>
    <w:rsid w:val="00805981"/>
    <w:rsid w:val="0080648E"/>
    <w:rsid w:val="0080768B"/>
    <w:rsid w:val="00807D6C"/>
    <w:rsid w:val="0081205A"/>
    <w:rsid w:val="008121E2"/>
    <w:rsid w:val="008127E9"/>
    <w:rsid w:val="008128BB"/>
    <w:rsid w:val="008132F6"/>
    <w:rsid w:val="00813359"/>
    <w:rsid w:val="0081408D"/>
    <w:rsid w:val="00814398"/>
    <w:rsid w:val="00814A3B"/>
    <w:rsid w:val="00814E04"/>
    <w:rsid w:val="008165C4"/>
    <w:rsid w:val="00820B19"/>
    <w:rsid w:val="00821E83"/>
    <w:rsid w:val="00822D89"/>
    <w:rsid w:val="00822F0F"/>
    <w:rsid w:val="00823F8C"/>
    <w:rsid w:val="00823FB7"/>
    <w:rsid w:val="00824705"/>
    <w:rsid w:val="00825AF4"/>
    <w:rsid w:val="00827DBE"/>
    <w:rsid w:val="00831607"/>
    <w:rsid w:val="00831B2E"/>
    <w:rsid w:val="008326EA"/>
    <w:rsid w:val="00832B78"/>
    <w:rsid w:val="00832D42"/>
    <w:rsid w:val="008337A1"/>
    <w:rsid w:val="00833977"/>
    <w:rsid w:val="00834112"/>
    <w:rsid w:val="00834512"/>
    <w:rsid w:val="00835262"/>
    <w:rsid w:val="00835302"/>
    <w:rsid w:val="008406EB"/>
    <w:rsid w:val="008424A7"/>
    <w:rsid w:val="008471C9"/>
    <w:rsid w:val="00847B75"/>
    <w:rsid w:val="00850FCB"/>
    <w:rsid w:val="00851B79"/>
    <w:rsid w:val="0085317D"/>
    <w:rsid w:val="00853FD0"/>
    <w:rsid w:val="00854807"/>
    <w:rsid w:val="00855371"/>
    <w:rsid w:val="00861F54"/>
    <w:rsid w:val="00862124"/>
    <w:rsid w:val="00863326"/>
    <w:rsid w:val="008636BE"/>
    <w:rsid w:val="00864D3A"/>
    <w:rsid w:val="00871D05"/>
    <w:rsid w:val="00872A30"/>
    <w:rsid w:val="008763E2"/>
    <w:rsid w:val="008764DF"/>
    <w:rsid w:val="00880134"/>
    <w:rsid w:val="008848C5"/>
    <w:rsid w:val="0088586D"/>
    <w:rsid w:val="00885CE9"/>
    <w:rsid w:val="00887642"/>
    <w:rsid w:val="0089186D"/>
    <w:rsid w:val="00892027"/>
    <w:rsid w:val="00892EE1"/>
    <w:rsid w:val="0089470A"/>
    <w:rsid w:val="00895C0C"/>
    <w:rsid w:val="00896D1C"/>
    <w:rsid w:val="00896F4E"/>
    <w:rsid w:val="008970CD"/>
    <w:rsid w:val="00897A02"/>
    <w:rsid w:val="008A06B8"/>
    <w:rsid w:val="008A13EC"/>
    <w:rsid w:val="008A1D67"/>
    <w:rsid w:val="008A3BAA"/>
    <w:rsid w:val="008A4DFE"/>
    <w:rsid w:val="008A5006"/>
    <w:rsid w:val="008A502E"/>
    <w:rsid w:val="008A561C"/>
    <w:rsid w:val="008A6553"/>
    <w:rsid w:val="008A733B"/>
    <w:rsid w:val="008B01BC"/>
    <w:rsid w:val="008B2221"/>
    <w:rsid w:val="008B33D6"/>
    <w:rsid w:val="008B3DD8"/>
    <w:rsid w:val="008B56B4"/>
    <w:rsid w:val="008B7570"/>
    <w:rsid w:val="008C053D"/>
    <w:rsid w:val="008C1EBD"/>
    <w:rsid w:val="008C2F83"/>
    <w:rsid w:val="008C3002"/>
    <w:rsid w:val="008C522B"/>
    <w:rsid w:val="008C61C9"/>
    <w:rsid w:val="008C6BF2"/>
    <w:rsid w:val="008D1823"/>
    <w:rsid w:val="008D28F5"/>
    <w:rsid w:val="008D2A58"/>
    <w:rsid w:val="008D2EBF"/>
    <w:rsid w:val="008D3779"/>
    <w:rsid w:val="008D572F"/>
    <w:rsid w:val="008D72E3"/>
    <w:rsid w:val="008E0FD3"/>
    <w:rsid w:val="008E3408"/>
    <w:rsid w:val="008E3E10"/>
    <w:rsid w:val="008E3F1D"/>
    <w:rsid w:val="008E4D4F"/>
    <w:rsid w:val="008F1240"/>
    <w:rsid w:val="008F1773"/>
    <w:rsid w:val="008F18B5"/>
    <w:rsid w:val="008F2753"/>
    <w:rsid w:val="008F5C06"/>
    <w:rsid w:val="008F772C"/>
    <w:rsid w:val="008F779F"/>
    <w:rsid w:val="009001C1"/>
    <w:rsid w:val="00900BE6"/>
    <w:rsid w:val="00900F88"/>
    <w:rsid w:val="00905864"/>
    <w:rsid w:val="00906B5C"/>
    <w:rsid w:val="00906F0B"/>
    <w:rsid w:val="009078E7"/>
    <w:rsid w:val="00910696"/>
    <w:rsid w:val="0091535C"/>
    <w:rsid w:val="00917155"/>
    <w:rsid w:val="00917444"/>
    <w:rsid w:val="009201AB"/>
    <w:rsid w:val="00920535"/>
    <w:rsid w:val="00920B9A"/>
    <w:rsid w:val="00922997"/>
    <w:rsid w:val="00925FFC"/>
    <w:rsid w:val="0092676C"/>
    <w:rsid w:val="009300C8"/>
    <w:rsid w:val="00930607"/>
    <w:rsid w:val="009332AE"/>
    <w:rsid w:val="009339DB"/>
    <w:rsid w:val="00934436"/>
    <w:rsid w:val="00935663"/>
    <w:rsid w:val="00935F9F"/>
    <w:rsid w:val="00936B2D"/>
    <w:rsid w:val="00936D79"/>
    <w:rsid w:val="0094090D"/>
    <w:rsid w:val="009414F5"/>
    <w:rsid w:val="00943E13"/>
    <w:rsid w:val="00947D5F"/>
    <w:rsid w:val="009504E8"/>
    <w:rsid w:val="00952B69"/>
    <w:rsid w:val="0095416E"/>
    <w:rsid w:val="00955B6C"/>
    <w:rsid w:val="0095756A"/>
    <w:rsid w:val="00957F8C"/>
    <w:rsid w:val="0096022D"/>
    <w:rsid w:val="0096155C"/>
    <w:rsid w:val="00961853"/>
    <w:rsid w:val="00961C6B"/>
    <w:rsid w:val="009623FF"/>
    <w:rsid w:val="00962648"/>
    <w:rsid w:val="00963D6B"/>
    <w:rsid w:val="00965B66"/>
    <w:rsid w:val="009669C8"/>
    <w:rsid w:val="009675AF"/>
    <w:rsid w:val="00970115"/>
    <w:rsid w:val="00975291"/>
    <w:rsid w:val="00975975"/>
    <w:rsid w:val="009762D5"/>
    <w:rsid w:val="0098133E"/>
    <w:rsid w:val="00985440"/>
    <w:rsid w:val="00986B70"/>
    <w:rsid w:val="0099084D"/>
    <w:rsid w:val="00995A7B"/>
    <w:rsid w:val="009968F3"/>
    <w:rsid w:val="00996B42"/>
    <w:rsid w:val="00996CFB"/>
    <w:rsid w:val="00997062"/>
    <w:rsid w:val="00997A71"/>
    <w:rsid w:val="009A14A8"/>
    <w:rsid w:val="009A2842"/>
    <w:rsid w:val="009A2ECE"/>
    <w:rsid w:val="009A2FDD"/>
    <w:rsid w:val="009A30C2"/>
    <w:rsid w:val="009A3F93"/>
    <w:rsid w:val="009A5BDF"/>
    <w:rsid w:val="009A61AE"/>
    <w:rsid w:val="009A62DD"/>
    <w:rsid w:val="009A7C56"/>
    <w:rsid w:val="009B1749"/>
    <w:rsid w:val="009B1CFE"/>
    <w:rsid w:val="009B1D63"/>
    <w:rsid w:val="009B1D97"/>
    <w:rsid w:val="009B2539"/>
    <w:rsid w:val="009B41A7"/>
    <w:rsid w:val="009B58B4"/>
    <w:rsid w:val="009B65DE"/>
    <w:rsid w:val="009C0166"/>
    <w:rsid w:val="009C0505"/>
    <w:rsid w:val="009C141F"/>
    <w:rsid w:val="009C2150"/>
    <w:rsid w:val="009C21BC"/>
    <w:rsid w:val="009C3699"/>
    <w:rsid w:val="009C3E10"/>
    <w:rsid w:val="009C4517"/>
    <w:rsid w:val="009C5390"/>
    <w:rsid w:val="009C58DB"/>
    <w:rsid w:val="009C5A81"/>
    <w:rsid w:val="009C6218"/>
    <w:rsid w:val="009D508A"/>
    <w:rsid w:val="009D7E5C"/>
    <w:rsid w:val="009E02F7"/>
    <w:rsid w:val="009E0D2D"/>
    <w:rsid w:val="009E1B8B"/>
    <w:rsid w:val="009E3954"/>
    <w:rsid w:val="009E3A2B"/>
    <w:rsid w:val="009E48E1"/>
    <w:rsid w:val="009E4D11"/>
    <w:rsid w:val="009E58EB"/>
    <w:rsid w:val="009E5EDC"/>
    <w:rsid w:val="009E7740"/>
    <w:rsid w:val="009F26CA"/>
    <w:rsid w:val="009F50B1"/>
    <w:rsid w:val="009F5C27"/>
    <w:rsid w:val="009F5E32"/>
    <w:rsid w:val="009F62ED"/>
    <w:rsid w:val="009F707A"/>
    <w:rsid w:val="009F71B6"/>
    <w:rsid w:val="009F7491"/>
    <w:rsid w:val="00A00A6A"/>
    <w:rsid w:val="00A01EE4"/>
    <w:rsid w:val="00A029CB"/>
    <w:rsid w:val="00A02FEE"/>
    <w:rsid w:val="00A04F2C"/>
    <w:rsid w:val="00A0572D"/>
    <w:rsid w:val="00A110B9"/>
    <w:rsid w:val="00A1197A"/>
    <w:rsid w:val="00A12AD0"/>
    <w:rsid w:val="00A137C1"/>
    <w:rsid w:val="00A14221"/>
    <w:rsid w:val="00A16F4C"/>
    <w:rsid w:val="00A1737B"/>
    <w:rsid w:val="00A173FC"/>
    <w:rsid w:val="00A2110D"/>
    <w:rsid w:val="00A2153D"/>
    <w:rsid w:val="00A218FF"/>
    <w:rsid w:val="00A22010"/>
    <w:rsid w:val="00A229C6"/>
    <w:rsid w:val="00A237CC"/>
    <w:rsid w:val="00A2612A"/>
    <w:rsid w:val="00A31AA6"/>
    <w:rsid w:val="00A330CB"/>
    <w:rsid w:val="00A33870"/>
    <w:rsid w:val="00A33E31"/>
    <w:rsid w:val="00A359B1"/>
    <w:rsid w:val="00A35ADA"/>
    <w:rsid w:val="00A35F45"/>
    <w:rsid w:val="00A369DE"/>
    <w:rsid w:val="00A36A2C"/>
    <w:rsid w:val="00A406DA"/>
    <w:rsid w:val="00A41040"/>
    <w:rsid w:val="00A41584"/>
    <w:rsid w:val="00A4216D"/>
    <w:rsid w:val="00A441C6"/>
    <w:rsid w:val="00A457D1"/>
    <w:rsid w:val="00A45F38"/>
    <w:rsid w:val="00A46B2E"/>
    <w:rsid w:val="00A46C46"/>
    <w:rsid w:val="00A46C97"/>
    <w:rsid w:val="00A4728E"/>
    <w:rsid w:val="00A4736E"/>
    <w:rsid w:val="00A50560"/>
    <w:rsid w:val="00A50BDD"/>
    <w:rsid w:val="00A50F9D"/>
    <w:rsid w:val="00A51651"/>
    <w:rsid w:val="00A5224C"/>
    <w:rsid w:val="00A52EE8"/>
    <w:rsid w:val="00A54E84"/>
    <w:rsid w:val="00A556EE"/>
    <w:rsid w:val="00A56ECB"/>
    <w:rsid w:val="00A5702F"/>
    <w:rsid w:val="00A57C64"/>
    <w:rsid w:val="00A60BD3"/>
    <w:rsid w:val="00A611E6"/>
    <w:rsid w:val="00A64D38"/>
    <w:rsid w:val="00A65540"/>
    <w:rsid w:val="00A66B19"/>
    <w:rsid w:val="00A67AB5"/>
    <w:rsid w:val="00A67ACE"/>
    <w:rsid w:val="00A713E1"/>
    <w:rsid w:val="00A71EDC"/>
    <w:rsid w:val="00A74355"/>
    <w:rsid w:val="00A74C91"/>
    <w:rsid w:val="00A74DCA"/>
    <w:rsid w:val="00A74DE3"/>
    <w:rsid w:val="00A800EC"/>
    <w:rsid w:val="00A8423F"/>
    <w:rsid w:val="00A84298"/>
    <w:rsid w:val="00A84489"/>
    <w:rsid w:val="00A84C0A"/>
    <w:rsid w:val="00A85183"/>
    <w:rsid w:val="00A8522C"/>
    <w:rsid w:val="00A853A9"/>
    <w:rsid w:val="00A854E2"/>
    <w:rsid w:val="00A8588B"/>
    <w:rsid w:val="00A86206"/>
    <w:rsid w:val="00A87314"/>
    <w:rsid w:val="00A902ED"/>
    <w:rsid w:val="00A90D49"/>
    <w:rsid w:val="00A90DE6"/>
    <w:rsid w:val="00A91B70"/>
    <w:rsid w:val="00A91C69"/>
    <w:rsid w:val="00A963FC"/>
    <w:rsid w:val="00AA0E75"/>
    <w:rsid w:val="00AA17C7"/>
    <w:rsid w:val="00AA2800"/>
    <w:rsid w:val="00AA3B73"/>
    <w:rsid w:val="00AA48D4"/>
    <w:rsid w:val="00AA69B3"/>
    <w:rsid w:val="00AB3143"/>
    <w:rsid w:val="00AB70B8"/>
    <w:rsid w:val="00AC0D32"/>
    <w:rsid w:val="00AC14F8"/>
    <w:rsid w:val="00AC33D3"/>
    <w:rsid w:val="00AC3797"/>
    <w:rsid w:val="00AC6954"/>
    <w:rsid w:val="00AC79A8"/>
    <w:rsid w:val="00AC7B83"/>
    <w:rsid w:val="00AC7DAD"/>
    <w:rsid w:val="00AD0523"/>
    <w:rsid w:val="00AD0902"/>
    <w:rsid w:val="00AD1914"/>
    <w:rsid w:val="00AD1CCC"/>
    <w:rsid w:val="00AD2DB7"/>
    <w:rsid w:val="00AD2F1F"/>
    <w:rsid w:val="00AD56F1"/>
    <w:rsid w:val="00AD71CE"/>
    <w:rsid w:val="00AE0875"/>
    <w:rsid w:val="00AE1D22"/>
    <w:rsid w:val="00AE24DE"/>
    <w:rsid w:val="00AE49EE"/>
    <w:rsid w:val="00AE4E21"/>
    <w:rsid w:val="00AE5712"/>
    <w:rsid w:val="00AE7C60"/>
    <w:rsid w:val="00AF076F"/>
    <w:rsid w:val="00AF0BD2"/>
    <w:rsid w:val="00AF162A"/>
    <w:rsid w:val="00AF3030"/>
    <w:rsid w:val="00AF38DD"/>
    <w:rsid w:val="00AF3995"/>
    <w:rsid w:val="00AF51FF"/>
    <w:rsid w:val="00AF77FF"/>
    <w:rsid w:val="00AF7E73"/>
    <w:rsid w:val="00B00CE9"/>
    <w:rsid w:val="00B02270"/>
    <w:rsid w:val="00B054F5"/>
    <w:rsid w:val="00B06466"/>
    <w:rsid w:val="00B07A90"/>
    <w:rsid w:val="00B10B58"/>
    <w:rsid w:val="00B10DB0"/>
    <w:rsid w:val="00B11F66"/>
    <w:rsid w:val="00B12047"/>
    <w:rsid w:val="00B12BB3"/>
    <w:rsid w:val="00B138CF"/>
    <w:rsid w:val="00B14028"/>
    <w:rsid w:val="00B15EC1"/>
    <w:rsid w:val="00B16D48"/>
    <w:rsid w:val="00B176D8"/>
    <w:rsid w:val="00B17C6F"/>
    <w:rsid w:val="00B17ECD"/>
    <w:rsid w:val="00B21CE1"/>
    <w:rsid w:val="00B2226B"/>
    <w:rsid w:val="00B23AB1"/>
    <w:rsid w:val="00B23F22"/>
    <w:rsid w:val="00B2452D"/>
    <w:rsid w:val="00B25F27"/>
    <w:rsid w:val="00B27433"/>
    <w:rsid w:val="00B31601"/>
    <w:rsid w:val="00B331DD"/>
    <w:rsid w:val="00B33D4E"/>
    <w:rsid w:val="00B3495D"/>
    <w:rsid w:val="00B37380"/>
    <w:rsid w:val="00B37C17"/>
    <w:rsid w:val="00B4259B"/>
    <w:rsid w:val="00B427FE"/>
    <w:rsid w:val="00B447FB"/>
    <w:rsid w:val="00B4615C"/>
    <w:rsid w:val="00B47A6C"/>
    <w:rsid w:val="00B50246"/>
    <w:rsid w:val="00B52783"/>
    <w:rsid w:val="00B53598"/>
    <w:rsid w:val="00B55495"/>
    <w:rsid w:val="00B55769"/>
    <w:rsid w:val="00B56D0F"/>
    <w:rsid w:val="00B56FA8"/>
    <w:rsid w:val="00B57C43"/>
    <w:rsid w:val="00B600E2"/>
    <w:rsid w:val="00B6046D"/>
    <w:rsid w:val="00B616EB"/>
    <w:rsid w:val="00B61F0B"/>
    <w:rsid w:val="00B626B9"/>
    <w:rsid w:val="00B6373A"/>
    <w:rsid w:val="00B641E1"/>
    <w:rsid w:val="00B666B5"/>
    <w:rsid w:val="00B668AF"/>
    <w:rsid w:val="00B6743B"/>
    <w:rsid w:val="00B72B40"/>
    <w:rsid w:val="00B72D70"/>
    <w:rsid w:val="00B734C4"/>
    <w:rsid w:val="00B73542"/>
    <w:rsid w:val="00B73569"/>
    <w:rsid w:val="00B741E8"/>
    <w:rsid w:val="00B776E4"/>
    <w:rsid w:val="00B77F37"/>
    <w:rsid w:val="00B825C1"/>
    <w:rsid w:val="00B8278F"/>
    <w:rsid w:val="00B82C8F"/>
    <w:rsid w:val="00B85AAB"/>
    <w:rsid w:val="00B86AAE"/>
    <w:rsid w:val="00B871D2"/>
    <w:rsid w:val="00B87E46"/>
    <w:rsid w:val="00B91991"/>
    <w:rsid w:val="00B92D08"/>
    <w:rsid w:val="00B92E50"/>
    <w:rsid w:val="00B93223"/>
    <w:rsid w:val="00B95995"/>
    <w:rsid w:val="00B95D74"/>
    <w:rsid w:val="00B9659C"/>
    <w:rsid w:val="00B97358"/>
    <w:rsid w:val="00B97701"/>
    <w:rsid w:val="00BA2F6B"/>
    <w:rsid w:val="00BA4D72"/>
    <w:rsid w:val="00BA692C"/>
    <w:rsid w:val="00BB0D8E"/>
    <w:rsid w:val="00BB319B"/>
    <w:rsid w:val="00BB36A5"/>
    <w:rsid w:val="00BB3750"/>
    <w:rsid w:val="00BB607E"/>
    <w:rsid w:val="00BB695F"/>
    <w:rsid w:val="00BB77A1"/>
    <w:rsid w:val="00BC091E"/>
    <w:rsid w:val="00BC1B85"/>
    <w:rsid w:val="00BC26B7"/>
    <w:rsid w:val="00BC4E26"/>
    <w:rsid w:val="00BC517F"/>
    <w:rsid w:val="00BC532F"/>
    <w:rsid w:val="00BC57B2"/>
    <w:rsid w:val="00BC77EF"/>
    <w:rsid w:val="00BD0FC2"/>
    <w:rsid w:val="00BD1EDD"/>
    <w:rsid w:val="00BD666E"/>
    <w:rsid w:val="00BD7002"/>
    <w:rsid w:val="00BD7780"/>
    <w:rsid w:val="00BD7A6C"/>
    <w:rsid w:val="00BE1657"/>
    <w:rsid w:val="00BE226D"/>
    <w:rsid w:val="00BE2544"/>
    <w:rsid w:val="00BE2A01"/>
    <w:rsid w:val="00BE3FF2"/>
    <w:rsid w:val="00BE4347"/>
    <w:rsid w:val="00BE6325"/>
    <w:rsid w:val="00BF1F47"/>
    <w:rsid w:val="00BF1F9D"/>
    <w:rsid w:val="00BF2009"/>
    <w:rsid w:val="00BF287E"/>
    <w:rsid w:val="00BF2FA3"/>
    <w:rsid w:val="00BF3C05"/>
    <w:rsid w:val="00BF6204"/>
    <w:rsid w:val="00BF7045"/>
    <w:rsid w:val="00BF7EF7"/>
    <w:rsid w:val="00C00384"/>
    <w:rsid w:val="00C00AC7"/>
    <w:rsid w:val="00C029AC"/>
    <w:rsid w:val="00C02A63"/>
    <w:rsid w:val="00C03971"/>
    <w:rsid w:val="00C046B4"/>
    <w:rsid w:val="00C064AE"/>
    <w:rsid w:val="00C07303"/>
    <w:rsid w:val="00C10FF7"/>
    <w:rsid w:val="00C12889"/>
    <w:rsid w:val="00C14082"/>
    <w:rsid w:val="00C14C62"/>
    <w:rsid w:val="00C1520E"/>
    <w:rsid w:val="00C15784"/>
    <w:rsid w:val="00C15F9C"/>
    <w:rsid w:val="00C17E1C"/>
    <w:rsid w:val="00C200BB"/>
    <w:rsid w:val="00C20677"/>
    <w:rsid w:val="00C209F9"/>
    <w:rsid w:val="00C21F79"/>
    <w:rsid w:val="00C23099"/>
    <w:rsid w:val="00C23260"/>
    <w:rsid w:val="00C23A12"/>
    <w:rsid w:val="00C25B2E"/>
    <w:rsid w:val="00C30862"/>
    <w:rsid w:val="00C3092C"/>
    <w:rsid w:val="00C314D3"/>
    <w:rsid w:val="00C33A29"/>
    <w:rsid w:val="00C3459F"/>
    <w:rsid w:val="00C3762D"/>
    <w:rsid w:val="00C37EFF"/>
    <w:rsid w:val="00C40033"/>
    <w:rsid w:val="00C413B3"/>
    <w:rsid w:val="00C4402B"/>
    <w:rsid w:val="00C442F5"/>
    <w:rsid w:val="00C471D3"/>
    <w:rsid w:val="00C51D26"/>
    <w:rsid w:val="00C527B4"/>
    <w:rsid w:val="00C539FD"/>
    <w:rsid w:val="00C5446F"/>
    <w:rsid w:val="00C550D3"/>
    <w:rsid w:val="00C55617"/>
    <w:rsid w:val="00C55EFB"/>
    <w:rsid w:val="00C55F76"/>
    <w:rsid w:val="00C60398"/>
    <w:rsid w:val="00C63AB2"/>
    <w:rsid w:val="00C6452A"/>
    <w:rsid w:val="00C64610"/>
    <w:rsid w:val="00C66DAA"/>
    <w:rsid w:val="00C675D5"/>
    <w:rsid w:val="00C7067B"/>
    <w:rsid w:val="00C7148C"/>
    <w:rsid w:val="00C71A91"/>
    <w:rsid w:val="00C72DB7"/>
    <w:rsid w:val="00C77966"/>
    <w:rsid w:val="00C80D3A"/>
    <w:rsid w:val="00C80E4C"/>
    <w:rsid w:val="00C8157B"/>
    <w:rsid w:val="00C81D3B"/>
    <w:rsid w:val="00C820AA"/>
    <w:rsid w:val="00C82743"/>
    <w:rsid w:val="00C8480A"/>
    <w:rsid w:val="00C859B2"/>
    <w:rsid w:val="00C85EF1"/>
    <w:rsid w:val="00C86580"/>
    <w:rsid w:val="00C910A2"/>
    <w:rsid w:val="00C93AB7"/>
    <w:rsid w:val="00C95B6C"/>
    <w:rsid w:val="00C96231"/>
    <w:rsid w:val="00C97524"/>
    <w:rsid w:val="00CA02AB"/>
    <w:rsid w:val="00CA1D67"/>
    <w:rsid w:val="00CA314D"/>
    <w:rsid w:val="00CA3EB1"/>
    <w:rsid w:val="00CA47B9"/>
    <w:rsid w:val="00CA542D"/>
    <w:rsid w:val="00CA709C"/>
    <w:rsid w:val="00CB0083"/>
    <w:rsid w:val="00CB031E"/>
    <w:rsid w:val="00CB0451"/>
    <w:rsid w:val="00CB069D"/>
    <w:rsid w:val="00CB07E2"/>
    <w:rsid w:val="00CB4B10"/>
    <w:rsid w:val="00CB6C4B"/>
    <w:rsid w:val="00CB780F"/>
    <w:rsid w:val="00CC034D"/>
    <w:rsid w:val="00CC0E77"/>
    <w:rsid w:val="00CC18B0"/>
    <w:rsid w:val="00CC2B10"/>
    <w:rsid w:val="00CC2D91"/>
    <w:rsid w:val="00CC3251"/>
    <w:rsid w:val="00CC365F"/>
    <w:rsid w:val="00CC69CE"/>
    <w:rsid w:val="00CC73D5"/>
    <w:rsid w:val="00CD00EB"/>
    <w:rsid w:val="00CD045E"/>
    <w:rsid w:val="00CD0FBA"/>
    <w:rsid w:val="00CD15EC"/>
    <w:rsid w:val="00CD2539"/>
    <w:rsid w:val="00CD2806"/>
    <w:rsid w:val="00CD3812"/>
    <w:rsid w:val="00CD38F8"/>
    <w:rsid w:val="00CD3DD5"/>
    <w:rsid w:val="00CD5FC6"/>
    <w:rsid w:val="00CD61CC"/>
    <w:rsid w:val="00CD7EEC"/>
    <w:rsid w:val="00CE0D4D"/>
    <w:rsid w:val="00CE1D47"/>
    <w:rsid w:val="00CE1DB2"/>
    <w:rsid w:val="00CE2444"/>
    <w:rsid w:val="00CE3CCF"/>
    <w:rsid w:val="00CE601F"/>
    <w:rsid w:val="00CE64DF"/>
    <w:rsid w:val="00CE7751"/>
    <w:rsid w:val="00CF0269"/>
    <w:rsid w:val="00CF0CFA"/>
    <w:rsid w:val="00CF182B"/>
    <w:rsid w:val="00CF40A2"/>
    <w:rsid w:val="00CF4BB1"/>
    <w:rsid w:val="00CF4E33"/>
    <w:rsid w:val="00CF5EBA"/>
    <w:rsid w:val="00CF6484"/>
    <w:rsid w:val="00CF6666"/>
    <w:rsid w:val="00CF7211"/>
    <w:rsid w:val="00D00CE6"/>
    <w:rsid w:val="00D00F2A"/>
    <w:rsid w:val="00D06086"/>
    <w:rsid w:val="00D07BEF"/>
    <w:rsid w:val="00D10494"/>
    <w:rsid w:val="00D11FF2"/>
    <w:rsid w:val="00D12978"/>
    <w:rsid w:val="00D14DC6"/>
    <w:rsid w:val="00D155AF"/>
    <w:rsid w:val="00D15C8F"/>
    <w:rsid w:val="00D15C92"/>
    <w:rsid w:val="00D15CAC"/>
    <w:rsid w:val="00D1632B"/>
    <w:rsid w:val="00D16808"/>
    <w:rsid w:val="00D2034C"/>
    <w:rsid w:val="00D20511"/>
    <w:rsid w:val="00D238FF"/>
    <w:rsid w:val="00D2462B"/>
    <w:rsid w:val="00D25FDD"/>
    <w:rsid w:val="00D263E6"/>
    <w:rsid w:val="00D27694"/>
    <w:rsid w:val="00D307FC"/>
    <w:rsid w:val="00D30BC3"/>
    <w:rsid w:val="00D324D8"/>
    <w:rsid w:val="00D33E2E"/>
    <w:rsid w:val="00D34747"/>
    <w:rsid w:val="00D3564D"/>
    <w:rsid w:val="00D35E1C"/>
    <w:rsid w:val="00D37002"/>
    <w:rsid w:val="00D374EF"/>
    <w:rsid w:val="00D37B41"/>
    <w:rsid w:val="00D404C3"/>
    <w:rsid w:val="00D415A3"/>
    <w:rsid w:val="00D4317B"/>
    <w:rsid w:val="00D45721"/>
    <w:rsid w:val="00D45DBE"/>
    <w:rsid w:val="00D46C05"/>
    <w:rsid w:val="00D479D3"/>
    <w:rsid w:val="00D50C35"/>
    <w:rsid w:val="00D55E96"/>
    <w:rsid w:val="00D5797F"/>
    <w:rsid w:val="00D57EB7"/>
    <w:rsid w:val="00D603AC"/>
    <w:rsid w:val="00D60B73"/>
    <w:rsid w:val="00D61E64"/>
    <w:rsid w:val="00D63E6F"/>
    <w:rsid w:val="00D64C8C"/>
    <w:rsid w:val="00D65138"/>
    <w:rsid w:val="00D6522E"/>
    <w:rsid w:val="00D65896"/>
    <w:rsid w:val="00D66561"/>
    <w:rsid w:val="00D72365"/>
    <w:rsid w:val="00D72F8C"/>
    <w:rsid w:val="00D731FE"/>
    <w:rsid w:val="00D74CBA"/>
    <w:rsid w:val="00D752EA"/>
    <w:rsid w:val="00D761A4"/>
    <w:rsid w:val="00D76D9C"/>
    <w:rsid w:val="00D8043B"/>
    <w:rsid w:val="00D83639"/>
    <w:rsid w:val="00D83F89"/>
    <w:rsid w:val="00D86DC1"/>
    <w:rsid w:val="00D90C52"/>
    <w:rsid w:val="00D9316F"/>
    <w:rsid w:val="00D9361B"/>
    <w:rsid w:val="00D94A67"/>
    <w:rsid w:val="00D94A79"/>
    <w:rsid w:val="00D953ED"/>
    <w:rsid w:val="00D95E41"/>
    <w:rsid w:val="00D96D5F"/>
    <w:rsid w:val="00DA0EA0"/>
    <w:rsid w:val="00DA17C7"/>
    <w:rsid w:val="00DA670F"/>
    <w:rsid w:val="00DB07E1"/>
    <w:rsid w:val="00DB0CEE"/>
    <w:rsid w:val="00DB4012"/>
    <w:rsid w:val="00DB5303"/>
    <w:rsid w:val="00DB7148"/>
    <w:rsid w:val="00DB7911"/>
    <w:rsid w:val="00DC019E"/>
    <w:rsid w:val="00DC1F46"/>
    <w:rsid w:val="00DC3442"/>
    <w:rsid w:val="00DC37B3"/>
    <w:rsid w:val="00DC5323"/>
    <w:rsid w:val="00DC5938"/>
    <w:rsid w:val="00DC6F05"/>
    <w:rsid w:val="00DC7A9A"/>
    <w:rsid w:val="00DD03A1"/>
    <w:rsid w:val="00DD060B"/>
    <w:rsid w:val="00DD07A2"/>
    <w:rsid w:val="00DD2D14"/>
    <w:rsid w:val="00DD2E21"/>
    <w:rsid w:val="00DD2E91"/>
    <w:rsid w:val="00DD3636"/>
    <w:rsid w:val="00DD40BE"/>
    <w:rsid w:val="00DD4925"/>
    <w:rsid w:val="00DD5185"/>
    <w:rsid w:val="00DD5494"/>
    <w:rsid w:val="00DD58E2"/>
    <w:rsid w:val="00DD6121"/>
    <w:rsid w:val="00DE4BF5"/>
    <w:rsid w:val="00DF0D7A"/>
    <w:rsid w:val="00DF15D7"/>
    <w:rsid w:val="00DF25BB"/>
    <w:rsid w:val="00DF330A"/>
    <w:rsid w:val="00DF3646"/>
    <w:rsid w:val="00DF392B"/>
    <w:rsid w:val="00DF3FE5"/>
    <w:rsid w:val="00DF71E4"/>
    <w:rsid w:val="00DF7505"/>
    <w:rsid w:val="00DF7683"/>
    <w:rsid w:val="00E00B33"/>
    <w:rsid w:val="00E0233F"/>
    <w:rsid w:val="00E027A1"/>
    <w:rsid w:val="00E028CA"/>
    <w:rsid w:val="00E02A4B"/>
    <w:rsid w:val="00E02A87"/>
    <w:rsid w:val="00E03B69"/>
    <w:rsid w:val="00E04AE2"/>
    <w:rsid w:val="00E06232"/>
    <w:rsid w:val="00E06877"/>
    <w:rsid w:val="00E10688"/>
    <w:rsid w:val="00E1094A"/>
    <w:rsid w:val="00E110D9"/>
    <w:rsid w:val="00E11A38"/>
    <w:rsid w:val="00E1485B"/>
    <w:rsid w:val="00E14C9C"/>
    <w:rsid w:val="00E14D36"/>
    <w:rsid w:val="00E14E1D"/>
    <w:rsid w:val="00E15598"/>
    <w:rsid w:val="00E15A19"/>
    <w:rsid w:val="00E16912"/>
    <w:rsid w:val="00E17836"/>
    <w:rsid w:val="00E23BFF"/>
    <w:rsid w:val="00E254DA"/>
    <w:rsid w:val="00E25A3A"/>
    <w:rsid w:val="00E25B9E"/>
    <w:rsid w:val="00E25C9B"/>
    <w:rsid w:val="00E2754F"/>
    <w:rsid w:val="00E27E34"/>
    <w:rsid w:val="00E3123C"/>
    <w:rsid w:val="00E3131D"/>
    <w:rsid w:val="00E31E0E"/>
    <w:rsid w:val="00E32077"/>
    <w:rsid w:val="00E32FDA"/>
    <w:rsid w:val="00E33216"/>
    <w:rsid w:val="00E341CC"/>
    <w:rsid w:val="00E34516"/>
    <w:rsid w:val="00E35950"/>
    <w:rsid w:val="00E36AE5"/>
    <w:rsid w:val="00E36BCA"/>
    <w:rsid w:val="00E40326"/>
    <w:rsid w:val="00E43073"/>
    <w:rsid w:val="00E432A7"/>
    <w:rsid w:val="00E44F28"/>
    <w:rsid w:val="00E45442"/>
    <w:rsid w:val="00E51280"/>
    <w:rsid w:val="00E51950"/>
    <w:rsid w:val="00E5223E"/>
    <w:rsid w:val="00E53660"/>
    <w:rsid w:val="00E542D3"/>
    <w:rsid w:val="00E56F22"/>
    <w:rsid w:val="00E57258"/>
    <w:rsid w:val="00E60637"/>
    <w:rsid w:val="00E60DCD"/>
    <w:rsid w:val="00E64017"/>
    <w:rsid w:val="00E656F1"/>
    <w:rsid w:val="00E65700"/>
    <w:rsid w:val="00E6619F"/>
    <w:rsid w:val="00E67F89"/>
    <w:rsid w:val="00E700C3"/>
    <w:rsid w:val="00E7078D"/>
    <w:rsid w:val="00E708F0"/>
    <w:rsid w:val="00E727A0"/>
    <w:rsid w:val="00E7312D"/>
    <w:rsid w:val="00E755FA"/>
    <w:rsid w:val="00E7705F"/>
    <w:rsid w:val="00E801C4"/>
    <w:rsid w:val="00E80BAE"/>
    <w:rsid w:val="00E81332"/>
    <w:rsid w:val="00E833F8"/>
    <w:rsid w:val="00E83D57"/>
    <w:rsid w:val="00E846A2"/>
    <w:rsid w:val="00E9028A"/>
    <w:rsid w:val="00E922FC"/>
    <w:rsid w:val="00E944E5"/>
    <w:rsid w:val="00E94A44"/>
    <w:rsid w:val="00E95C8E"/>
    <w:rsid w:val="00E95F1D"/>
    <w:rsid w:val="00E96904"/>
    <w:rsid w:val="00E96B0F"/>
    <w:rsid w:val="00EA064E"/>
    <w:rsid w:val="00EA10C3"/>
    <w:rsid w:val="00EA1B91"/>
    <w:rsid w:val="00EA35F1"/>
    <w:rsid w:val="00EA47BF"/>
    <w:rsid w:val="00EA6BAD"/>
    <w:rsid w:val="00EA7AF5"/>
    <w:rsid w:val="00EB0F2E"/>
    <w:rsid w:val="00EB2341"/>
    <w:rsid w:val="00EB383C"/>
    <w:rsid w:val="00EB5ED7"/>
    <w:rsid w:val="00EB6127"/>
    <w:rsid w:val="00EB6C66"/>
    <w:rsid w:val="00EB6D65"/>
    <w:rsid w:val="00EC294F"/>
    <w:rsid w:val="00EC2B7D"/>
    <w:rsid w:val="00EC2FBB"/>
    <w:rsid w:val="00EC518A"/>
    <w:rsid w:val="00EC5B93"/>
    <w:rsid w:val="00EC62BE"/>
    <w:rsid w:val="00EC67B9"/>
    <w:rsid w:val="00EC7214"/>
    <w:rsid w:val="00EC7819"/>
    <w:rsid w:val="00ED1883"/>
    <w:rsid w:val="00ED3C80"/>
    <w:rsid w:val="00ED4E54"/>
    <w:rsid w:val="00ED550E"/>
    <w:rsid w:val="00ED61D9"/>
    <w:rsid w:val="00EE2663"/>
    <w:rsid w:val="00EE6010"/>
    <w:rsid w:val="00EE65F2"/>
    <w:rsid w:val="00EF0EFC"/>
    <w:rsid w:val="00EF313A"/>
    <w:rsid w:val="00EF3347"/>
    <w:rsid w:val="00EF37CC"/>
    <w:rsid w:val="00EF3988"/>
    <w:rsid w:val="00EF4925"/>
    <w:rsid w:val="00F0089C"/>
    <w:rsid w:val="00F02D22"/>
    <w:rsid w:val="00F02EA7"/>
    <w:rsid w:val="00F04103"/>
    <w:rsid w:val="00F06038"/>
    <w:rsid w:val="00F06DF0"/>
    <w:rsid w:val="00F0714D"/>
    <w:rsid w:val="00F07356"/>
    <w:rsid w:val="00F077B3"/>
    <w:rsid w:val="00F109FF"/>
    <w:rsid w:val="00F12084"/>
    <w:rsid w:val="00F13B79"/>
    <w:rsid w:val="00F165A5"/>
    <w:rsid w:val="00F17B57"/>
    <w:rsid w:val="00F20F34"/>
    <w:rsid w:val="00F222AC"/>
    <w:rsid w:val="00F22CFC"/>
    <w:rsid w:val="00F24A0E"/>
    <w:rsid w:val="00F24A43"/>
    <w:rsid w:val="00F24AEF"/>
    <w:rsid w:val="00F256AF"/>
    <w:rsid w:val="00F262D7"/>
    <w:rsid w:val="00F26743"/>
    <w:rsid w:val="00F270FE"/>
    <w:rsid w:val="00F31441"/>
    <w:rsid w:val="00F318E9"/>
    <w:rsid w:val="00F351E8"/>
    <w:rsid w:val="00F35EB5"/>
    <w:rsid w:val="00F37ED5"/>
    <w:rsid w:val="00F41069"/>
    <w:rsid w:val="00F42AA9"/>
    <w:rsid w:val="00F42B43"/>
    <w:rsid w:val="00F434A1"/>
    <w:rsid w:val="00F46227"/>
    <w:rsid w:val="00F4676A"/>
    <w:rsid w:val="00F47CF6"/>
    <w:rsid w:val="00F507D1"/>
    <w:rsid w:val="00F536ED"/>
    <w:rsid w:val="00F540CD"/>
    <w:rsid w:val="00F55AF4"/>
    <w:rsid w:val="00F55B31"/>
    <w:rsid w:val="00F57445"/>
    <w:rsid w:val="00F5751B"/>
    <w:rsid w:val="00F57CFC"/>
    <w:rsid w:val="00F6184F"/>
    <w:rsid w:val="00F61B6B"/>
    <w:rsid w:val="00F61F85"/>
    <w:rsid w:val="00F62737"/>
    <w:rsid w:val="00F64865"/>
    <w:rsid w:val="00F6570A"/>
    <w:rsid w:val="00F66B11"/>
    <w:rsid w:val="00F67318"/>
    <w:rsid w:val="00F67AB4"/>
    <w:rsid w:val="00F67F03"/>
    <w:rsid w:val="00F70C0A"/>
    <w:rsid w:val="00F716C6"/>
    <w:rsid w:val="00F72078"/>
    <w:rsid w:val="00F7396C"/>
    <w:rsid w:val="00F74761"/>
    <w:rsid w:val="00F76AC9"/>
    <w:rsid w:val="00F76F2C"/>
    <w:rsid w:val="00F77088"/>
    <w:rsid w:val="00F7775B"/>
    <w:rsid w:val="00F77B58"/>
    <w:rsid w:val="00F801E2"/>
    <w:rsid w:val="00F81D75"/>
    <w:rsid w:val="00F820B2"/>
    <w:rsid w:val="00F834CB"/>
    <w:rsid w:val="00F8424D"/>
    <w:rsid w:val="00F84E62"/>
    <w:rsid w:val="00F850F5"/>
    <w:rsid w:val="00F85186"/>
    <w:rsid w:val="00F851D2"/>
    <w:rsid w:val="00F854B1"/>
    <w:rsid w:val="00F87544"/>
    <w:rsid w:val="00F87987"/>
    <w:rsid w:val="00F90D0E"/>
    <w:rsid w:val="00F91A79"/>
    <w:rsid w:val="00F923D3"/>
    <w:rsid w:val="00F92F51"/>
    <w:rsid w:val="00F949D9"/>
    <w:rsid w:val="00F9527C"/>
    <w:rsid w:val="00F964E9"/>
    <w:rsid w:val="00F96B72"/>
    <w:rsid w:val="00F97318"/>
    <w:rsid w:val="00FA1117"/>
    <w:rsid w:val="00FA125C"/>
    <w:rsid w:val="00FA2A38"/>
    <w:rsid w:val="00FA32AC"/>
    <w:rsid w:val="00FA4879"/>
    <w:rsid w:val="00FA62DB"/>
    <w:rsid w:val="00FB0157"/>
    <w:rsid w:val="00FB11EB"/>
    <w:rsid w:val="00FB39AD"/>
    <w:rsid w:val="00FB4FCC"/>
    <w:rsid w:val="00FB5136"/>
    <w:rsid w:val="00FB68CE"/>
    <w:rsid w:val="00FB6B0A"/>
    <w:rsid w:val="00FC0B02"/>
    <w:rsid w:val="00FC0EDC"/>
    <w:rsid w:val="00FC0FF8"/>
    <w:rsid w:val="00FC410D"/>
    <w:rsid w:val="00FC4FCF"/>
    <w:rsid w:val="00FC57F5"/>
    <w:rsid w:val="00FC67D2"/>
    <w:rsid w:val="00FD00FE"/>
    <w:rsid w:val="00FD240F"/>
    <w:rsid w:val="00FD2C50"/>
    <w:rsid w:val="00FD3589"/>
    <w:rsid w:val="00FD382E"/>
    <w:rsid w:val="00FD3D07"/>
    <w:rsid w:val="00FE0866"/>
    <w:rsid w:val="00FE1E88"/>
    <w:rsid w:val="00FE2BC3"/>
    <w:rsid w:val="00FE363E"/>
    <w:rsid w:val="00FE3BC3"/>
    <w:rsid w:val="00FE49D7"/>
    <w:rsid w:val="00FE4DA8"/>
    <w:rsid w:val="00FF20CC"/>
    <w:rsid w:val="00FF23BB"/>
    <w:rsid w:val="00FF29A8"/>
    <w:rsid w:val="00FF340B"/>
    <w:rsid w:val="00FF3DA4"/>
    <w:rsid w:val="00FF58AB"/>
    <w:rsid w:val="00FF7134"/>
    <w:rsid w:val="00FF7B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01D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CA"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5AF3"/>
  </w:style>
  <w:style w:type="paragraph" w:styleId="Heading1">
    <w:name w:val="heading 1"/>
    <w:basedOn w:val="Normal"/>
    <w:next w:val="Normal"/>
    <w:link w:val="Heading1Char"/>
    <w:uiPriority w:val="9"/>
    <w:qFormat/>
    <w:rsid w:val="009675AF"/>
    <w:pPr>
      <w:contextualSpacing/>
      <w:jc w:val="left"/>
      <w:outlineLvl w:val="0"/>
    </w:pPr>
    <w:rPr>
      <w:rFonts w:ascii="Arial Bold" w:eastAsia="Times New Roman" w:hAnsi="Arial Bold" w:cs="Times New Roman"/>
      <w:b/>
      <w:bCs/>
      <w:caps/>
      <w:sz w:val="26"/>
      <w:lang w:val="en-US"/>
    </w:rPr>
  </w:style>
  <w:style w:type="paragraph" w:styleId="Heading2">
    <w:name w:val="heading 2"/>
    <w:basedOn w:val="Normal"/>
    <w:next w:val="Normal"/>
    <w:link w:val="Heading2Char"/>
    <w:uiPriority w:val="9"/>
    <w:unhideWhenUsed/>
    <w:qFormat/>
    <w:rsid w:val="00D74CBA"/>
    <w:pPr>
      <w:spacing w:before="240" w:after="240"/>
      <w:outlineLvl w:val="1"/>
    </w:pPr>
    <w:rPr>
      <w:b/>
      <w:lang w:val="en-US"/>
    </w:rPr>
  </w:style>
  <w:style w:type="paragraph" w:styleId="Heading3">
    <w:name w:val="heading 3"/>
    <w:basedOn w:val="Special2"/>
    <w:next w:val="Normal"/>
    <w:link w:val="Heading3Char"/>
    <w:uiPriority w:val="9"/>
    <w:unhideWhenUsed/>
    <w:qFormat/>
    <w:rsid w:val="00CE2444"/>
    <w:pPr>
      <w:outlineLvl w:val="2"/>
    </w:pPr>
  </w:style>
  <w:style w:type="paragraph" w:styleId="Heading4">
    <w:name w:val="heading 4"/>
    <w:basedOn w:val="Special2"/>
    <w:next w:val="Normal"/>
    <w:link w:val="Heading4Char"/>
    <w:uiPriority w:val="9"/>
    <w:unhideWhenUsed/>
    <w:qFormat/>
    <w:rsid w:val="009F5E32"/>
    <w:pPr>
      <w:outlineLvl w:val="3"/>
    </w:p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5AF"/>
    <w:rPr>
      <w:rFonts w:ascii="Arial Bold" w:eastAsia="Times New Roman" w:hAnsi="Arial Bold" w:cs="Times New Roman"/>
      <w:b/>
      <w:bCs/>
      <w:caps/>
      <w:sz w:val="26"/>
      <w:lang w:val="en-US"/>
    </w:rPr>
  </w:style>
  <w:style w:type="character" w:customStyle="1" w:styleId="Heading2Char">
    <w:name w:val="Heading 2 Char"/>
    <w:basedOn w:val="DefaultParagraphFont"/>
    <w:link w:val="Heading2"/>
    <w:uiPriority w:val="9"/>
    <w:rsid w:val="00D74CBA"/>
    <w:rPr>
      <w:b/>
      <w:lang w:val="en-US"/>
    </w:rPr>
  </w:style>
  <w:style w:type="character" w:customStyle="1" w:styleId="Heading3Char">
    <w:name w:val="Heading 3 Char"/>
    <w:basedOn w:val="DefaultParagraphFont"/>
    <w:link w:val="Heading3"/>
    <w:uiPriority w:val="9"/>
    <w:rsid w:val="00CE2444"/>
    <w:rPr>
      <w:b/>
    </w:rPr>
  </w:style>
  <w:style w:type="character" w:customStyle="1" w:styleId="Heading4Char">
    <w:name w:val="Heading 4 Char"/>
    <w:basedOn w:val="DefaultParagraphFont"/>
    <w:link w:val="Heading4"/>
    <w:uiPriority w:val="9"/>
    <w:rsid w:val="009F5E32"/>
    <w:rPr>
      <w:b/>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Special2"/>
    <w:next w:val="Normal"/>
    <w:link w:val="SubtitleChar"/>
    <w:uiPriority w:val="11"/>
    <w:qFormat/>
    <w:rsid w:val="009F5E32"/>
  </w:style>
  <w:style w:type="character" w:customStyle="1" w:styleId="SubtitleChar">
    <w:name w:val="Subtitle Char"/>
    <w:basedOn w:val="DefaultParagraphFont"/>
    <w:link w:val="Subtitle"/>
    <w:uiPriority w:val="11"/>
    <w:rsid w:val="009F5E32"/>
    <w:rPr>
      <w:b/>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qFormat/>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FootnoteText">
    <w:name w:val="footnote text"/>
    <w:basedOn w:val="Normal"/>
    <w:link w:val="FootnoteTextChar"/>
    <w:uiPriority w:val="99"/>
    <w:semiHidden/>
    <w:unhideWhenUsed/>
    <w:rsid w:val="001B0EA0"/>
    <w:pPr>
      <w:jc w:val="left"/>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B0EA0"/>
    <w:rPr>
      <w:rFonts w:asciiTheme="minorHAnsi" w:hAnsiTheme="minorHAnsi" w:cstheme="minorBidi"/>
      <w:sz w:val="20"/>
      <w:szCs w:val="20"/>
    </w:rPr>
  </w:style>
  <w:style w:type="character" w:styleId="FootnoteReference">
    <w:name w:val="footnote reference"/>
    <w:uiPriority w:val="99"/>
    <w:semiHidden/>
    <w:unhideWhenUsed/>
    <w:rsid w:val="001B0EA0"/>
    <w:rPr>
      <w:vertAlign w:val="superscript"/>
    </w:rPr>
  </w:style>
  <w:style w:type="paragraph" w:customStyle="1" w:styleId="AParaNumbering">
    <w:name w:val="A. Para Numbering"/>
    <w:basedOn w:val="Normal"/>
    <w:link w:val="AParaNumberingChar"/>
    <w:autoRedefine/>
    <w:qFormat/>
    <w:rsid w:val="001B0EA0"/>
    <w:pPr>
      <w:numPr>
        <w:ilvl w:val="1"/>
        <w:numId w:val="2"/>
      </w:numPr>
      <w:tabs>
        <w:tab w:val="clear" w:pos="786"/>
      </w:tabs>
      <w:spacing w:before="120" w:after="240" w:line="480" w:lineRule="auto"/>
      <w:ind w:left="0"/>
    </w:pPr>
    <w:rPr>
      <w:rFonts w:eastAsia="Times New Roman"/>
    </w:rPr>
  </w:style>
  <w:style w:type="character" w:customStyle="1" w:styleId="AParaNumberingChar">
    <w:name w:val="A. Para Numbering Char"/>
    <w:basedOn w:val="DefaultParagraphFont"/>
    <w:link w:val="AParaNumbering"/>
    <w:rsid w:val="001B0EA0"/>
    <w:rPr>
      <w:rFonts w:eastAsia="Times New Roman"/>
    </w:rPr>
  </w:style>
  <w:style w:type="paragraph" w:customStyle="1" w:styleId="Para">
    <w:name w:val="Para"/>
    <w:basedOn w:val="Normal"/>
    <w:rsid w:val="00470B1E"/>
    <w:pPr>
      <w:tabs>
        <w:tab w:val="left" w:pos="1440"/>
      </w:tabs>
      <w:spacing w:line="360" w:lineRule="atLeast"/>
    </w:pPr>
    <w:rPr>
      <w:rFonts w:ascii="Palatino" w:eastAsia="Times New Roman" w:hAnsi="Palatino" w:cs="Times New Roman"/>
      <w:szCs w:val="20"/>
      <w:lang w:val="en-US"/>
    </w:rPr>
  </w:style>
  <w:style w:type="paragraph" w:styleId="PlainText">
    <w:name w:val="Plain Text"/>
    <w:basedOn w:val="Normal"/>
    <w:link w:val="PlainTextChar"/>
    <w:uiPriority w:val="99"/>
    <w:unhideWhenUsed/>
    <w:rsid w:val="00451E64"/>
    <w:pPr>
      <w:jc w:val="left"/>
    </w:pPr>
    <w:rPr>
      <w:rFonts w:ascii="Consolas" w:hAnsi="Consolas" w:cstheme="minorBidi"/>
      <w:sz w:val="21"/>
      <w:szCs w:val="21"/>
      <w:lang w:val="en-US"/>
    </w:rPr>
  </w:style>
  <w:style w:type="character" w:customStyle="1" w:styleId="PlainTextChar">
    <w:name w:val="Plain Text Char"/>
    <w:basedOn w:val="DefaultParagraphFont"/>
    <w:link w:val="PlainText"/>
    <w:uiPriority w:val="99"/>
    <w:rsid w:val="00451E64"/>
    <w:rPr>
      <w:rFonts w:ascii="Consolas" w:hAnsi="Consolas" w:cstheme="minorBidi"/>
      <w:sz w:val="21"/>
      <w:szCs w:val="21"/>
      <w:lang w:val="en-US"/>
    </w:rPr>
  </w:style>
  <w:style w:type="paragraph" w:customStyle="1" w:styleId="Style2">
    <w:name w:val="Style2"/>
    <w:basedOn w:val="Normal"/>
    <w:link w:val="Style2Char"/>
    <w:qFormat/>
    <w:rsid w:val="00863326"/>
    <w:pPr>
      <w:spacing w:after="160" w:line="259" w:lineRule="auto"/>
      <w:jc w:val="left"/>
    </w:pPr>
    <w:rPr>
      <w:rFonts w:ascii="Comic Sans MS" w:hAnsi="Comic Sans MS" w:cstheme="minorBidi"/>
      <w:b/>
      <w:sz w:val="28"/>
      <w:szCs w:val="22"/>
    </w:rPr>
  </w:style>
  <w:style w:type="character" w:customStyle="1" w:styleId="Style2Char">
    <w:name w:val="Style2 Char"/>
    <w:basedOn w:val="DefaultParagraphFont"/>
    <w:link w:val="Style2"/>
    <w:rsid w:val="00863326"/>
    <w:rPr>
      <w:rFonts w:ascii="Comic Sans MS" w:hAnsi="Comic Sans MS" w:cstheme="minorBidi"/>
      <w:b/>
      <w:sz w:val="28"/>
      <w:szCs w:val="22"/>
    </w:rPr>
  </w:style>
  <w:style w:type="character" w:styleId="CommentReference">
    <w:name w:val="annotation reference"/>
    <w:basedOn w:val="DefaultParagraphFont"/>
    <w:uiPriority w:val="99"/>
    <w:semiHidden/>
    <w:unhideWhenUsed/>
    <w:rsid w:val="00863326"/>
    <w:rPr>
      <w:sz w:val="16"/>
      <w:szCs w:val="16"/>
    </w:rPr>
  </w:style>
  <w:style w:type="paragraph" w:styleId="CommentText">
    <w:name w:val="annotation text"/>
    <w:basedOn w:val="Normal"/>
    <w:link w:val="CommentTextChar"/>
    <w:uiPriority w:val="99"/>
    <w:unhideWhenUsed/>
    <w:rsid w:val="00863326"/>
    <w:pPr>
      <w:spacing w:after="160"/>
      <w:jc w:val="left"/>
    </w:pPr>
    <w:rPr>
      <w:rFonts w:ascii="Comic Sans MS" w:hAnsi="Comic Sans MS" w:cstheme="minorBidi"/>
      <w:sz w:val="20"/>
      <w:szCs w:val="20"/>
    </w:rPr>
  </w:style>
  <w:style w:type="character" w:customStyle="1" w:styleId="CommentTextChar">
    <w:name w:val="Comment Text Char"/>
    <w:basedOn w:val="DefaultParagraphFont"/>
    <w:link w:val="CommentText"/>
    <w:uiPriority w:val="99"/>
    <w:rsid w:val="00863326"/>
    <w:rPr>
      <w:rFonts w:ascii="Comic Sans MS" w:hAnsi="Comic Sans MS" w:cstheme="minorBidi"/>
      <w:sz w:val="20"/>
      <w:szCs w:val="20"/>
    </w:rPr>
  </w:style>
  <w:style w:type="character" w:styleId="Hyperlink">
    <w:name w:val="Hyperlink"/>
    <w:basedOn w:val="DefaultParagraphFont"/>
    <w:uiPriority w:val="99"/>
    <w:unhideWhenUsed/>
    <w:rsid w:val="00863326"/>
    <w:rPr>
      <w:color w:val="5F5F5F" w:themeColor="hyperlink"/>
      <w:u w:val="single"/>
    </w:rPr>
  </w:style>
  <w:style w:type="paragraph" w:styleId="CommentSubject">
    <w:name w:val="annotation subject"/>
    <w:basedOn w:val="CommentText"/>
    <w:next w:val="CommentText"/>
    <w:link w:val="CommentSubjectChar"/>
    <w:uiPriority w:val="99"/>
    <w:semiHidden/>
    <w:unhideWhenUsed/>
    <w:rsid w:val="00892027"/>
    <w:pPr>
      <w:spacing w:after="0"/>
      <w:jc w:val="both"/>
    </w:pPr>
    <w:rPr>
      <w:rFonts w:ascii="Arial" w:hAnsi="Arial" w:cs="Arial"/>
      <w:b/>
      <w:bCs/>
    </w:rPr>
  </w:style>
  <w:style w:type="character" w:customStyle="1" w:styleId="CommentSubjectChar">
    <w:name w:val="Comment Subject Char"/>
    <w:basedOn w:val="CommentTextChar"/>
    <w:link w:val="CommentSubject"/>
    <w:uiPriority w:val="99"/>
    <w:semiHidden/>
    <w:rsid w:val="00892027"/>
    <w:rPr>
      <w:rFonts w:ascii="Comic Sans MS" w:hAnsi="Comic Sans MS" w:cstheme="minorBidi"/>
      <w:b/>
      <w:bCs/>
      <w:sz w:val="20"/>
      <w:szCs w:val="20"/>
    </w:rPr>
  </w:style>
  <w:style w:type="paragraph" w:customStyle="1" w:styleId="Style1">
    <w:name w:val="Style1"/>
    <w:basedOn w:val="ListParagraph"/>
    <w:link w:val="Style1Char"/>
    <w:qFormat/>
    <w:rsid w:val="00BE6325"/>
    <w:pPr>
      <w:numPr>
        <w:numId w:val="14"/>
      </w:numPr>
      <w:spacing w:before="480" w:line="276" w:lineRule="auto"/>
      <w:ind w:left="567" w:hanging="567"/>
      <w:jc w:val="left"/>
      <w:outlineLvl w:val="0"/>
    </w:pPr>
    <w:rPr>
      <w:rFonts w:asciiTheme="majorHAnsi" w:eastAsia="Times New Roman" w:hAnsiTheme="majorHAnsi" w:cstheme="majorHAnsi"/>
      <w:b/>
      <w:bCs/>
      <w:sz w:val="28"/>
      <w:szCs w:val="28"/>
      <w:lang w:val="en-US"/>
    </w:rPr>
  </w:style>
  <w:style w:type="character" w:customStyle="1" w:styleId="Style1Char">
    <w:name w:val="Style1 Char"/>
    <w:basedOn w:val="DefaultParagraphFont"/>
    <w:link w:val="Style1"/>
    <w:rsid w:val="00BE6325"/>
    <w:rPr>
      <w:rFonts w:asciiTheme="majorHAnsi" w:eastAsia="Times New Roman" w:hAnsiTheme="majorHAnsi" w:cstheme="majorHAnsi"/>
      <w:b/>
      <w:bCs/>
      <w:sz w:val="28"/>
      <w:szCs w:val="28"/>
      <w:lang w:val="en-US"/>
    </w:rPr>
  </w:style>
  <w:style w:type="paragraph" w:customStyle="1" w:styleId="Heading-style3">
    <w:name w:val="Heading - style 3"/>
    <w:basedOn w:val="Normal"/>
    <w:link w:val="Heading-style3Char"/>
    <w:qFormat/>
    <w:rsid w:val="000E7DCB"/>
    <w:rPr>
      <w:b/>
    </w:rPr>
  </w:style>
  <w:style w:type="character" w:customStyle="1" w:styleId="Heading-style3Char">
    <w:name w:val="Heading - style 3 Char"/>
    <w:basedOn w:val="DefaultParagraphFont"/>
    <w:link w:val="Heading-style3"/>
    <w:rsid w:val="000E7DCB"/>
    <w:rPr>
      <w:b/>
    </w:rPr>
  </w:style>
  <w:style w:type="paragraph" w:customStyle="1" w:styleId="Style3">
    <w:name w:val="Style3"/>
    <w:basedOn w:val="Style2"/>
    <w:link w:val="Style3Char"/>
    <w:qFormat/>
    <w:rsid w:val="000E7DCB"/>
    <w:pPr>
      <w:spacing w:after="0" w:line="240" w:lineRule="auto"/>
      <w:jc w:val="both"/>
    </w:pPr>
    <w:rPr>
      <w:sz w:val="32"/>
      <w:lang w:val="en-US"/>
    </w:rPr>
  </w:style>
  <w:style w:type="paragraph" w:styleId="EndnoteText">
    <w:name w:val="endnote text"/>
    <w:basedOn w:val="Normal"/>
    <w:link w:val="EndnoteTextChar"/>
    <w:uiPriority w:val="99"/>
    <w:semiHidden/>
    <w:unhideWhenUsed/>
    <w:rsid w:val="000E7DCB"/>
    <w:rPr>
      <w:sz w:val="20"/>
      <w:szCs w:val="20"/>
    </w:rPr>
  </w:style>
  <w:style w:type="character" w:customStyle="1" w:styleId="EndnoteTextChar">
    <w:name w:val="Endnote Text Char"/>
    <w:basedOn w:val="DefaultParagraphFont"/>
    <w:link w:val="EndnoteText"/>
    <w:uiPriority w:val="99"/>
    <w:semiHidden/>
    <w:rsid w:val="000E7DCB"/>
    <w:rPr>
      <w:sz w:val="20"/>
      <w:szCs w:val="20"/>
    </w:rPr>
  </w:style>
  <w:style w:type="character" w:customStyle="1" w:styleId="Style3Char">
    <w:name w:val="Style3 Char"/>
    <w:basedOn w:val="Style2Char"/>
    <w:link w:val="Style3"/>
    <w:rsid w:val="000E7DCB"/>
    <w:rPr>
      <w:rFonts w:ascii="Comic Sans MS" w:hAnsi="Comic Sans MS" w:cstheme="minorBidi"/>
      <w:b/>
      <w:sz w:val="32"/>
      <w:szCs w:val="22"/>
      <w:lang w:val="en-US"/>
    </w:rPr>
  </w:style>
  <w:style w:type="character" w:styleId="EndnoteReference">
    <w:name w:val="endnote reference"/>
    <w:basedOn w:val="DefaultParagraphFont"/>
    <w:uiPriority w:val="99"/>
    <w:semiHidden/>
    <w:unhideWhenUsed/>
    <w:rsid w:val="000E7DCB"/>
    <w:rPr>
      <w:vertAlign w:val="superscript"/>
    </w:rPr>
  </w:style>
  <w:style w:type="character" w:customStyle="1" w:styleId="ssbf1">
    <w:name w:val="ss_bf1"/>
    <w:basedOn w:val="DefaultParagraphFont"/>
    <w:rsid w:val="000E7DCB"/>
    <w:rPr>
      <w:b/>
      <w:bCs/>
      <w:color w:val="373739"/>
    </w:rPr>
  </w:style>
  <w:style w:type="paragraph" w:customStyle="1" w:styleId="MAINPARAGRAPH">
    <w:name w:val="MAIN PARAGRAPH"/>
    <w:qFormat/>
    <w:rsid w:val="00A406DA"/>
    <w:pPr>
      <w:numPr>
        <w:numId w:val="16"/>
      </w:numPr>
      <w:spacing w:before="240"/>
    </w:pPr>
    <w:rPr>
      <w:rFonts w:eastAsiaTheme="majorEastAsia"/>
      <w:bCs/>
      <w:szCs w:val="26"/>
      <w:lang w:val="en-US"/>
    </w:rPr>
  </w:style>
  <w:style w:type="paragraph" w:customStyle="1" w:styleId="Para1">
    <w:name w:val="Para (1)"/>
    <w:basedOn w:val="Heading1"/>
    <w:qFormat/>
    <w:rsid w:val="00A406DA"/>
    <w:pPr>
      <w:numPr>
        <w:ilvl w:val="1"/>
        <w:numId w:val="16"/>
      </w:numPr>
      <w:spacing w:before="240"/>
      <w:contextualSpacing w:val="0"/>
      <w:outlineLvl w:val="9"/>
    </w:pPr>
    <w:rPr>
      <w:rFonts w:ascii="Arial" w:hAnsi="Arial" w:cs="Arial"/>
      <w:b w:val="0"/>
      <w:sz w:val="24"/>
      <w:szCs w:val="26"/>
    </w:rPr>
  </w:style>
  <w:style w:type="paragraph" w:customStyle="1" w:styleId="Paraa">
    <w:name w:val="Para (a)"/>
    <w:basedOn w:val="Heading1"/>
    <w:qFormat/>
    <w:rsid w:val="00A406DA"/>
    <w:pPr>
      <w:numPr>
        <w:ilvl w:val="2"/>
        <w:numId w:val="16"/>
      </w:numPr>
      <w:spacing w:before="240"/>
      <w:contextualSpacing w:val="0"/>
      <w:outlineLvl w:val="9"/>
    </w:pPr>
    <w:rPr>
      <w:rFonts w:ascii="Arial" w:hAnsi="Arial" w:cs="Arial"/>
      <w:b w:val="0"/>
      <w:sz w:val="24"/>
      <w:szCs w:val="26"/>
    </w:rPr>
  </w:style>
  <w:style w:type="paragraph" w:customStyle="1" w:styleId="Parai">
    <w:name w:val="Para (i)"/>
    <w:basedOn w:val="Heading1"/>
    <w:qFormat/>
    <w:rsid w:val="00A406DA"/>
    <w:pPr>
      <w:numPr>
        <w:ilvl w:val="3"/>
        <w:numId w:val="16"/>
      </w:numPr>
      <w:spacing w:before="240"/>
      <w:contextualSpacing w:val="0"/>
      <w:outlineLvl w:val="9"/>
    </w:pPr>
    <w:rPr>
      <w:rFonts w:ascii="Arial" w:hAnsi="Arial" w:cs="Arial"/>
      <w:b w:val="0"/>
      <w:sz w:val="24"/>
      <w:szCs w:val="26"/>
    </w:rPr>
  </w:style>
  <w:style w:type="paragraph" w:customStyle="1" w:styleId="Para10">
    <w:name w:val="Para 1"/>
    <w:basedOn w:val="Heading1"/>
    <w:qFormat/>
    <w:rsid w:val="00A406DA"/>
    <w:pPr>
      <w:numPr>
        <w:ilvl w:val="4"/>
        <w:numId w:val="16"/>
      </w:numPr>
      <w:spacing w:before="240"/>
      <w:contextualSpacing w:val="0"/>
      <w:outlineLvl w:val="9"/>
    </w:pPr>
    <w:rPr>
      <w:rFonts w:ascii="Arial" w:hAnsi="Arial" w:cs="Arial"/>
      <w:b w:val="0"/>
      <w:sz w:val="24"/>
      <w:szCs w:val="26"/>
    </w:rPr>
  </w:style>
  <w:style w:type="paragraph" w:customStyle="1" w:styleId="Para1a">
    <w:name w:val="Para 1a"/>
    <w:basedOn w:val="Para10"/>
    <w:qFormat/>
    <w:rsid w:val="00A406DA"/>
    <w:pPr>
      <w:numPr>
        <w:ilvl w:val="5"/>
      </w:numPr>
      <w:tabs>
        <w:tab w:val="clear" w:pos="2160"/>
        <w:tab w:val="num" w:pos="360"/>
      </w:tabs>
    </w:pPr>
  </w:style>
  <w:style w:type="paragraph" w:customStyle="1" w:styleId="Para1i">
    <w:name w:val="Para 1i"/>
    <w:basedOn w:val="Para1a"/>
    <w:qFormat/>
    <w:rsid w:val="00A406DA"/>
    <w:pPr>
      <w:numPr>
        <w:ilvl w:val="6"/>
      </w:numPr>
      <w:tabs>
        <w:tab w:val="clear" w:pos="2880"/>
        <w:tab w:val="num" w:pos="360"/>
      </w:tabs>
    </w:pPr>
  </w:style>
  <w:style w:type="paragraph" w:styleId="TOC1">
    <w:name w:val="toc 1"/>
    <w:basedOn w:val="Normal"/>
    <w:next w:val="Normal"/>
    <w:autoRedefine/>
    <w:uiPriority w:val="39"/>
    <w:unhideWhenUsed/>
    <w:rsid w:val="00231975"/>
    <w:pPr>
      <w:spacing w:after="100"/>
    </w:pPr>
  </w:style>
  <w:style w:type="paragraph" w:styleId="TOC2">
    <w:name w:val="toc 2"/>
    <w:basedOn w:val="Normal"/>
    <w:next w:val="Normal"/>
    <w:autoRedefine/>
    <w:uiPriority w:val="39"/>
    <w:unhideWhenUsed/>
    <w:rsid w:val="00231975"/>
    <w:pPr>
      <w:spacing w:after="100"/>
      <w:ind w:left="240"/>
    </w:pPr>
  </w:style>
  <w:style w:type="paragraph" w:styleId="TOC3">
    <w:name w:val="toc 3"/>
    <w:basedOn w:val="Normal"/>
    <w:next w:val="Normal"/>
    <w:autoRedefine/>
    <w:uiPriority w:val="39"/>
    <w:unhideWhenUsed/>
    <w:rsid w:val="00E254DA"/>
    <w:pPr>
      <w:tabs>
        <w:tab w:val="left" w:pos="709"/>
        <w:tab w:val="right" w:leader="dot" w:pos="9350"/>
      </w:tabs>
      <w:spacing w:after="100"/>
      <w:ind w:left="480" w:hanging="196"/>
    </w:pPr>
  </w:style>
  <w:style w:type="paragraph" w:customStyle="1" w:styleId="Special">
    <w:name w:val="Special"/>
    <w:basedOn w:val="Paraa"/>
    <w:link w:val="SpecialChar"/>
    <w:qFormat/>
    <w:rsid w:val="00C97524"/>
    <w:pPr>
      <w:spacing w:before="100" w:beforeAutospacing="1" w:after="360"/>
      <w:jc w:val="both"/>
    </w:pPr>
  </w:style>
  <w:style w:type="character" w:customStyle="1" w:styleId="SpecialChar">
    <w:name w:val="Special Char"/>
    <w:basedOn w:val="Heading2Char"/>
    <w:link w:val="Special"/>
    <w:rsid w:val="00C97524"/>
    <w:rPr>
      <w:rFonts w:eastAsia="Times New Roman"/>
      <w:b w:val="0"/>
      <w:bCs/>
      <w:caps/>
      <w:szCs w:val="26"/>
      <w:lang w:val="en-US"/>
    </w:rPr>
  </w:style>
  <w:style w:type="paragraph" w:customStyle="1" w:styleId="Special2">
    <w:name w:val="Special 2"/>
    <w:basedOn w:val="Normal"/>
    <w:link w:val="Special2Char"/>
    <w:qFormat/>
    <w:rsid w:val="008E3E10"/>
    <w:pPr>
      <w:numPr>
        <w:numId w:val="21"/>
      </w:numPr>
      <w:spacing w:after="360" w:line="276" w:lineRule="auto"/>
    </w:pPr>
    <w:rPr>
      <w:b/>
    </w:rPr>
  </w:style>
  <w:style w:type="character" w:customStyle="1" w:styleId="Special2Char">
    <w:name w:val="Special 2 Char"/>
    <w:basedOn w:val="DefaultParagraphFont"/>
    <w:link w:val="Special2"/>
    <w:rsid w:val="008E3E10"/>
    <w:rPr>
      <w:b/>
    </w:rPr>
  </w:style>
  <w:style w:type="paragraph" w:styleId="Revision">
    <w:name w:val="Revision"/>
    <w:hidden/>
    <w:uiPriority w:val="99"/>
    <w:semiHidden/>
    <w:rsid w:val="0048007E"/>
    <w:pPr>
      <w:jc w:val="left"/>
    </w:pPr>
  </w:style>
  <w:style w:type="character" w:styleId="FollowedHyperlink">
    <w:name w:val="FollowedHyperlink"/>
    <w:basedOn w:val="DefaultParagraphFont"/>
    <w:uiPriority w:val="99"/>
    <w:semiHidden/>
    <w:unhideWhenUsed/>
    <w:rsid w:val="00536260"/>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09543">
      <w:bodyDiv w:val="1"/>
      <w:marLeft w:val="0"/>
      <w:marRight w:val="0"/>
      <w:marTop w:val="0"/>
      <w:marBottom w:val="0"/>
      <w:divBdr>
        <w:top w:val="none" w:sz="0" w:space="0" w:color="auto"/>
        <w:left w:val="none" w:sz="0" w:space="0" w:color="auto"/>
        <w:bottom w:val="none" w:sz="0" w:space="0" w:color="auto"/>
        <w:right w:val="none" w:sz="0" w:space="0" w:color="auto"/>
      </w:divBdr>
    </w:div>
    <w:div w:id="503982938">
      <w:bodyDiv w:val="1"/>
      <w:marLeft w:val="0"/>
      <w:marRight w:val="0"/>
      <w:marTop w:val="0"/>
      <w:marBottom w:val="0"/>
      <w:divBdr>
        <w:top w:val="none" w:sz="0" w:space="0" w:color="auto"/>
        <w:left w:val="none" w:sz="0" w:space="0" w:color="auto"/>
        <w:bottom w:val="none" w:sz="0" w:space="0" w:color="auto"/>
        <w:right w:val="none" w:sz="0" w:space="0" w:color="auto"/>
      </w:divBdr>
    </w:div>
    <w:div w:id="1024867207">
      <w:bodyDiv w:val="1"/>
      <w:marLeft w:val="0"/>
      <w:marRight w:val="0"/>
      <w:marTop w:val="0"/>
      <w:marBottom w:val="0"/>
      <w:divBdr>
        <w:top w:val="none" w:sz="0" w:space="0" w:color="auto"/>
        <w:left w:val="none" w:sz="0" w:space="0" w:color="auto"/>
        <w:bottom w:val="none" w:sz="0" w:space="0" w:color="auto"/>
        <w:right w:val="none" w:sz="0" w:space="0" w:color="auto"/>
      </w:divBdr>
    </w:div>
    <w:div w:id="19243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sbs.ca/news/canada/british-columbia/chief-justice-beverly-mclachlin-speaks-out-about-delys-1.4139750"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C81C0-CDDB-4403-A0E9-5B9447845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23699</Words>
  <Characters>135086</Characters>
  <Application>Microsoft Office Word</Application>
  <DocSecurity>0</DocSecurity>
  <Lines>1125</Lines>
  <Paragraphs>316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2020-06-15T15:00:00Z</dcterms:created>
  <dcterms:modified xsi:type="dcterms:W3CDTF">2020-06-15T15:00:00Z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Marilyn.King@ontario.ca</vt:lpwstr>
  </property>
  <property fmtid="{D5CDD505-2E9C-101B-9397-08002B2CF9AE}" pid="5" name="MSIP_Label_034a106e-6316-442c-ad35-738afd673d2b_SetDate">
    <vt:lpwstr>2020-05-07T18:51:57.9774757Z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235c0c84-e400-4058-933f-78c7bf917dd4</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