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97746" w14:textId="2AC19DFF" w:rsidR="00DB2030" w:rsidRPr="00E346DE" w:rsidRDefault="006F43EA" w:rsidP="00A84AD4">
      <w:pPr>
        <w:spacing w:after="0" w:line="240" w:lineRule="auto"/>
        <w:jc w:val="center"/>
        <w:rPr>
          <w:rFonts w:eastAsia="Times New Roman" w:cstheme="minorHAnsi"/>
          <w:b/>
          <w:sz w:val="44"/>
          <w:szCs w:val="44"/>
          <w:lang w:eastAsia="en-CA"/>
        </w:rPr>
      </w:pPr>
      <w:bookmarkStart w:id="0" w:name="_GoBack"/>
      <w:bookmarkEnd w:id="0"/>
      <w:r w:rsidRPr="00E346DE">
        <w:rPr>
          <w:rFonts w:eastAsia="Times New Roman" w:cstheme="minorHAnsi"/>
          <w:b/>
          <w:sz w:val="44"/>
          <w:szCs w:val="44"/>
          <w:lang w:eastAsia="en-CA"/>
        </w:rPr>
        <w:t>Justices of the Peace Review Council</w:t>
      </w:r>
    </w:p>
    <w:p w14:paraId="60D70E76" w14:textId="77777777" w:rsidR="00DB2030" w:rsidRPr="00E346DE" w:rsidRDefault="00DB2030" w:rsidP="00A84AD4">
      <w:pPr>
        <w:spacing w:after="0" w:line="240" w:lineRule="auto"/>
        <w:jc w:val="center"/>
        <w:rPr>
          <w:rFonts w:eastAsia="Times New Roman" w:cstheme="minorHAnsi"/>
          <w:b/>
          <w:sz w:val="44"/>
          <w:szCs w:val="44"/>
          <w:lang w:eastAsia="en-CA"/>
        </w:rPr>
      </w:pPr>
    </w:p>
    <w:p w14:paraId="32417C4A" w14:textId="4B225138" w:rsidR="00DB2030" w:rsidRPr="00E346DE" w:rsidRDefault="00DB2030" w:rsidP="00A84AD4">
      <w:pPr>
        <w:spacing w:after="0" w:line="240" w:lineRule="auto"/>
        <w:jc w:val="center"/>
        <w:rPr>
          <w:rFonts w:ascii="Times New Roman" w:eastAsia="Times New Roman" w:hAnsi="Times New Roman" w:cs="Times New Roman"/>
          <w:szCs w:val="24"/>
          <w:lang w:eastAsia="en-CA"/>
        </w:rPr>
      </w:pPr>
    </w:p>
    <w:p w14:paraId="18E91512" w14:textId="00896703" w:rsidR="006F43EA" w:rsidRPr="00E346DE" w:rsidRDefault="006F43EA" w:rsidP="00A84AD4">
      <w:pPr>
        <w:spacing w:after="0" w:line="240" w:lineRule="auto"/>
        <w:jc w:val="center"/>
        <w:rPr>
          <w:rFonts w:eastAsia="Times New Roman" w:cstheme="minorHAnsi"/>
          <w:b/>
          <w:sz w:val="44"/>
          <w:szCs w:val="44"/>
          <w:lang w:eastAsia="en-CA"/>
        </w:rPr>
      </w:pPr>
      <w:r w:rsidRPr="00E346DE">
        <w:rPr>
          <w:rFonts w:eastAsia="Times New Roman" w:cstheme="minorHAnsi"/>
          <w:b/>
          <w:sz w:val="44"/>
          <w:szCs w:val="44"/>
          <w:lang w:eastAsia="en-CA"/>
        </w:rPr>
        <w:br w:type="textWrapping" w:clear="all"/>
      </w:r>
      <w:r w:rsidRPr="00E346DE">
        <w:rPr>
          <w:rFonts w:eastAsia="Times New Roman" w:cstheme="minorHAnsi"/>
          <w:b/>
          <w:sz w:val="32"/>
          <w:szCs w:val="32"/>
          <w:lang w:eastAsia="en-CA"/>
        </w:rPr>
        <w:t xml:space="preserve">IN THE MATTER OF A HEARING UNDER SECTION 11.1 OF THE </w:t>
      </w:r>
      <w:r w:rsidRPr="00E346DE">
        <w:rPr>
          <w:rFonts w:eastAsia="Times New Roman" w:cstheme="minorHAnsi"/>
          <w:b/>
          <w:i/>
          <w:sz w:val="32"/>
          <w:szCs w:val="32"/>
          <w:lang w:eastAsia="en-CA"/>
        </w:rPr>
        <w:t>JUSTICES OF THE PEACE ACT</w:t>
      </w:r>
      <w:r w:rsidRPr="00E346DE">
        <w:rPr>
          <w:rFonts w:eastAsia="Times New Roman" w:cstheme="minorHAnsi"/>
          <w:b/>
          <w:sz w:val="32"/>
          <w:szCs w:val="32"/>
          <w:lang w:eastAsia="en-CA"/>
        </w:rPr>
        <w:t xml:space="preserve">, R.S.O. 1990, c. J.4, </w:t>
      </w:r>
      <w:r w:rsidRPr="00E346DE">
        <w:rPr>
          <w:rFonts w:eastAsia="Times New Roman" w:cstheme="minorHAnsi"/>
          <w:b/>
          <w:caps/>
          <w:sz w:val="32"/>
          <w:szCs w:val="32"/>
          <w:lang w:eastAsia="en-CA"/>
        </w:rPr>
        <w:t>as amended</w:t>
      </w:r>
      <w:r w:rsidRPr="00E346DE">
        <w:rPr>
          <w:rFonts w:eastAsia="Times New Roman" w:cstheme="minorHAnsi"/>
          <w:b/>
          <w:sz w:val="32"/>
          <w:szCs w:val="32"/>
          <w:lang w:eastAsia="en-CA"/>
        </w:rPr>
        <w:t>,</w:t>
      </w:r>
    </w:p>
    <w:p w14:paraId="40DA0105" w14:textId="77777777" w:rsidR="006123A9" w:rsidRPr="00E346DE" w:rsidRDefault="006123A9" w:rsidP="006F43EA">
      <w:pPr>
        <w:spacing w:after="0" w:line="240" w:lineRule="auto"/>
        <w:jc w:val="center"/>
        <w:rPr>
          <w:rFonts w:eastAsia="Times New Roman" w:cstheme="minorHAnsi"/>
          <w:b/>
          <w:sz w:val="32"/>
          <w:szCs w:val="32"/>
          <w:lang w:eastAsia="en-CA"/>
        </w:rPr>
      </w:pPr>
    </w:p>
    <w:p w14:paraId="0666007A" w14:textId="77777777" w:rsidR="006F43EA" w:rsidRPr="00E346DE" w:rsidRDefault="006F43EA" w:rsidP="00A84AD4">
      <w:pPr>
        <w:spacing w:before="600" w:after="0" w:line="240" w:lineRule="auto"/>
        <w:jc w:val="center"/>
        <w:rPr>
          <w:rFonts w:eastAsia="Times New Roman" w:cstheme="minorHAnsi"/>
          <w:b/>
          <w:sz w:val="32"/>
          <w:szCs w:val="32"/>
          <w:lang w:eastAsia="en-CA"/>
        </w:rPr>
      </w:pPr>
      <w:r w:rsidRPr="00E346DE">
        <w:rPr>
          <w:rFonts w:eastAsia="Times New Roman" w:cstheme="minorHAnsi"/>
          <w:b/>
          <w:sz w:val="32"/>
          <w:szCs w:val="32"/>
          <w:lang w:eastAsia="en-CA"/>
        </w:rPr>
        <w:t xml:space="preserve">Concerning a Complaint about the Conduct of </w:t>
      </w:r>
    </w:p>
    <w:p w14:paraId="122CEBC4" w14:textId="77777777" w:rsidR="006F43EA" w:rsidRPr="00E346DE" w:rsidRDefault="006F43EA" w:rsidP="006F43EA">
      <w:pPr>
        <w:spacing w:after="840" w:line="240" w:lineRule="auto"/>
        <w:jc w:val="center"/>
        <w:rPr>
          <w:rFonts w:eastAsia="Times New Roman" w:cstheme="minorHAnsi"/>
          <w:b/>
          <w:sz w:val="32"/>
          <w:szCs w:val="32"/>
          <w:lang w:eastAsia="en-CA"/>
        </w:rPr>
      </w:pPr>
      <w:r w:rsidRPr="00E346DE">
        <w:rPr>
          <w:rFonts w:eastAsia="Times New Roman" w:cstheme="minorHAnsi"/>
          <w:b/>
          <w:sz w:val="32"/>
          <w:szCs w:val="32"/>
          <w:lang w:eastAsia="en-CA"/>
        </w:rPr>
        <w:t xml:space="preserve">Justice of the Peace </w:t>
      </w:r>
      <w:r w:rsidR="00A84AD4" w:rsidRPr="00E346DE">
        <w:rPr>
          <w:rFonts w:eastAsia="Times New Roman" w:cstheme="minorHAnsi"/>
          <w:b/>
          <w:sz w:val="32"/>
          <w:szCs w:val="32"/>
          <w:lang w:eastAsia="en-CA"/>
        </w:rPr>
        <w:t>Claire Winchester</w:t>
      </w:r>
      <w:r w:rsidRPr="00E346DE">
        <w:rPr>
          <w:rFonts w:eastAsia="Times New Roman" w:cstheme="minorHAnsi"/>
          <w:b/>
          <w:sz w:val="32"/>
          <w:szCs w:val="32"/>
          <w:lang w:eastAsia="en-CA"/>
        </w:rPr>
        <w:t xml:space="preserve"> </w:t>
      </w:r>
    </w:p>
    <w:p w14:paraId="605D6E75" w14:textId="6BDF73EB" w:rsidR="005F158E" w:rsidRPr="00E346DE" w:rsidRDefault="009809CD" w:rsidP="005F158E">
      <w:pPr>
        <w:spacing w:before="240" w:after="240" w:line="240" w:lineRule="auto"/>
        <w:ind w:right="-448" w:hanging="357"/>
        <w:rPr>
          <w:rFonts w:eastAsia="Times New Roman" w:cstheme="minorHAnsi"/>
          <w:szCs w:val="24"/>
          <w:lang w:eastAsia="en-CA"/>
        </w:rPr>
      </w:pPr>
      <w:r w:rsidRPr="00E346DE">
        <w:rPr>
          <w:rFonts w:eastAsia="Times New Roman" w:cstheme="minorHAnsi"/>
          <w:b/>
          <w:sz w:val="26"/>
          <w:szCs w:val="26"/>
          <w:lang w:eastAsia="en-CA"/>
        </w:rPr>
        <w:t xml:space="preserve">Application </w:t>
      </w:r>
      <w:r w:rsidR="006F43EA" w:rsidRPr="00E346DE">
        <w:rPr>
          <w:rFonts w:eastAsia="Times New Roman" w:cstheme="minorHAnsi"/>
          <w:b/>
          <w:sz w:val="26"/>
          <w:szCs w:val="26"/>
          <w:lang w:eastAsia="en-CA"/>
        </w:rPr>
        <w:t>Before</w:t>
      </w:r>
      <w:r w:rsidR="006F43EA" w:rsidRPr="00E346DE">
        <w:rPr>
          <w:rFonts w:eastAsia="Times New Roman" w:cstheme="minorHAnsi"/>
          <w:sz w:val="26"/>
          <w:szCs w:val="26"/>
          <w:lang w:eastAsia="en-CA"/>
        </w:rPr>
        <w:t>:</w:t>
      </w:r>
      <w:r w:rsidR="006F43EA" w:rsidRPr="00E346DE">
        <w:rPr>
          <w:rFonts w:eastAsia="Times New Roman" w:cstheme="minorHAnsi"/>
          <w:sz w:val="26"/>
          <w:szCs w:val="26"/>
          <w:lang w:eastAsia="en-CA"/>
        </w:rPr>
        <w:tab/>
      </w:r>
      <w:r w:rsidR="005F158E" w:rsidRPr="00E346DE">
        <w:rPr>
          <w:rFonts w:eastAsia="Times New Roman" w:cstheme="minorHAnsi"/>
          <w:sz w:val="26"/>
          <w:szCs w:val="26"/>
          <w:lang w:eastAsia="en-CA"/>
        </w:rPr>
        <w:tab/>
      </w:r>
      <w:r w:rsidR="005F158E" w:rsidRPr="00E346DE">
        <w:rPr>
          <w:rFonts w:eastAsia="Times New Roman" w:cstheme="minorHAnsi"/>
          <w:szCs w:val="24"/>
          <w:lang w:eastAsia="en-CA"/>
        </w:rPr>
        <w:t xml:space="preserve">The Honourable Justice </w:t>
      </w:r>
      <w:r w:rsidR="00A84AD4" w:rsidRPr="00E346DE">
        <w:rPr>
          <w:rFonts w:eastAsia="Times New Roman" w:cstheme="minorHAnsi"/>
          <w:szCs w:val="24"/>
          <w:lang w:eastAsia="en-CA"/>
        </w:rPr>
        <w:t>Martin Lambert</w:t>
      </w:r>
      <w:r w:rsidR="005F158E" w:rsidRPr="00E346DE">
        <w:rPr>
          <w:rFonts w:eastAsia="Times New Roman" w:cstheme="minorHAnsi"/>
          <w:szCs w:val="24"/>
          <w:lang w:eastAsia="en-CA"/>
        </w:rPr>
        <w:t>, Chair</w:t>
      </w:r>
    </w:p>
    <w:p w14:paraId="7B635771" w14:textId="77777777" w:rsidR="005F158E" w:rsidRPr="00E346DE" w:rsidRDefault="005F158E" w:rsidP="009809CD">
      <w:pPr>
        <w:spacing w:before="240" w:after="240" w:line="240" w:lineRule="auto"/>
        <w:ind w:left="2160" w:right="-448" w:firstLine="720"/>
        <w:rPr>
          <w:rFonts w:eastAsia="Times New Roman" w:cstheme="minorHAnsi"/>
          <w:szCs w:val="24"/>
          <w:lang w:eastAsia="en-CA"/>
        </w:rPr>
      </w:pPr>
      <w:r w:rsidRPr="00E346DE">
        <w:rPr>
          <w:rFonts w:eastAsia="Times New Roman" w:cstheme="minorHAnsi"/>
          <w:szCs w:val="24"/>
          <w:lang w:eastAsia="en-CA"/>
        </w:rPr>
        <w:t>H</w:t>
      </w:r>
      <w:r w:rsidR="00A84AD4" w:rsidRPr="00E346DE">
        <w:rPr>
          <w:rFonts w:eastAsia="Times New Roman" w:cstheme="minorHAnsi"/>
          <w:szCs w:val="24"/>
          <w:lang w:eastAsia="en-CA"/>
        </w:rPr>
        <w:t>er</w:t>
      </w:r>
      <w:r w:rsidRPr="00E346DE">
        <w:rPr>
          <w:rFonts w:eastAsia="Times New Roman" w:cstheme="minorHAnsi"/>
          <w:szCs w:val="24"/>
          <w:lang w:eastAsia="en-CA"/>
        </w:rPr>
        <w:t xml:space="preserve"> Worship </w:t>
      </w:r>
      <w:r w:rsidR="00A84AD4" w:rsidRPr="00E346DE">
        <w:rPr>
          <w:rFonts w:eastAsia="Times New Roman" w:cstheme="minorHAnsi"/>
          <w:szCs w:val="24"/>
          <w:lang w:eastAsia="en-CA"/>
        </w:rPr>
        <w:t>Kristine Diaz</w:t>
      </w:r>
      <w:r w:rsidRPr="00E346DE">
        <w:rPr>
          <w:rFonts w:eastAsia="Times New Roman" w:cstheme="minorHAnsi"/>
          <w:szCs w:val="24"/>
          <w:lang w:eastAsia="en-CA"/>
        </w:rPr>
        <w:t>, Justice of the Peace Member</w:t>
      </w:r>
    </w:p>
    <w:p w14:paraId="2D1E7B32" w14:textId="766EEE63" w:rsidR="005F158E" w:rsidRPr="00E346DE" w:rsidRDefault="009809CD" w:rsidP="009809CD">
      <w:pPr>
        <w:spacing w:before="240" w:after="240" w:line="240" w:lineRule="auto"/>
        <w:ind w:left="2160" w:right="-448" w:firstLine="720"/>
        <w:rPr>
          <w:rFonts w:eastAsia="Times New Roman" w:cstheme="minorHAnsi"/>
          <w:szCs w:val="24"/>
          <w:lang w:eastAsia="en-CA"/>
        </w:rPr>
      </w:pPr>
      <w:r w:rsidRPr="00E346DE">
        <w:rPr>
          <w:rFonts w:eastAsia="Times New Roman" w:cstheme="minorHAnsi"/>
          <w:szCs w:val="24"/>
          <w:lang w:eastAsia="en-CA"/>
        </w:rPr>
        <w:t>Dr. Michael Phillips</w:t>
      </w:r>
      <w:r w:rsidR="005F158E" w:rsidRPr="00E346DE">
        <w:rPr>
          <w:rFonts w:eastAsia="Times New Roman" w:cstheme="minorHAnsi"/>
          <w:szCs w:val="24"/>
          <w:lang w:eastAsia="en-CA"/>
        </w:rPr>
        <w:t xml:space="preserve">, </w:t>
      </w:r>
      <w:r w:rsidR="00A84AD4" w:rsidRPr="00E346DE">
        <w:rPr>
          <w:rFonts w:eastAsia="Times New Roman" w:cstheme="minorHAnsi"/>
          <w:szCs w:val="24"/>
          <w:lang w:eastAsia="en-CA"/>
        </w:rPr>
        <w:t xml:space="preserve">Community </w:t>
      </w:r>
      <w:r w:rsidR="005F158E" w:rsidRPr="00E346DE">
        <w:rPr>
          <w:rFonts w:eastAsia="Times New Roman" w:cstheme="minorHAnsi"/>
          <w:szCs w:val="24"/>
          <w:lang w:eastAsia="en-CA"/>
        </w:rPr>
        <w:t>Member</w:t>
      </w:r>
    </w:p>
    <w:p w14:paraId="0568EB6F" w14:textId="77777777" w:rsidR="006F43EA" w:rsidRPr="00E346DE" w:rsidRDefault="006F43EA" w:rsidP="005F158E">
      <w:pPr>
        <w:spacing w:before="240" w:after="240" w:line="240" w:lineRule="auto"/>
        <w:ind w:left="1440" w:hanging="1440"/>
        <w:rPr>
          <w:rFonts w:eastAsia="Times New Roman" w:cstheme="minorHAnsi"/>
          <w:sz w:val="26"/>
          <w:szCs w:val="26"/>
          <w:lang w:eastAsia="en-CA"/>
        </w:rPr>
      </w:pPr>
    </w:p>
    <w:p w14:paraId="7DD2DE09" w14:textId="2AA87AA4" w:rsidR="005276AB" w:rsidRPr="00E346DE" w:rsidRDefault="00A84AD4" w:rsidP="006123A9">
      <w:pPr>
        <w:spacing w:after="0" w:line="240" w:lineRule="auto"/>
        <w:jc w:val="center"/>
        <w:rPr>
          <w:rFonts w:eastAsia="Times New Roman" w:cstheme="minorHAnsi"/>
          <w:b/>
          <w:sz w:val="28"/>
          <w:szCs w:val="28"/>
          <w:lang w:eastAsia="en-CA"/>
        </w:rPr>
      </w:pPr>
      <w:r w:rsidRPr="00E346DE">
        <w:rPr>
          <w:rFonts w:eastAsia="Times New Roman" w:cstheme="minorHAnsi"/>
          <w:b/>
          <w:sz w:val="28"/>
          <w:szCs w:val="28"/>
          <w:lang w:eastAsia="en-CA"/>
        </w:rPr>
        <w:t xml:space="preserve">DECISION ON </w:t>
      </w:r>
      <w:r w:rsidR="00924BDD" w:rsidRPr="00E346DE">
        <w:rPr>
          <w:rFonts w:eastAsia="Times New Roman" w:cstheme="minorHAnsi"/>
          <w:b/>
          <w:sz w:val="28"/>
          <w:szCs w:val="28"/>
          <w:lang w:eastAsia="en-CA"/>
        </w:rPr>
        <w:t xml:space="preserve">THE </w:t>
      </w:r>
      <w:r w:rsidR="005276AB" w:rsidRPr="00E346DE">
        <w:rPr>
          <w:rFonts w:eastAsia="Times New Roman" w:cstheme="minorHAnsi"/>
          <w:b/>
          <w:sz w:val="28"/>
          <w:szCs w:val="28"/>
          <w:lang w:eastAsia="en-CA"/>
        </w:rPr>
        <w:t xml:space="preserve">APPLICATION TO DETERMINE </w:t>
      </w:r>
    </w:p>
    <w:p w14:paraId="251CB2A1" w14:textId="1D9CFD27" w:rsidR="006123A9" w:rsidRPr="00E346DE" w:rsidRDefault="005276AB" w:rsidP="006123A9">
      <w:pPr>
        <w:spacing w:after="0" w:line="240" w:lineRule="auto"/>
        <w:jc w:val="center"/>
        <w:rPr>
          <w:rFonts w:eastAsia="Times New Roman" w:cstheme="minorHAnsi"/>
          <w:sz w:val="28"/>
          <w:szCs w:val="28"/>
          <w:lang w:eastAsia="en-CA"/>
        </w:rPr>
      </w:pPr>
      <w:r w:rsidRPr="00E346DE">
        <w:rPr>
          <w:rFonts w:eastAsia="Times New Roman" w:cstheme="minorHAnsi"/>
          <w:b/>
          <w:sz w:val="28"/>
          <w:szCs w:val="28"/>
          <w:lang w:eastAsia="en-CA"/>
        </w:rPr>
        <w:t xml:space="preserve">THE </w:t>
      </w:r>
      <w:r w:rsidR="00924BDD" w:rsidRPr="00E346DE">
        <w:rPr>
          <w:rFonts w:eastAsia="Times New Roman" w:cstheme="minorHAnsi"/>
          <w:b/>
          <w:sz w:val="28"/>
          <w:szCs w:val="28"/>
          <w:lang w:eastAsia="en-CA"/>
        </w:rPr>
        <w:t>LOCATION OF THE HEARING</w:t>
      </w:r>
    </w:p>
    <w:p w14:paraId="3E4ED5B9" w14:textId="3E1DD1BC" w:rsidR="006F43EA" w:rsidRPr="00E346DE" w:rsidRDefault="00DB2030" w:rsidP="00A84AD4">
      <w:pPr>
        <w:spacing w:before="1440" w:after="0" w:line="240" w:lineRule="auto"/>
        <w:rPr>
          <w:rFonts w:eastAsia="Times New Roman" w:cstheme="minorHAnsi"/>
          <w:sz w:val="28"/>
          <w:szCs w:val="28"/>
          <w:lang w:eastAsia="en-CA"/>
        </w:rPr>
      </w:pPr>
      <w:r w:rsidRPr="00E346DE">
        <w:rPr>
          <w:rFonts w:eastAsia="Times New Roman" w:cstheme="minorHAnsi"/>
          <w:b/>
          <w:sz w:val="26"/>
          <w:szCs w:val="26"/>
          <w:lang w:eastAsia="en-CA"/>
        </w:rPr>
        <w:t>C</w:t>
      </w:r>
      <w:r w:rsidR="006F43EA" w:rsidRPr="00E346DE">
        <w:rPr>
          <w:rFonts w:eastAsia="Times New Roman" w:cstheme="minorHAnsi"/>
          <w:b/>
          <w:sz w:val="26"/>
          <w:szCs w:val="26"/>
          <w:lang w:eastAsia="en-CA"/>
        </w:rPr>
        <w:t>ounsel:</w:t>
      </w:r>
    </w:p>
    <w:p w14:paraId="7169FF5C" w14:textId="77777777" w:rsidR="006123A9" w:rsidRPr="00E346DE" w:rsidRDefault="006123A9" w:rsidP="006123A9">
      <w:pPr>
        <w:spacing w:after="0" w:line="240" w:lineRule="auto"/>
        <w:ind w:left="2160" w:hanging="2160"/>
        <w:rPr>
          <w:rFonts w:eastAsia="Times New Roman" w:cstheme="minorHAnsi"/>
          <w:sz w:val="26"/>
          <w:szCs w:val="26"/>
          <w:lang w:eastAsia="en-CA"/>
        </w:rPr>
      </w:pPr>
    </w:p>
    <w:p w14:paraId="0A764E82" w14:textId="4F9DE24A" w:rsidR="00A84AD4" w:rsidRPr="00E346DE" w:rsidRDefault="006F43EA" w:rsidP="006123A9">
      <w:pPr>
        <w:spacing w:after="0" w:line="240" w:lineRule="auto"/>
        <w:ind w:left="2160" w:hanging="2160"/>
        <w:rPr>
          <w:rFonts w:eastAsia="Times New Roman" w:cstheme="minorHAnsi"/>
          <w:sz w:val="26"/>
          <w:szCs w:val="26"/>
          <w:lang w:eastAsia="en-CA"/>
        </w:rPr>
      </w:pPr>
      <w:r w:rsidRPr="00E346DE">
        <w:rPr>
          <w:rFonts w:eastAsia="Times New Roman" w:cstheme="minorHAnsi"/>
          <w:sz w:val="26"/>
          <w:szCs w:val="26"/>
          <w:lang w:eastAsia="en-CA"/>
        </w:rPr>
        <w:t xml:space="preserve">Mr. </w:t>
      </w:r>
      <w:r w:rsidR="00F45157" w:rsidRPr="00E346DE">
        <w:rPr>
          <w:rFonts w:eastAsia="Times New Roman" w:cstheme="minorHAnsi"/>
          <w:sz w:val="26"/>
          <w:szCs w:val="26"/>
          <w:lang w:eastAsia="en-CA"/>
        </w:rPr>
        <w:t>Matthew Gourlay</w:t>
      </w:r>
    </w:p>
    <w:p w14:paraId="77AE7BDC" w14:textId="77777777" w:rsidR="006123A9" w:rsidRPr="00E346DE" w:rsidRDefault="006123A9" w:rsidP="006123A9">
      <w:pPr>
        <w:spacing w:after="0" w:line="240" w:lineRule="auto"/>
        <w:ind w:left="2160" w:hanging="2160"/>
        <w:rPr>
          <w:rFonts w:eastAsia="Times New Roman" w:cstheme="minorHAnsi"/>
          <w:sz w:val="26"/>
          <w:szCs w:val="26"/>
          <w:lang w:eastAsia="en-CA"/>
        </w:rPr>
      </w:pPr>
      <w:r w:rsidRPr="00E346DE">
        <w:rPr>
          <w:rFonts w:eastAsia="Times New Roman" w:cstheme="minorHAnsi"/>
          <w:sz w:val="26"/>
          <w:szCs w:val="26"/>
          <w:lang w:eastAsia="en-CA"/>
        </w:rPr>
        <w:t>Presenting Counsel</w:t>
      </w:r>
    </w:p>
    <w:p w14:paraId="7BD28E52" w14:textId="77777777" w:rsidR="006123A9" w:rsidRPr="00E346DE" w:rsidRDefault="006123A9" w:rsidP="006F43EA">
      <w:pPr>
        <w:spacing w:after="0" w:line="240" w:lineRule="auto"/>
        <w:ind w:left="2160" w:hanging="2160"/>
        <w:rPr>
          <w:rFonts w:eastAsia="Times New Roman" w:cstheme="minorHAnsi"/>
          <w:sz w:val="26"/>
          <w:szCs w:val="26"/>
          <w:lang w:eastAsia="en-CA"/>
        </w:rPr>
      </w:pPr>
    </w:p>
    <w:p w14:paraId="57AAD31A" w14:textId="77777777" w:rsidR="00A84AD4" w:rsidRPr="00E346DE" w:rsidRDefault="006123A9" w:rsidP="006123A9">
      <w:pPr>
        <w:spacing w:after="0" w:line="240" w:lineRule="auto"/>
        <w:ind w:left="2160" w:hanging="2160"/>
        <w:rPr>
          <w:rFonts w:eastAsia="Times New Roman" w:cstheme="minorHAnsi"/>
          <w:sz w:val="26"/>
          <w:szCs w:val="26"/>
          <w:lang w:eastAsia="en-CA"/>
        </w:rPr>
      </w:pPr>
      <w:r w:rsidRPr="00E346DE">
        <w:rPr>
          <w:rFonts w:eastAsia="Times New Roman" w:cstheme="minorHAnsi"/>
          <w:sz w:val="26"/>
          <w:szCs w:val="26"/>
          <w:lang w:eastAsia="en-CA"/>
        </w:rPr>
        <w:t>M</w:t>
      </w:r>
      <w:r w:rsidR="006F43EA" w:rsidRPr="00E346DE">
        <w:rPr>
          <w:rFonts w:eastAsia="Times New Roman" w:cstheme="minorHAnsi"/>
          <w:sz w:val="26"/>
          <w:szCs w:val="26"/>
          <w:lang w:eastAsia="en-CA"/>
        </w:rPr>
        <w:t xml:space="preserve">r. </w:t>
      </w:r>
      <w:r w:rsidR="00A84AD4" w:rsidRPr="00E346DE">
        <w:rPr>
          <w:rFonts w:eastAsia="Times New Roman" w:cstheme="minorHAnsi"/>
          <w:sz w:val="26"/>
          <w:szCs w:val="26"/>
          <w:lang w:eastAsia="en-CA"/>
        </w:rPr>
        <w:t>Donald Bayne</w:t>
      </w:r>
    </w:p>
    <w:p w14:paraId="4F717B43" w14:textId="77777777" w:rsidR="00A84AD4" w:rsidRPr="00E346DE" w:rsidRDefault="00A84AD4" w:rsidP="006123A9">
      <w:pPr>
        <w:spacing w:after="0" w:line="240" w:lineRule="auto"/>
        <w:ind w:left="2160" w:hanging="2160"/>
        <w:rPr>
          <w:rFonts w:eastAsia="Times New Roman" w:cstheme="minorHAnsi"/>
          <w:sz w:val="26"/>
          <w:szCs w:val="26"/>
          <w:lang w:eastAsia="en-CA"/>
        </w:rPr>
      </w:pPr>
      <w:r w:rsidRPr="00E346DE">
        <w:rPr>
          <w:rFonts w:eastAsia="Times New Roman" w:cstheme="minorHAnsi"/>
          <w:sz w:val="26"/>
          <w:szCs w:val="26"/>
          <w:lang w:eastAsia="en-CA"/>
        </w:rPr>
        <w:t>Ms. Michelle O’Doherty</w:t>
      </w:r>
    </w:p>
    <w:p w14:paraId="4F92ABFB" w14:textId="77777777" w:rsidR="006F43EA" w:rsidRPr="00E346DE" w:rsidRDefault="006F43EA" w:rsidP="006123A9">
      <w:pPr>
        <w:spacing w:after="0" w:line="240" w:lineRule="auto"/>
        <w:ind w:left="2160" w:hanging="2160"/>
        <w:rPr>
          <w:rFonts w:eastAsia="Times New Roman" w:cstheme="minorHAnsi"/>
          <w:sz w:val="26"/>
          <w:szCs w:val="26"/>
          <w:lang w:eastAsia="en-CA"/>
        </w:rPr>
      </w:pPr>
      <w:r w:rsidRPr="00E346DE">
        <w:rPr>
          <w:rFonts w:eastAsia="Times New Roman" w:cstheme="minorHAnsi"/>
          <w:sz w:val="26"/>
          <w:szCs w:val="26"/>
          <w:lang w:eastAsia="en-CA"/>
        </w:rPr>
        <w:t xml:space="preserve">Counsel for </w:t>
      </w:r>
      <w:r w:rsidR="003959D1" w:rsidRPr="00E346DE">
        <w:rPr>
          <w:rFonts w:eastAsia="Times New Roman" w:cstheme="minorHAnsi"/>
          <w:sz w:val="26"/>
          <w:szCs w:val="26"/>
          <w:lang w:eastAsia="en-CA"/>
        </w:rPr>
        <w:t>Her</w:t>
      </w:r>
      <w:r w:rsidRPr="00E346DE">
        <w:rPr>
          <w:rFonts w:eastAsia="Times New Roman" w:cstheme="minorHAnsi"/>
          <w:sz w:val="26"/>
          <w:szCs w:val="26"/>
          <w:lang w:eastAsia="en-CA"/>
        </w:rPr>
        <w:t xml:space="preserve"> Worship </w:t>
      </w:r>
    </w:p>
    <w:p w14:paraId="219BBE9E" w14:textId="77777777" w:rsidR="005F158E" w:rsidRPr="00E346DE" w:rsidRDefault="00A84AD4" w:rsidP="00F6220A">
      <w:pPr>
        <w:spacing w:before="240" w:after="240" w:line="360" w:lineRule="auto"/>
        <w:jc w:val="both"/>
        <w:rPr>
          <w:rFonts w:eastAsia="Times New Roman" w:cstheme="minorHAnsi"/>
          <w:szCs w:val="24"/>
          <w:lang w:eastAsia="en-CA"/>
        </w:rPr>
      </w:pPr>
      <w:r w:rsidRPr="00E346DE">
        <w:rPr>
          <w:rFonts w:eastAsia="Times New Roman" w:cstheme="minorHAnsi"/>
          <w:szCs w:val="24"/>
          <w:lang w:eastAsia="en-CA"/>
        </w:rPr>
        <w:t xml:space="preserve"> </w:t>
      </w:r>
    </w:p>
    <w:p w14:paraId="38706D82" w14:textId="7EB47EFA" w:rsidR="003867AA" w:rsidRPr="00E346DE" w:rsidRDefault="003867AA" w:rsidP="00F128BE">
      <w:pPr>
        <w:pStyle w:val="ListParagraph"/>
        <w:numPr>
          <w:ilvl w:val="0"/>
          <w:numId w:val="5"/>
        </w:numPr>
        <w:spacing w:after="0"/>
        <w:ind w:left="851" w:hanging="851"/>
        <w:jc w:val="both"/>
      </w:pPr>
      <w:r w:rsidRPr="00E346DE">
        <w:lastRenderedPageBreak/>
        <w:t>On March 8, 2019, Her Worship brought a</w:t>
      </w:r>
      <w:r w:rsidR="00FF037A" w:rsidRPr="00E346DE">
        <w:t>n application before</w:t>
      </w:r>
      <w:r w:rsidRPr="00E346DE">
        <w:t xml:space="preserve"> the Hearing Panel</w:t>
      </w:r>
      <w:r w:rsidR="00491ACC" w:rsidRPr="00E346DE">
        <w:t xml:space="preserve"> as it was then constituted</w:t>
      </w:r>
      <w:r w:rsidR="00FF037A" w:rsidRPr="00E346DE">
        <w:t>,</w:t>
      </w:r>
      <w:r w:rsidR="00491ACC" w:rsidRPr="00E346DE">
        <w:rPr>
          <w:rStyle w:val="FootnoteReference"/>
        </w:rPr>
        <w:footnoteReference w:id="1"/>
      </w:r>
      <w:r w:rsidR="00FF037A" w:rsidRPr="00E346DE">
        <w:t xml:space="preserve"> for an</w:t>
      </w:r>
      <w:r w:rsidRPr="00E346DE">
        <w:t xml:space="preserve"> order that the hearing take place in the East Region</w:t>
      </w:r>
      <w:r w:rsidR="00205ABE" w:rsidRPr="00E346DE">
        <w:t xml:space="preserve"> of Ontario</w:t>
      </w:r>
      <w:r w:rsidRPr="00E346DE">
        <w:t>, namely Cornwall or</w:t>
      </w:r>
      <w:r w:rsidR="009D1450" w:rsidRPr="00E346DE">
        <w:t xml:space="preserve"> </w:t>
      </w:r>
      <w:r w:rsidRPr="00E346DE">
        <w:t xml:space="preserve">Ottawa. </w:t>
      </w:r>
    </w:p>
    <w:p w14:paraId="4C25D736" w14:textId="4A99C8BF" w:rsidR="003867AA" w:rsidRPr="00E346DE" w:rsidRDefault="003867AA" w:rsidP="00F128BE">
      <w:pPr>
        <w:spacing w:after="0"/>
        <w:ind w:left="851" w:hanging="851"/>
        <w:jc w:val="both"/>
      </w:pPr>
      <w:r w:rsidRPr="00E346DE">
        <w:t xml:space="preserve">           </w:t>
      </w:r>
    </w:p>
    <w:p w14:paraId="4B67F8A1" w14:textId="12D835F2" w:rsidR="00F6220A" w:rsidRPr="00E346DE" w:rsidRDefault="009D1450" w:rsidP="00F128BE">
      <w:pPr>
        <w:pStyle w:val="ListParagraph"/>
        <w:numPr>
          <w:ilvl w:val="0"/>
          <w:numId w:val="5"/>
        </w:numPr>
        <w:spacing w:after="0"/>
        <w:ind w:left="851" w:hanging="851"/>
        <w:jc w:val="both"/>
      </w:pPr>
      <w:r w:rsidRPr="00E346DE">
        <w:t>O</w:t>
      </w:r>
      <w:r w:rsidR="003867AA" w:rsidRPr="00E346DE">
        <w:t xml:space="preserve">n </w:t>
      </w:r>
      <w:r w:rsidR="00F6220A" w:rsidRPr="00E346DE">
        <w:t>May 1</w:t>
      </w:r>
      <w:r w:rsidR="009809CD" w:rsidRPr="00E346DE">
        <w:t>5</w:t>
      </w:r>
      <w:r w:rsidR="00F6220A" w:rsidRPr="00E346DE">
        <w:t>, 2019</w:t>
      </w:r>
      <w:r w:rsidR="003867AA" w:rsidRPr="00E346DE">
        <w:t>, the Hearing Pane</w:t>
      </w:r>
      <w:r w:rsidR="00FF037A" w:rsidRPr="00E346DE">
        <w:t>l</w:t>
      </w:r>
      <w:r w:rsidR="003867AA" w:rsidRPr="00E346DE">
        <w:t xml:space="preserve"> provided an oral </w:t>
      </w:r>
      <w:r w:rsidR="00F6220A" w:rsidRPr="00E346DE">
        <w:t>decision</w:t>
      </w:r>
      <w:r w:rsidR="000E16BA" w:rsidRPr="00E346DE">
        <w:t xml:space="preserve"> denying the application and ordering that the hearing take place in Toronto</w:t>
      </w:r>
      <w:r w:rsidR="00F6220A" w:rsidRPr="00E346DE">
        <w:t xml:space="preserve">, with </w:t>
      </w:r>
      <w:r w:rsidR="00DF49FB" w:rsidRPr="00E346DE">
        <w:t xml:space="preserve">written reasons to follow. These are the </w:t>
      </w:r>
      <w:r w:rsidR="00FF037A" w:rsidRPr="00E346DE">
        <w:t>R</w:t>
      </w:r>
      <w:r w:rsidR="00DF49FB" w:rsidRPr="00E346DE">
        <w:t>easons</w:t>
      </w:r>
      <w:r w:rsidR="000E16BA" w:rsidRPr="00E346DE">
        <w:t xml:space="preserve"> of the Hearing Panel</w:t>
      </w:r>
      <w:r w:rsidR="00DF49FB" w:rsidRPr="00E346DE">
        <w:t xml:space="preserve">. </w:t>
      </w:r>
    </w:p>
    <w:p w14:paraId="3624897E" w14:textId="77777777" w:rsidR="00FF037A" w:rsidRPr="00E346DE" w:rsidRDefault="00FF037A" w:rsidP="00F128BE">
      <w:pPr>
        <w:pStyle w:val="ListParagraph"/>
        <w:ind w:left="851" w:hanging="851"/>
      </w:pPr>
    </w:p>
    <w:p w14:paraId="0B9A365F" w14:textId="0F1A1F57" w:rsidR="00FF037A" w:rsidRPr="00E346DE" w:rsidRDefault="00617759" w:rsidP="00F128BE">
      <w:pPr>
        <w:spacing w:after="0"/>
        <w:ind w:left="851" w:hanging="851"/>
        <w:jc w:val="both"/>
        <w:rPr>
          <w:u w:val="single"/>
        </w:rPr>
      </w:pPr>
      <w:r w:rsidRPr="00E346DE">
        <w:rPr>
          <w:u w:val="single"/>
        </w:rPr>
        <w:t>Statutory and Procedural Authority</w:t>
      </w:r>
    </w:p>
    <w:p w14:paraId="437BDB27" w14:textId="77777777" w:rsidR="000E16BA" w:rsidRPr="00E346DE" w:rsidRDefault="000E16BA" w:rsidP="00F128BE">
      <w:pPr>
        <w:pStyle w:val="ListParagraph"/>
        <w:ind w:left="851" w:hanging="851"/>
      </w:pPr>
    </w:p>
    <w:p w14:paraId="41F5352E" w14:textId="30231FD7" w:rsidR="000E16BA" w:rsidRPr="00E346DE" w:rsidRDefault="00617759" w:rsidP="00F128BE">
      <w:pPr>
        <w:pStyle w:val="ListParagraph"/>
        <w:numPr>
          <w:ilvl w:val="0"/>
          <w:numId w:val="5"/>
        </w:numPr>
        <w:spacing w:after="0"/>
        <w:ind w:left="851" w:hanging="851"/>
        <w:jc w:val="both"/>
      </w:pPr>
      <w:r w:rsidRPr="00E346DE">
        <w:t>Section</w:t>
      </w:r>
      <w:r w:rsidR="000E16BA" w:rsidRPr="00E346DE">
        <w:t xml:space="preserve"> 11.1(4) of the </w:t>
      </w:r>
      <w:r w:rsidR="000E16BA" w:rsidRPr="00E346DE">
        <w:rPr>
          <w:i/>
        </w:rPr>
        <w:t>Justices of the Peace Act</w:t>
      </w:r>
      <w:r w:rsidR="000E16BA" w:rsidRPr="00E346DE">
        <w:t>, R.S.O. 1990, c.J.4 (“</w:t>
      </w:r>
      <w:r w:rsidR="000E16BA" w:rsidRPr="00E346DE">
        <w:rPr>
          <w:i/>
        </w:rPr>
        <w:t>JPA</w:t>
      </w:r>
      <w:r w:rsidR="000E16BA" w:rsidRPr="00E346DE">
        <w:t>”)</w:t>
      </w:r>
      <w:r w:rsidRPr="00E346DE">
        <w:t xml:space="preserve"> provides that</w:t>
      </w:r>
      <w:r w:rsidR="000E16BA" w:rsidRPr="00E346DE">
        <w:t xml:space="preserve"> the provisions of the </w:t>
      </w:r>
      <w:r w:rsidR="000E16BA" w:rsidRPr="00E346DE">
        <w:rPr>
          <w:i/>
        </w:rPr>
        <w:t>Statutory Powers and Procedures Act</w:t>
      </w:r>
      <w:r w:rsidR="000E16BA" w:rsidRPr="00E346DE">
        <w:t>, R.S.O 1990 S. 22 (“</w:t>
      </w:r>
      <w:r w:rsidR="000E16BA" w:rsidRPr="00E346DE">
        <w:rPr>
          <w:i/>
        </w:rPr>
        <w:t>SPPA</w:t>
      </w:r>
      <w:r w:rsidR="000E16BA" w:rsidRPr="00E346DE">
        <w:t xml:space="preserve">”) apply to hearings of the </w:t>
      </w:r>
      <w:r w:rsidR="00C064F0" w:rsidRPr="00E346DE">
        <w:t>Justices of the Peace Review Council (the “JPRC”)</w:t>
      </w:r>
      <w:r w:rsidR="000E16BA" w:rsidRPr="00E346DE">
        <w:t xml:space="preserve">. The </w:t>
      </w:r>
      <w:r w:rsidR="000E16BA" w:rsidRPr="00E346DE">
        <w:rPr>
          <w:i/>
        </w:rPr>
        <w:t>JPA</w:t>
      </w:r>
      <w:r w:rsidR="000E16BA" w:rsidRPr="00E346DE">
        <w:t xml:space="preserve"> also provides that the rules of procedure developed by </w:t>
      </w:r>
      <w:r w:rsidR="00C064F0" w:rsidRPr="00E346DE">
        <w:t>JPRC</w:t>
      </w:r>
      <w:r w:rsidR="00491ACC" w:rsidRPr="00E346DE">
        <w:t xml:space="preserve"> </w:t>
      </w:r>
      <w:r w:rsidR="000E16BA" w:rsidRPr="00E346DE">
        <w:t>(the “Procedures Document”) apply to hearings (s. 11.1(5)).</w:t>
      </w:r>
    </w:p>
    <w:p w14:paraId="1560D84B" w14:textId="0A141280" w:rsidR="00491ACC" w:rsidRPr="00E346DE" w:rsidRDefault="00491ACC" w:rsidP="00F128BE">
      <w:pPr>
        <w:ind w:left="851" w:hanging="851"/>
      </w:pPr>
    </w:p>
    <w:p w14:paraId="3F1666BB" w14:textId="47413927" w:rsidR="00491ACC" w:rsidRPr="00E346DE" w:rsidRDefault="00491ACC" w:rsidP="00F128BE">
      <w:pPr>
        <w:ind w:left="851" w:hanging="851"/>
        <w:rPr>
          <w:u w:val="single"/>
        </w:rPr>
      </w:pPr>
      <w:r w:rsidRPr="00E346DE">
        <w:rPr>
          <w:u w:val="single"/>
        </w:rPr>
        <w:t>Position of Justice of the Peace Winchester</w:t>
      </w:r>
    </w:p>
    <w:p w14:paraId="61FBDD3B" w14:textId="33BFB8AB" w:rsidR="00C064F0" w:rsidRPr="00E346DE" w:rsidRDefault="00C064F0" w:rsidP="00F128BE">
      <w:pPr>
        <w:pStyle w:val="ListParagraph"/>
        <w:numPr>
          <w:ilvl w:val="0"/>
          <w:numId w:val="5"/>
        </w:numPr>
        <w:spacing w:after="0"/>
        <w:ind w:left="851" w:hanging="851"/>
        <w:jc w:val="both"/>
      </w:pPr>
      <w:r w:rsidRPr="00E346DE">
        <w:t xml:space="preserve">Her Worship submits that the </w:t>
      </w:r>
      <w:r w:rsidRPr="00E346DE">
        <w:rPr>
          <w:i/>
        </w:rPr>
        <w:t>JPA</w:t>
      </w:r>
      <w:r w:rsidRPr="00E346DE">
        <w:t xml:space="preserve">, the </w:t>
      </w:r>
      <w:r w:rsidRPr="00E346DE">
        <w:rPr>
          <w:i/>
        </w:rPr>
        <w:t>SPPA</w:t>
      </w:r>
      <w:r w:rsidRPr="00E346DE">
        <w:t xml:space="preserve"> and the Procedures Document do not mandate </w:t>
      </w:r>
      <w:r w:rsidR="00D7603A" w:rsidRPr="00E346DE">
        <w:t>that JPRC hearings be held in a</w:t>
      </w:r>
      <w:r w:rsidRPr="00E346DE">
        <w:t xml:space="preserve"> </w:t>
      </w:r>
      <w:proofErr w:type="gramStart"/>
      <w:r w:rsidRPr="00E346DE">
        <w:t>particular location</w:t>
      </w:r>
      <w:proofErr w:type="gramEnd"/>
      <w:r w:rsidRPr="00E346DE">
        <w:t xml:space="preserve">. Rather, section 2 of the </w:t>
      </w:r>
      <w:r w:rsidRPr="00E346DE">
        <w:rPr>
          <w:i/>
        </w:rPr>
        <w:t>SPPA</w:t>
      </w:r>
      <w:r w:rsidRPr="00E346DE">
        <w:t xml:space="preserve"> </w:t>
      </w:r>
      <w:r w:rsidR="00D7603A" w:rsidRPr="00E346DE">
        <w:t>directs</w:t>
      </w:r>
      <w:r w:rsidRPr="00E346DE">
        <w:t xml:space="preserve"> that JPRC hearings shall be conducted so as “to secure the just, most expeditious and cost-effective determination of every proceeding on its merits”.</w:t>
      </w:r>
    </w:p>
    <w:p w14:paraId="1C78540F" w14:textId="77777777" w:rsidR="00C064F0" w:rsidRPr="00E346DE" w:rsidRDefault="00C064F0" w:rsidP="00F128BE">
      <w:pPr>
        <w:pStyle w:val="ListParagraph"/>
        <w:spacing w:after="0"/>
        <w:ind w:left="851" w:hanging="851"/>
        <w:jc w:val="both"/>
      </w:pPr>
    </w:p>
    <w:p w14:paraId="16F7F0F6" w14:textId="20C6C0DE" w:rsidR="00491ACC" w:rsidRPr="00E346DE" w:rsidRDefault="00491ACC" w:rsidP="00F128BE">
      <w:pPr>
        <w:pStyle w:val="ListParagraph"/>
        <w:numPr>
          <w:ilvl w:val="0"/>
          <w:numId w:val="5"/>
        </w:numPr>
        <w:spacing w:after="0"/>
        <w:ind w:left="851" w:hanging="851"/>
        <w:jc w:val="both"/>
      </w:pPr>
      <w:r w:rsidRPr="00E346DE">
        <w:t xml:space="preserve">Her Worship </w:t>
      </w:r>
      <w:r w:rsidR="00D7603A" w:rsidRPr="00E346DE">
        <w:t>takes the position</w:t>
      </w:r>
      <w:r w:rsidRPr="00E346DE">
        <w:t xml:space="preserve"> that the Registrar of the </w:t>
      </w:r>
      <w:r w:rsidR="00C064F0" w:rsidRPr="00E346DE">
        <w:t>JPRC</w:t>
      </w:r>
      <w:r w:rsidRPr="00E346DE">
        <w:t xml:space="preserve"> directed the location of the hearing </w:t>
      </w:r>
      <w:r w:rsidR="00C064F0" w:rsidRPr="00E346DE">
        <w:t>to be</w:t>
      </w:r>
      <w:r w:rsidRPr="00E346DE">
        <w:t xml:space="preserve"> downtown Toronto without any statutory authority. </w:t>
      </w:r>
      <w:r w:rsidR="00D7603A" w:rsidRPr="00E346DE">
        <w:t>She</w:t>
      </w:r>
      <w:r w:rsidRPr="00E346DE">
        <w:t xml:space="preserve"> submits that the Procedures Document do</w:t>
      </w:r>
      <w:r w:rsidR="00455FF3" w:rsidRPr="00E346DE">
        <w:t>es</w:t>
      </w:r>
      <w:r w:rsidRPr="00E346DE">
        <w:t xml:space="preserve"> not authorize the Registrar to fix </w:t>
      </w:r>
      <w:r w:rsidR="00D7603A" w:rsidRPr="00E346DE">
        <w:t xml:space="preserve">the </w:t>
      </w:r>
      <w:r w:rsidRPr="00E346DE">
        <w:t>venue of the hearing</w:t>
      </w:r>
      <w:r w:rsidR="00D7603A" w:rsidRPr="00E346DE">
        <w:t xml:space="preserve"> because this issue falls </w:t>
      </w:r>
      <w:r w:rsidRPr="00E346DE">
        <w:t xml:space="preserve">within the jurisdiction of the Hearing Panel to </w:t>
      </w:r>
      <w:r w:rsidR="00D7603A" w:rsidRPr="00E346DE">
        <w:t>determine</w:t>
      </w:r>
      <w:r w:rsidRPr="00E346DE">
        <w:t xml:space="preserve"> on a case-by-case basis, and because venue</w:t>
      </w:r>
      <w:r w:rsidR="00D7603A" w:rsidRPr="00E346DE">
        <w:t xml:space="preserve"> itself</w:t>
      </w:r>
      <w:r w:rsidRPr="00E346DE">
        <w:t xml:space="preserve"> is not fixed; there is no default rule </w:t>
      </w:r>
      <w:r w:rsidR="0023225F" w:rsidRPr="00E346DE">
        <w:t>establishing</w:t>
      </w:r>
      <w:r w:rsidRPr="00E346DE">
        <w:t xml:space="preserve"> the location of JPRC hearings </w:t>
      </w:r>
      <w:r w:rsidR="0023225F" w:rsidRPr="00E346DE">
        <w:t>at</w:t>
      </w:r>
      <w:r w:rsidR="00D7603A" w:rsidRPr="00E346DE">
        <w:t xml:space="preserve"> Toronto</w:t>
      </w:r>
      <w:r w:rsidRPr="00E346DE">
        <w:t>.</w:t>
      </w:r>
    </w:p>
    <w:p w14:paraId="20FD4CA8" w14:textId="77777777" w:rsidR="005D01E9" w:rsidRPr="00E346DE" w:rsidRDefault="005D01E9" w:rsidP="00F128BE">
      <w:pPr>
        <w:pStyle w:val="ListParagraph"/>
        <w:ind w:left="851" w:hanging="851"/>
      </w:pPr>
    </w:p>
    <w:p w14:paraId="7B69DA1E" w14:textId="5A11C2DE" w:rsidR="005D01E9" w:rsidRPr="00E346DE" w:rsidRDefault="005D01E9" w:rsidP="00F128BE">
      <w:pPr>
        <w:pStyle w:val="ListParagraph"/>
        <w:numPr>
          <w:ilvl w:val="0"/>
          <w:numId w:val="5"/>
        </w:numPr>
        <w:spacing w:after="0"/>
        <w:ind w:left="851" w:hanging="851"/>
        <w:jc w:val="both"/>
      </w:pPr>
      <w:r w:rsidRPr="00E346DE">
        <w:t xml:space="preserve">Her Worship </w:t>
      </w:r>
      <w:r w:rsidR="00D7603A" w:rsidRPr="00E346DE">
        <w:t>argues</w:t>
      </w:r>
      <w:r w:rsidRPr="00E346DE">
        <w:t xml:space="preserve"> that, absent exceptional circumstances, the factors of </w:t>
      </w:r>
      <w:r w:rsidR="00455FF3" w:rsidRPr="00E346DE">
        <w:t>justice</w:t>
      </w:r>
      <w:r w:rsidRPr="00E346DE">
        <w:t>, expedition and cost-effectiveness are best served when proceedings are held in the location where the events took place, where the witnesses are</w:t>
      </w:r>
      <w:r w:rsidR="00D7603A" w:rsidRPr="00E346DE">
        <w:t xml:space="preserve"> located</w:t>
      </w:r>
      <w:r w:rsidRPr="00E346DE">
        <w:t xml:space="preserve"> and where the subject of the hearing</w:t>
      </w:r>
      <w:r w:rsidR="0023225F" w:rsidRPr="00E346DE">
        <w:t>,</w:t>
      </w:r>
      <w:r w:rsidRPr="00E346DE">
        <w:t xml:space="preserve"> Her Worship Winchester</w:t>
      </w:r>
      <w:r w:rsidR="0023225F" w:rsidRPr="00E346DE">
        <w:t>,</w:t>
      </w:r>
      <w:r w:rsidRPr="00E346DE">
        <w:t xml:space="preserve"> </w:t>
      </w:r>
      <w:r w:rsidR="00D7603A" w:rsidRPr="00E346DE">
        <w:t>resides and/or works</w:t>
      </w:r>
      <w:r w:rsidRPr="00E346DE">
        <w:t xml:space="preserve">. </w:t>
      </w:r>
      <w:r w:rsidRPr="00E346DE">
        <w:lastRenderedPageBreak/>
        <w:t>She argues that</w:t>
      </w:r>
      <w:r w:rsidR="00A90F8A" w:rsidRPr="00E346DE">
        <w:t xml:space="preserve"> in</w:t>
      </w:r>
      <w:r w:rsidRPr="00E346DE">
        <w:t xml:space="preserve"> the circumstances of this application, </w:t>
      </w:r>
      <w:r w:rsidR="00D7603A" w:rsidRPr="00E346DE">
        <w:t>such</w:t>
      </w:r>
      <w:r w:rsidRPr="00E346DE">
        <w:t xml:space="preserve"> factors support having the hearing held in the East Region</w:t>
      </w:r>
      <w:r w:rsidR="00D7603A" w:rsidRPr="00E346DE">
        <w:t>, specifically Ottawa.</w:t>
      </w:r>
    </w:p>
    <w:p w14:paraId="1E88A01D" w14:textId="77777777" w:rsidR="00D7603A" w:rsidRPr="00E346DE" w:rsidRDefault="00D7603A" w:rsidP="00F128BE">
      <w:pPr>
        <w:pStyle w:val="ListParagraph"/>
        <w:ind w:left="851" w:hanging="851"/>
      </w:pPr>
    </w:p>
    <w:p w14:paraId="1CA4C93F" w14:textId="7810CF49" w:rsidR="003867AA" w:rsidRPr="00E346DE" w:rsidRDefault="000E298C" w:rsidP="00F128BE">
      <w:pPr>
        <w:pStyle w:val="ListParagraph"/>
        <w:numPr>
          <w:ilvl w:val="0"/>
          <w:numId w:val="5"/>
        </w:numPr>
        <w:spacing w:after="0"/>
        <w:ind w:left="851" w:hanging="851"/>
        <w:jc w:val="both"/>
      </w:pPr>
      <w:r w:rsidRPr="00E346DE">
        <w:t>It is submitted</w:t>
      </w:r>
      <w:r w:rsidR="00A426B6" w:rsidRPr="00E346DE">
        <w:t xml:space="preserve"> </w:t>
      </w:r>
      <w:r w:rsidRPr="00E346DE">
        <w:t xml:space="preserve">that </w:t>
      </w:r>
      <w:r w:rsidR="00A426B6" w:rsidRPr="00E346DE">
        <w:t>holding the</w:t>
      </w:r>
      <w:r w:rsidRPr="00E346DE">
        <w:t xml:space="preserve"> hearing in the East Region would be less expensive</w:t>
      </w:r>
      <w:r w:rsidR="00A426B6" w:rsidRPr="00E346DE">
        <w:t>,</w:t>
      </w:r>
      <w:r w:rsidRPr="00E346DE">
        <w:t xml:space="preserve"> </w:t>
      </w:r>
      <w:r w:rsidR="005F0A08" w:rsidRPr="00E346DE">
        <w:t xml:space="preserve">less </w:t>
      </w:r>
      <w:r w:rsidRPr="00E346DE">
        <w:t>stressful</w:t>
      </w:r>
      <w:r w:rsidR="00A426B6" w:rsidRPr="00E346DE">
        <w:t xml:space="preserve"> and more convenient for Her Worship than having the hearing in Toronto.</w:t>
      </w:r>
      <w:r w:rsidR="005D01E9" w:rsidRPr="00E346DE">
        <w:t xml:space="preserve"> </w:t>
      </w:r>
      <w:r w:rsidR="003867AA" w:rsidRPr="00E346DE">
        <w:t>Her Worship</w:t>
      </w:r>
      <w:r w:rsidR="00A426B6" w:rsidRPr="00E346DE">
        <w:t xml:space="preserve"> further indicates that she</w:t>
      </w:r>
      <w:r w:rsidR="003867AA" w:rsidRPr="00E346DE">
        <w:t xml:space="preserve"> anticipates calling up to 13 witnesses, all of whom </w:t>
      </w:r>
      <w:r w:rsidR="00A426B6" w:rsidRPr="00E346DE">
        <w:t>would</w:t>
      </w:r>
      <w:r w:rsidR="003867AA" w:rsidRPr="00E346DE">
        <w:t xml:space="preserve"> have to travel</w:t>
      </w:r>
      <w:r w:rsidR="009D1450" w:rsidRPr="00E346DE">
        <w:t xml:space="preserve"> f</w:t>
      </w:r>
      <w:r w:rsidR="003867AA" w:rsidRPr="00E346DE">
        <w:t>rom the East Region to Toronto.</w:t>
      </w:r>
    </w:p>
    <w:p w14:paraId="1EE228FE" w14:textId="77777777" w:rsidR="005B5D99" w:rsidRPr="00E346DE" w:rsidRDefault="005B5D99" w:rsidP="00F128BE">
      <w:pPr>
        <w:pStyle w:val="ListParagraph"/>
        <w:ind w:left="851" w:hanging="851"/>
      </w:pPr>
    </w:p>
    <w:p w14:paraId="37ED1F9A" w14:textId="50C8A75A" w:rsidR="005B5D99" w:rsidRPr="00E346DE" w:rsidRDefault="005B5D99" w:rsidP="00F128BE">
      <w:pPr>
        <w:pStyle w:val="ListParagraph"/>
        <w:numPr>
          <w:ilvl w:val="0"/>
          <w:numId w:val="5"/>
        </w:numPr>
        <w:spacing w:after="0"/>
        <w:ind w:left="851" w:hanging="851"/>
        <w:jc w:val="both"/>
      </w:pPr>
      <w:r w:rsidRPr="00E346DE">
        <w:t xml:space="preserve">The ability to use technology, including video conferencing, to make available distance evidence was acknowledged by Her Worship. However, counsel for Her Worship indicated that his choice would be to have </w:t>
      </w:r>
      <w:r w:rsidR="00783654" w:rsidRPr="00E346DE">
        <w:t xml:space="preserve">all </w:t>
      </w:r>
      <w:r w:rsidRPr="00E346DE">
        <w:t>witnesses, other than character witnesses, attend in person. He referred the Panel to technical difficulties he encountered with videoconferencing during an Ottawa criminal trial.</w:t>
      </w:r>
    </w:p>
    <w:p w14:paraId="24B5D01E" w14:textId="1C149216" w:rsidR="005B5D99" w:rsidRPr="00E346DE" w:rsidRDefault="005B5D99" w:rsidP="00F128BE">
      <w:pPr>
        <w:pStyle w:val="ListParagraph"/>
        <w:ind w:left="851" w:hanging="851"/>
      </w:pPr>
    </w:p>
    <w:p w14:paraId="55F46455" w14:textId="77777777" w:rsidR="00562F05" w:rsidRPr="00E346DE" w:rsidRDefault="00562F05" w:rsidP="00F128BE">
      <w:pPr>
        <w:pStyle w:val="ListParagraph"/>
        <w:numPr>
          <w:ilvl w:val="0"/>
          <w:numId w:val="5"/>
        </w:numPr>
        <w:spacing w:after="0"/>
        <w:ind w:left="851" w:hanging="851"/>
        <w:jc w:val="both"/>
      </w:pPr>
      <w:r w:rsidRPr="00E346DE">
        <w:t xml:space="preserve">Her Worship outlined </w:t>
      </w:r>
      <w:proofErr w:type="gramStart"/>
      <w:r w:rsidRPr="00E346DE">
        <w:t>the manner by which</w:t>
      </w:r>
      <w:proofErr w:type="gramEnd"/>
      <w:r w:rsidRPr="00E346DE">
        <w:t xml:space="preserve"> various adjudicative tribunals in Ontario address the issue of venue for hearings. She </w:t>
      </w:r>
      <w:r w:rsidR="005B5D99" w:rsidRPr="00E346DE">
        <w:t>submits that criminal law</w:t>
      </w:r>
      <w:r w:rsidRPr="00E346DE">
        <w:t xml:space="preserve"> concepts regarding venue</w:t>
      </w:r>
      <w:r w:rsidR="005B5D99" w:rsidRPr="00E346DE">
        <w:t xml:space="preserve"> are applicable here, as both </w:t>
      </w:r>
      <w:r w:rsidRPr="00E346DE">
        <w:t>the JPRC hearing process and criminal trials involve</w:t>
      </w:r>
      <w:r w:rsidR="005B5D99" w:rsidRPr="00E346DE">
        <w:t xml:space="preserve"> public interest adjudication</w:t>
      </w:r>
      <w:r w:rsidRPr="00E346DE">
        <w:t xml:space="preserve"> and the complaint itself </w:t>
      </w:r>
      <w:r w:rsidR="005B5D99" w:rsidRPr="00E346DE">
        <w:t xml:space="preserve">arose </w:t>
      </w:r>
      <w:r w:rsidRPr="00E346DE">
        <w:t>in the</w:t>
      </w:r>
      <w:r w:rsidR="005B5D99" w:rsidRPr="00E346DE">
        <w:t xml:space="preserve"> criminal law context. </w:t>
      </w:r>
    </w:p>
    <w:p w14:paraId="1BB9FDAD" w14:textId="77777777" w:rsidR="00562F05" w:rsidRPr="00E346DE" w:rsidRDefault="00562F05" w:rsidP="00F128BE">
      <w:pPr>
        <w:pStyle w:val="ListParagraph"/>
        <w:ind w:left="851" w:hanging="851"/>
      </w:pPr>
    </w:p>
    <w:p w14:paraId="55602AA7" w14:textId="4CC37389" w:rsidR="00F37F46" w:rsidRPr="00E346DE" w:rsidRDefault="00562F05" w:rsidP="00F128BE">
      <w:pPr>
        <w:pStyle w:val="ListParagraph"/>
        <w:numPr>
          <w:ilvl w:val="0"/>
          <w:numId w:val="5"/>
        </w:numPr>
        <w:spacing w:after="0"/>
        <w:ind w:left="851" w:hanging="851"/>
        <w:jc w:val="both"/>
      </w:pPr>
      <w:r w:rsidRPr="00E346DE">
        <w:t xml:space="preserve">She also raises concerns with the </w:t>
      </w:r>
      <w:r w:rsidR="00455FF3" w:rsidRPr="00E346DE">
        <w:t xml:space="preserve">affidavit of Marilyn King, the Registrar of the JPRC, filed by </w:t>
      </w:r>
      <w:r w:rsidR="00254259" w:rsidRPr="00E346DE">
        <w:t>P</w:t>
      </w:r>
      <w:r w:rsidR="003867AA" w:rsidRPr="00E346DE">
        <w:t xml:space="preserve">resenting </w:t>
      </w:r>
      <w:r w:rsidR="00254259" w:rsidRPr="00E346DE">
        <w:t>C</w:t>
      </w:r>
      <w:r w:rsidR="003867AA" w:rsidRPr="00E346DE">
        <w:t>oun</w:t>
      </w:r>
      <w:r w:rsidR="00254259" w:rsidRPr="00E346DE">
        <w:t>sel</w:t>
      </w:r>
      <w:r w:rsidRPr="00E346DE">
        <w:t xml:space="preserve"> on this application. The affidavit details the human</w:t>
      </w:r>
      <w:r w:rsidR="00E32F5C" w:rsidRPr="00E346DE">
        <w:t xml:space="preserve"> resource</w:t>
      </w:r>
      <w:r w:rsidR="003867AA" w:rsidRPr="00E346DE">
        <w:t xml:space="preserve"> and </w:t>
      </w:r>
      <w:r w:rsidR="006155A0" w:rsidRPr="00E346DE">
        <w:t xml:space="preserve">operational </w:t>
      </w:r>
      <w:r w:rsidR="00E32F5C" w:rsidRPr="00E346DE">
        <w:t xml:space="preserve">burden on the </w:t>
      </w:r>
      <w:r w:rsidR="003867AA" w:rsidRPr="00E346DE">
        <w:t>JPRC</w:t>
      </w:r>
      <w:r w:rsidRPr="00E346DE">
        <w:t xml:space="preserve"> </w:t>
      </w:r>
      <w:r w:rsidR="003867AA" w:rsidRPr="00E346DE">
        <w:t xml:space="preserve">should </w:t>
      </w:r>
      <w:r w:rsidRPr="00E346DE">
        <w:t xml:space="preserve">the hearing be conducted </w:t>
      </w:r>
      <w:r w:rsidR="003867AA" w:rsidRPr="00E346DE">
        <w:t>in the</w:t>
      </w:r>
      <w:r w:rsidR="009D1450" w:rsidRPr="00E346DE">
        <w:t xml:space="preserve"> </w:t>
      </w:r>
      <w:r w:rsidR="00E32F5C" w:rsidRPr="00E346DE">
        <w:t>East</w:t>
      </w:r>
      <w:r w:rsidR="00254259" w:rsidRPr="00E346DE">
        <w:t xml:space="preserve"> R</w:t>
      </w:r>
      <w:r w:rsidR="00E32F5C" w:rsidRPr="00E346DE">
        <w:t>egion.</w:t>
      </w:r>
      <w:r w:rsidR="006653D6" w:rsidRPr="00E346DE">
        <w:t xml:space="preserve"> Counsel for Her Worship notes that the Registrar</w:t>
      </w:r>
      <w:r w:rsidRPr="00E346DE">
        <w:t>’s</w:t>
      </w:r>
      <w:r w:rsidR="006653D6" w:rsidRPr="00E346DE">
        <w:t xml:space="preserve"> role includes assisting and providing advice to the </w:t>
      </w:r>
      <w:r w:rsidRPr="00E346DE">
        <w:t xml:space="preserve">Hearing </w:t>
      </w:r>
      <w:r w:rsidR="006653D6" w:rsidRPr="00E346DE">
        <w:t>Panel</w:t>
      </w:r>
      <w:r w:rsidRPr="00E346DE">
        <w:t xml:space="preserve">. Her affidavit, it is argued, puts the Hearing Panel in </w:t>
      </w:r>
      <w:r w:rsidR="006653D6" w:rsidRPr="00E346DE">
        <w:t xml:space="preserve">an awkward position and could give rise to a reasonable apprehension of bias against </w:t>
      </w:r>
      <w:r w:rsidRPr="00E346DE">
        <w:t>Her Worship on the application.</w:t>
      </w:r>
    </w:p>
    <w:p w14:paraId="1FDFFA54" w14:textId="77777777" w:rsidR="00562F05" w:rsidRPr="00E346DE" w:rsidRDefault="00562F05" w:rsidP="00F128BE">
      <w:pPr>
        <w:pStyle w:val="ListParagraph"/>
        <w:ind w:left="851" w:hanging="851"/>
      </w:pPr>
    </w:p>
    <w:p w14:paraId="26DC2A8C" w14:textId="40683F7A" w:rsidR="00F37F46" w:rsidRPr="00E346DE" w:rsidRDefault="005D01E9" w:rsidP="00F128BE">
      <w:pPr>
        <w:spacing w:after="0"/>
        <w:ind w:left="851" w:hanging="851"/>
        <w:jc w:val="both"/>
        <w:rPr>
          <w:u w:val="single"/>
        </w:rPr>
      </w:pPr>
      <w:r w:rsidRPr="00E346DE">
        <w:rPr>
          <w:u w:val="single"/>
        </w:rPr>
        <w:t xml:space="preserve">Position </w:t>
      </w:r>
      <w:r w:rsidR="00F37F46" w:rsidRPr="00E346DE">
        <w:rPr>
          <w:u w:val="single"/>
        </w:rPr>
        <w:t>of Presenting Counsel</w:t>
      </w:r>
    </w:p>
    <w:p w14:paraId="206EA004" w14:textId="77777777" w:rsidR="00F37F46" w:rsidRPr="00E346DE" w:rsidRDefault="00F37F46" w:rsidP="00F128BE">
      <w:pPr>
        <w:spacing w:after="0"/>
        <w:ind w:left="851" w:hanging="851"/>
        <w:jc w:val="both"/>
      </w:pPr>
    </w:p>
    <w:p w14:paraId="4E17CCD1" w14:textId="54263815" w:rsidR="00AA25F5" w:rsidRPr="00E346DE" w:rsidRDefault="005D01E9" w:rsidP="00F128BE">
      <w:pPr>
        <w:pStyle w:val="ListParagraph"/>
        <w:numPr>
          <w:ilvl w:val="0"/>
          <w:numId w:val="5"/>
        </w:numPr>
        <w:spacing w:after="0"/>
        <w:ind w:left="851" w:hanging="851"/>
        <w:jc w:val="both"/>
      </w:pPr>
      <w:r w:rsidRPr="00E346DE">
        <w:t>Presenting Counsel accepts that the Panel has jurisdiction to order that the hearing be held in a location</w:t>
      </w:r>
      <w:r w:rsidR="005B5D99" w:rsidRPr="00E346DE">
        <w:t xml:space="preserve"> other than Toronto</w:t>
      </w:r>
      <w:r w:rsidR="006021EF" w:rsidRPr="00E346DE">
        <w:t xml:space="preserve">. He </w:t>
      </w:r>
      <w:r w:rsidR="00536BDE" w:rsidRPr="00E346DE">
        <w:t>states</w:t>
      </w:r>
      <w:r w:rsidR="00562F05" w:rsidRPr="00E346DE">
        <w:t xml:space="preserve"> that the Panel’s</w:t>
      </w:r>
      <w:r w:rsidR="006021EF" w:rsidRPr="00E346DE">
        <w:t xml:space="preserve"> jurisdiction </w:t>
      </w:r>
      <w:r w:rsidR="00562F05" w:rsidRPr="00E346DE">
        <w:t>arises</w:t>
      </w:r>
      <w:r w:rsidR="006021EF" w:rsidRPr="00E346DE">
        <w:t xml:space="preserve"> from the principle that every tribunal is the master of its own procedure</w:t>
      </w:r>
      <w:r w:rsidR="00BC5022" w:rsidRPr="00E346DE">
        <w:t xml:space="preserve"> and rely on their own rules, practices and polices in determining whether a change in venue is warranted. </w:t>
      </w:r>
      <w:r w:rsidR="00AA25F5" w:rsidRPr="00E346DE">
        <w:t xml:space="preserve">Presenting Counsel refers to the administrative law principle set out by the Supreme Court of Canada in </w:t>
      </w:r>
      <w:r w:rsidR="00AA25F5" w:rsidRPr="00E346DE">
        <w:rPr>
          <w:i/>
        </w:rPr>
        <w:t>Knight v. Indian Head School Division No. 19</w:t>
      </w:r>
      <w:r w:rsidR="00AA25F5" w:rsidRPr="00E346DE">
        <w:t>, [1990] 1 SCR 653, 1990 CanLII 138 (SCC): “It must not be forgotten that every administrative body is the master of its own procedure and need not assume the trappings of a court.”</w:t>
      </w:r>
    </w:p>
    <w:p w14:paraId="493A7FB1" w14:textId="31BDF56F" w:rsidR="00AA25F5" w:rsidRPr="00E346DE" w:rsidRDefault="00BC5022" w:rsidP="00F128BE">
      <w:pPr>
        <w:pStyle w:val="ListParagraph"/>
        <w:numPr>
          <w:ilvl w:val="0"/>
          <w:numId w:val="5"/>
        </w:numPr>
        <w:spacing w:after="0"/>
        <w:ind w:left="851" w:hanging="851"/>
        <w:jc w:val="both"/>
      </w:pPr>
      <w:r w:rsidRPr="00E346DE">
        <w:lastRenderedPageBreak/>
        <w:t xml:space="preserve">Presenting Counsel notes </w:t>
      </w:r>
      <w:r w:rsidR="00AA25F5" w:rsidRPr="00E346DE">
        <w:t>that the</w:t>
      </w:r>
      <w:r w:rsidRPr="00E346DE">
        <w:t xml:space="preserve"> </w:t>
      </w:r>
      <w:r w:rsidR="00562F05" w:rsidRPr="00E346DE">
        <w:t>JPRC’s long-standing practice</w:t>
      </w:r>
      <w:r w:rsidR="00AA25F5" w:rsidRPr="00E346DE">
        <w:t xml:space="preserve"> is to conduct</w:t>
      </w:r>
      <w:r w:rsidR="00562F05" w:rsidRPr="00E346DE">
        <w:t xml:space="preserve"> hearings in Toronto. </w:t>
      </w:r>
      <w:r w:rsidRPr="00E346DE">
        <w:t>He argues that there is nothing improper with this practice, and</w:t>
      </w:r>
      <w:r w:rsidR="00562F05" w:rsidRPr="00E346DE">
        <w:t xml:space="preserve"> the </w:t>
      </w:r>
      <w:r w:rsidR="00562F05" w:rsidRPr="00E346DE">
        <w:rPr>
          <w:i/>
        </w:rPr>
        <w:t>SPPA</w:t>
      </w:r>
      <w:r w:rsidR="00562F05" w:rsidRPr="00E346DE">
        <w:t xml:space="preserve"> </w:t>
      </w:r>
      <w:r w:rsidR="006021EF" w:rsidRPr="00E346DE">
        <w:t>does not prohibit a tribunal from “adopting a rule and/or practice of holding its hearings at its head office</w:t>
      </w:r>
      <w:r w:rsidR="00562F05" w:rsidRPr="00E346DE">
        <w:t>.”</w:t>
      </w:r>
      <w:r w:rsidRPr="00E346DE">
        <w:t xml:space="preserve"> </w:t>
      </w:r>
      <w:r w:rsidR="00AA25F5" w:rsidRPr="00E346DE">
        <w:t xml:space="preserve">Accordingly, he submits that the Registrar’s direction that the hearing would be held in Toronto was appropriate and in accordance with the long-established practice of the JPRC. </w:t>
      </w:r>
    </w:p>
    <w:p w14:paraId="5DC4609C" w14:textId="77777777" w:rsidR="00AA25F5" w:rsidRPr="00E346DE" w:rsidRDefault="00AA25F5" w:rsidP="00F128BE">
      <w:pPr>
        <w:pStyle w:val="ListParagraph"/>
        <w:spacing w:after="0"/>
        <w:ind w:left="851" w:hanging="851"/>
        <w:jc w:val="both"/>
      </w:pPr>
    </w:p>
    <w:p w14:paraId="59AC8C99" w14:textId="568F2C31" w:rsidR="00BB729C" w:rsidRPr="00E346DE" w:rsidRDefault="003867AA" w:rsidP="00F128BE">
      <w:pPr>
        <w:pStyle w:val="ListParagraph"/>
        <w:numPr>
          <w:ilvl w:val="0"/>
          <w:numId w:val="5"/>
        </w:numPr>
        <w:spacing w:after="0"/>
        <w:ind w:left="851" w:hanging="851"/>
        <w:jc w:val="both"/>
      </w:pPr>
      <w:r w:rsidRPr="00E346DE">
        <w:t>Presenting Coun</w:t>
      </w:r>
      <w:r w:rsidR="00F52B1D" w:rsidRPr="00E346DE">
        <w:t>sel</w:t>
      </w:r>
      <w:r w:rsidRPr="00E346DE">
        <w:t xml:space="preserve"> dismisses the proposition that principles of criminal law </w:t>
      </w:r>
      <w:r w:rsidR="006653D6" w:rsidRPr="00E346DE">
        <w:t xml:space="preserve">should </w:t>
      </w:r>
      <w:r w:rsidRPr="00E346DE">
        <w:t>be</w:t>
      </w:r>
      <w:r w:rsidR="00254259" w:rsidRPr="00E346DE">
        <w:t xml:space="preserve"> </w:t>
      </w:r>
      <w:r w:rsidRPr="00E346DE">
        <w:t>applied to an area</w:t>
      </w:r>
      <w:r w:rsidR="006653D6" w:rsidRPr="00E346DE">
        <w:t xml:space="preserve"> of administrative law</w:t>
      </w:r>
      <w:r w:rsidRPr="00E346DE">
        <w:t xml:space="preserve"> governed by provincially</w:t>
      </w:r>
      <w:r w:rsidR="006653D6" w:rsidRPr="00E346DE">
        <w:t>-</w:t>
      </w:r>
      <w:r w:rsidRPr="00E346DE">
        <w:t>regulated statute</w:t>
      </w:r>
      <w:r w:rsidR="006653D6" w:rsidRPr="00E346DE">
        <w:t>s</w:t>
      </w:r>
      <w:r w:rsidR="00BC5022" w:rsidRPr="00E346DE">
        <w:t>. He notes that, unlike in the administrative tribunal context, there are</w:t>
      </w:r>
      <w:r w:rsidR="00BB729C" w:rsidRPr="00E346DE">
        <w:t xml:space="preserve"> common law presumption</w:t>
      </w:r>
      <w:r w:rsidR="00BC5022" w:rsidRPr="00E346DE">
        <w:t>s</w:t>
      </w:r>
      <w:r w:rsidR="00BB729C" w:rsidRPr="00E346DE">
        <w:t xml:space="preserve"> regarding the proper location of trial</w:t>
      </w:r>
      <w:r w:rsidR="00BC5022" w:rsidRPr="00E346DE">
        <w:t>s in criminal law</w:t>
      </w:r>
      <w:r w:rsidR="00BB729C" w:rsidRPr="00E346DE">
        <w:t xml:space="preserve">, specific </w:t>
      </w:r>
      <w:r w:rsidR="00BB729C" w:rsidRPr="00E346DE">
        <w:rPr>
          <w:i/>
        </w:rPr>
        <w:t>Criminal Code</w:t>
      </w:r>
      <w:r w:rsidR="00BB729C" w:rsidRPr="00E346DE">
        <w:t xml:space="preserve"> provisions relating to venue, and fundamental concerns relating to jury (</w:t>
      </w:r>
      <w:proofErr w:type="spellStart"/>
      <w:r w:rsidR="00BB729C" w:rsidRPr="00E346DE">
        <w:t>im</w:t>
      </w:r>
      <w:proofErr w:type="spellEnd"/>
      <w:r w:rsidR="00BB729C" w:rsidRPr="00E346DE">
        <w:t xml:space="preserve">)partiality. </w:t>
      </w:r>
    </w:p>
    <w:p w14:paraId="4D9F2699" w14:textId="77777777" w:rsidR="00AA25F5" w:rsidRPr="00E346DE" w:rsidRDefault="00AA25F5" w:rsidP="00F128BE">
      <w:pPr>
        <w:pStyle w:val="ListParagraph"/>
        <w:spacing w:after="0"/>
        <w:ind w:left="851" w:hanging="851"/>
        <w:jc w:val="both"/>
      </w:pPr>
    </w:p>
    <w:p w14:paraId="7CC62231" w14:textId="4726A752" w:rsidR="006723F9" w:rsidRPr="00E346DE" w:rsidRDefault="00BB729C" w:rsidP="00F128BE">
      <w:pPr>
        <w:pStyle w:val="ListParagraph"/>
        <w:numPr>
          <w:ilvl w:val="0"/>
          <w:numId w:val="5"/>
        </w:numPr>
        <w:spacing w:after="0"/>
        <w:ind w:left="851" w:hanging="851"/>
        <w:jc w:val="both"/>
      </w:pPr>
      <w:r w:rsidRPr="00E346DE">
        <w:t xml:space="preserve">Presenting Counsel </w:t>
      </w:r>
      <w:r w:rsidR="00BC5022" w:rsidRPr="00E346DE">
        <w:t>submits</w:t>
      </w:r>
      <w:r w:rsidRPr="00E346DE">
        <w:t xml:space="preserve"> that </w:t>
      </w:r>
      <w:r w:rsidR="00BC5022" w:rsidRPr="00E346DE">
        <w:t>there is no presumption of locality in</w:t>
      </w:r>
      <w:r w:rsidRPr="00E346DE">
        <w:t xml:space="preserve"> the context of provincially-constituted tribunals like </w:t>
      </w:r>
      <w:r w:rsidR="00BC5022" w:rsidRPr="00E346DE">
        <w:t xml:space="preserve">the JPRC; rather, </w:t>
      </w:r>
      <w:r w:rsidRPr="00E346DE">
        <w:t>many tribunals presumptively hold hearings in the venue where the tribunal itself is located and will</w:t>
      </w:r>
      <w:r w:rsidR="00BC5022" w:rsidRPr="00E346DE">
        <w:t xml:space="preserve"> only</w:t>
      </w:r>
      <w:r w:rsidRPr="00E346DE">
        <w:t xml:space="preserve"> consider changing the venue to another location</w:t>
      </w:r>
      <w:r w:rsidR="00BC5022" w:rsidRPr="00E346DE">
        <w:t xml:space="preserve"> in exceptional circumstances.</w:t>
      </w:r>
      <w:r w:rsidRPr="00E346DE">
        <w:t xml:space="preserve">  </w:t>
      </w:r>
      <w:r w:rsidR="003867AA" w:rsidRPr="00E346DE">
        <w:t xml:space="preserve">Reference </w:t>
      </w:r>
      <w:r w:rsidR="006021EF" w:rsidRPr="00E346DE">
        <w:t>was</w:t>
      </w:r>
      <w:r w:rsidR="003867AA" w:rsidRPr="00E346DE">
        <w:t xml:space="preserve"> made to various professional </w:t>
      </w:r>
      <w:r w:rsidR="006653D6" w:rsidRPr="00E346DE">
        <w:t xml:space="preserve">disciplinary </w:t>
      </w:r>
      <w:r w:rsidR="003867AA" w:rsidRPr="00E346DE">
        <w:t xml:space="preserve">bodies, </w:t>
      </w:r>
      <w:r w:rsidR="00A80C28" w:rsidRPr="00E346DE">
        <w:t>such as the</w:t>
      </w:r>
      <w:r w:rsidR="003867AA" w:rsidRPr="00E346DE">
        <w:t xml:space="preserve"> Law Society</w:t>
      </w:r>
      <w:r w:rsidR="006653D6" w:rsidRPr="00E346DE">
        <w:t xml:space="preserve"> of Ontario</w:t>
      </w:r>
      <w:r w:rsidR="003867AA" w:rsidRPr="00E346DE">
        <w:t xml:space="preserve">, </w:t>
      </w:r>
      <w:r w:rsidR="00A80C28" w:rsidRPr="00E346DE">
        <w:t xml:space="preserve">the </w:t>
      </w:r>
      <w:r w:rsidR="003867AA" w:rsidRPr="00E346DE">
        <w:t>College of Physicians and Surgeons</w:t>
      </w:r>
      <w:r w:rsidR="00A80C28" w:rsidRPr="00E346DE">
        <w:t xml:space="preserve"> of Ontario</w:t>
      </w:r>
      <w:r w:rsidR="003867AA" w:rsidRPr="00E346DE">
        <w:t xml:space="preserve">, </w:t>
      </w:r>
      <w:r w:rsidR="00A80C28" w:rsidRPr="00E346DE">
        <w:t xml:space="preserve">the Ontario </w:t>
      </w:r>
      <w:r w:rsidR="003867AA" w:rsidRPr="00E346DE">
        <w:t>College of Pharmacists</w:t>
      </w:r>
      <w:r w:rsidR="00A80C28" w:rsidRPr="00E346DE">
        <w:t xml:space="preserve"> and the Royal </w:t>
      </w:r>
      <w:r w:rsidR="003867AA" w:rsidRPr="00E346DE">
        <w:t xml:space="preserve">College of </w:t>
      </w:r>
      <w:r w:rsidR="006723F9" w:rsidRPr="00E346DE">
        <w:t>Dental</w:t>
      </w:r>
      <w:r w:rsidR="00254259" w:rsidRPr="00E346DE">
        <w:t xml:space="preserve"> </w:t>
      </w:r>
      <w:r w:rsidR="006723F9" w:rsidRPr="00E346DE">
        <w:t>Surgeons</w:t>
      </w:r>
      <w:r w:rsidR="00A80C28" w:rsidRPr="00E346DE">
        <w:t xml:space="preserve"> of Ontario</w:t>
      </w:r>
      <w:r w:rsidR="006723F9" w:rsidRPr="00E346DE">
        <w:t xml:space="preserve">. </w:t>
      </w:r>
      <w:proofErr w:type="gramStart"/>
      <w:r w:rsidR="006723F9" w:rsidRPr="00E346DE">
        <w:t>With the exception of</w:t>
      </w:r>
      <w:proofErr w:type="gramEnd"/>
      <w:r w:rsidR="006723F9" w:rsidRPr="00E346DE">
        <w:t xml:space="preserve"> the Law Society, all of these professional</w:t>
      </w:r>
      <w:r w:rsidR="00254259" w:rsidRPr="00E346DE">
        <w:t xml:space="preserve"> </w:t>
      </w:r>
      <w:r w:rsidR="006021EF" w:rsidRPr="00E346DE">
        <w:t xml:space="preserve">disciplinary </w:t>
      </w:r>
      <w:r w:rsidR="006723F9" w:rsidRPr="00E346DE">
        <w:t>bodies hold hearings at the location of their headquarters.</w:t>
      </w:r>
      <w:r w:rsidR="005B5D99" w:rsidRPr="00E346DE">
        <w:t xml:space="preserve"> The Law Society</w:t>
      </w:r>
      <w:r w:rsidR="00A80C28" w:rsidRPr="00E346DE">
        <w:t xml:space="preserve">’s Tribunal’s </w:t>
      </w:r>
      <w:r w:rsidR="00A80C28" w:rsidRPr="00E346DE">
        <w:rPr>
          <w:i/>
        </w:rPr>
        <w:t>Rules of Practice and Procedure</w:t>
      </w:r>
      <w:r w:rsidR="00A80C28" w:rsidRPr="00E346DE">
        <w:t xml:space="preserve"> provides a default rule that every hearing</w:t>
      </w:r>
      <w:r w:rsidR="005B5D99" w:rsidRPr="00E346DE">
        <w:t xml:space="preserve"> </w:t>
      </w:r>
      <w:r w:rsidR="00A80C28" w:rsidRPr="00E346DE">
        <w:t xml:space="preserve">shall be held at the Law Society Tribunal in Toronto. Parties may bring a motion for an order that the hearing be held at a different location. </w:t>
      </w:r>
    </w:p>
    <w:p w14:paraId="3E8A9C26" w14:textId="77777777" w:rsidR="00CA22C3" w:rsidRPr="00E346DE" w:rsidRDefault="00CA22C3" w:rsidP="00F128BE">
      <w:pPr>
        <w:pStyle w:val="ListParagraph"/>
        <w:ind w:left="851" w:hanging="851"/>
      </w:pPr>
    </w:p>
    <w:p w14:paraId="1727B60A" w14:textId="66108C6F" w:rsidR="00CA22C3" w:rsidRPr="00E346DE" w:rsidRDefault="00CA22C3" w:rsidP="00F128BE">
      <w:pPr>
        <w:pStyle w:val="ListParagraph"/>
        <w:numPr>
          <w:ilvl w:val="0"/>
          <w:numId w:val="5"/>
        </w:numPr>
        <w:spacing w:after="0"/>
        <w:ind w:left="851" w:hanging="851"/>
        <w:jc w:val="both"/>
      </w:pPr>
      <w:r w:rsidRPr="00E346DE">
        <w:t xml:space="preserve">Presenting Counsel acknowledges that the </w:t>
      </w:r>
      <w:r w:rsidR="005B5D99" w:rsidRPr="00E346DE">
        <w:t>JPRC</w:t>
      </w:r>
      <w:r w:rsidRPr="00E346DE">
        <w:t xml:space="preserve"> does not have specific rules </w:t>
      </w:r>
      <w:r w:rsidR="005B5D99" w:rsidRPr="00E346DE">
        <w:t xml:space="preserve">in its Procedures Document </w:t>
      </w:r>
      <w:r w:rsidRPr="00E346DE">
        <w:t xml:space="preserve">governing applications related to the location of hearings. By way of analogy, Presenting Counsel submits that the Law Society </w:t>
      </w:r>
      <w:r w:rsidRPr="00E346DE">
        <w:rPr>
          <w:i/>
        </w:rPr>
        <w:t>Tribunal’s Rules of Practice and Procedure</w:t>
      </w:r>
      <w:r w:rsidRPr="00E346DE">
        <w:t xml:space="preserve"> provide </w:t>
      </w:r>
      <w:proofErr w:type="gramStart"/>
      <w:r w:rsidRPr="00E346DE">
        <w:t>a number of</w:t>
      </w:r>
      <w:proofErr w:type="gramEnd"/>
      <w:r w:rsidRPr="00E346DE">
        <w:t xml:space="preserve"> relevant factors for the Hearing Panel to consider.  </w:t>
      </w:r>
      <w:r w:rsidR="00A80C28" w:rsidRPr="00E346DE">
        <w:t xml:space="preserve">Ultimately, </w:t>
      </w:r>
      <w:r w:rsidR="006021EF" w:rsidRPr="00E346DE">
        <w:t xml:space="preserve">Presenting Counsel submits that the onus is on Her Worship to demonstrate that the interests of justice, including overall costs, fairness and convenience of the parties, demonstrably favours holding the hearing elsewhere. </w:t>
      </w:r>
    </w:p>
    <w:p w14:paraId="127AFCBC" w14:textId="77777777" w:rsidR="00CA22C3" w:rsidRPr="00E346DE" w:rsidRDefault="00CA22C3" w:rsidP="00F128BE">
      <w:pPr>
        <w:spacing w:after="0"/>
        <w:ind w:left="851" w:hanging="851"/>
        <w:jc w:val="both"/>
      </w:pPr>
    </w:p>
    <w:p w14:paraId="62E94CF2" w14:textId="4F5E95FC" w:rsidR="00CA22C3" w:rsidRPr="00E346DE" w:rsidRDefault="00A80C28" w:rsidP="00F128BE">
      <w:pPr>
        <w:pStyle w:val="ListParagraph"/>
        <w:numPr>
          <w:ilvl w:val="0"/>
          <w:numId w:val="5"/>
        </w:numPr>
        <w:spacing w:after="0"/>
        <w:ind w:left="851" w:hanging="851"/>
        <w:jc w:val="both"/>
      </w:pPr>
      <w:r w:rsidRPr="00E346DE">
        <w:t>Presenting Counsel argues that the</w:t>
      </w:r>
      <w:r w:rsidR="006021EF" w:rsidRPr="00E346DE">
        <w:t xml:space="preserve"> Panel should consider the relative costs of holding the hearing in the East Region as compared </w:t>
      </w:r>
      <w:r w:rsidRPr="00E346DE">
        <w:t>to</w:t>
      </w:r>
      <w:r w:rsidR="006021EF" w:rsidRPr="00E346DE">
        <w:t xml:space="preserve"> Toronto, both in terms of</w:t>
      </w:r>
      <w:r w:rsidRPr="00E346DE">
        <w:t xml:space="preserve"> the</w:t>
      </w:r>
      <w:r w:rsidR="006021EF" w:rsidRPr="00E346DE">
        <w:t xml:space="preserve"> financial and organizational costs to the functioning of the </w:t>
      </w:r>
      <w:r w:rsidRPr="00E346DE">
        <w:t>JPRC</w:t>
      </w:r>
      <w:r w:rsidR="00CA22C3" w:rsidRPr="00E346DE">
        <w:t xml:space="preserve">. Presenting </w:t>
      </w:r>
      <w:r w:rsidR="00CA22C3" w:rsidRPr="00E346DE">
        <w:lastRenderedPageBreak/>
        <w:t>Counsel</w:t>
      </w:r>
      <w:r w:rsidRPr="00E346DE">
        <w:t xml:space="preserve"> argues that</w:t>
      </w:r>
      <w:r w:rsidR="00CA22C3" w:rsidRPr="00E346DE">
        <w:t xml:space="preserve"> while the central witnesses would likely need to give evidence in person, witnesses who </w:t>
      </w:r>
      <w:r w:rsidRPr="00E346DE">
        <w:t>would only testify</w:t>
      </w:r>
      <w:r w:rsidR="00CA22C3" w:rsidRPr="00E346DE">
        <w:t xml:space="preserve"> </w:t>
      </w:r>
      <w:r w:rsidRPr="00E346DE">
        <w:t>on</w:t>
      </w:r>
      <w:r w:rsidR="00CA22C3" w:rsidRPr="00E346DE">
        <w:t xml:space="preserve"> peripheral matters could </w:t>
      </w:r>
      <w:r w:rsidRPr="00E346DE">
        <w:t xml:space="preserve">easily </w:t>
      </w:r>
      <w:r w:rsidR="00CA22C3" w:rsidRPr="00E346DE">
        <w:t>do so by videoconference.</w:t>
      </w:r>
    </w:p>
    <w:p w14:paraId="45BE1996" w14:textId="1110C16C" w:rsidR="003867AA" w:rsidRPr="00E346DE" w:rsidRDefault="003867AA" w:rsidP="00F128BE">
      <w:pPr>
        <w:spacing w:after="0"/>
        <w:ind w:left="851" w:hanging="851"/>
        <w:jc w:val="both"/>
      </w:pPr>
      <w:r w:rsidRPr="00E346DE">
        <w:t xml:space="preserve">             </w:t>
      </w:r>
    </w:p>
    <w:p w14:paraId="662DEE43" w14:textId="558FA23F" w:rsidR="00F52B1D" w:rsidRPr="00E346DE" w:rsidRDefault="003867AA" w:rsidP="00F128BE">
      <w:pPr>
        <w:pStyle w:val="ListParagraph"/>
        <w:numPr>
          <w:ilvl w:val="0"/>
          <w:numId w:val="5"/>
        </w:numPr>
        <w:spacing w:after="0"/>
        <w:ind w:left="851" w:hanging="851"/>
        <w:jc w:val="both"/>
      </w:pPr>
      <w:r w:rsidRPr="00E346DE">
        <w:t>Presenting Coun</w:t>
      </w:r>
      <w:r w:rsidR="00F52B1D" w:rsidRPr="00E346DE">
        <w:t>se</w:t>
      </w:r>
      <w:r w:rsidRPr="00E346DE">
        <w:t xml:space="preserve">l also addressed the </w:t>
      </w:r>
      <w:r w:rsidR="005A3778" w:rsidRPr="00E346DE">
        <w:t>concern expressed by Her Worship about the</w:t>
      </w:r>
      <w:r w:rsidR="00A80C28" w:rsidRPr="00E346DE">
        <w:t xml:space="preserve"> Registrar’s affidavit. He indicated that this</w:t>
      </w:r>
      <w:r w:rsidR="005A3778" w:rsidRPr="00E346DE">
        <w:t xml:space="preserve"> </w:t>
      </w:r>
      <w:r w:rsidRPr="00E346DE">
        <w:t xml:space="preserve">affidavit </w:t>
      </w:r>
      <w:r w:rsidR="00BB729C" w:rsidRPr="00E346DE">
        <w:t>was provided</w:t>
      </w:r>
      <w:r w:rsidRPr="00E346DE">
        <w:t xml:space="preserve"> </w:t>
      </w:r>
      <w:r w:rsidR="00A80C28" w:rsidRPr="00E346DE">
        <w:t xml:space="preserve">by the Registrar </w:t>
      </w:r>
      <w:r w:rsidR="00BB729C" w:rsidRPr="00E346DE">
        <w:t>at</w:t>
      </w:r>
      <w:r w:rsidRPr="00E346DE">
        <w:t xml:space="preserve"> the </w:t>
      </w:r>
      <w:r w:rsidR="006723F9" w:rsidRPr="00E346DE">
        <w:t>request</w:t>
      </w:r>
      <w:r w:rsidR="005A3778" w:rsidRPr="00E346DE">
        <w:t xml:space="preserve"> of Presenting Counsel</w:t>
      </w:r>
      <w:r w:rsidR="005B5D99" w:rsidRPr="00E346DE">
        <w:t xml:space="preserve"> </w:t>
      </w:r>
      <w:r w:rsidR="00A80C28" w:rsidRPr="00E346DE">
        <w:t>in order to</w:t>
      </w:r>
      <w:r w:rsidR="005B5D99" w:rsidRPr="00E346DE">
        <w:t xml:space="preserve"> provide</w:t>
      </w:r>
      <w:r w:rsidR="00A80C28" w:rsidRPr="00E346DE">
        <w:t xml:space="preserve"> the Hearing Panel with relevant information to </w:t>
      </w:r>
      <w:r w:rsidR="005B5D99" w:rsidRPr="00E346DE">
        <w:t>assess the balance of convenience</w:t>
      </w:r>
      <w:r w:rsidR="006723F9" w:rsidRPr="00E346DE">
        <w:t xml:space="preserve">. </w:t>
      </w:r>
      <w:r w:rsidR="005A3778" w:rsidRPr="00E346DE">
        <w:t xml:space="preserve">He </w:t>
      </w:r>
      <w:r w:rsidRPr="00E346DE">
        <w:t>disagree</w:t>
      </w:r>
      <w:r w:rsidR="005A3778" w:rsidRPr="00E346DE">
        <w:t>s</w:t>
      </w:r>
      <w:r w:rsidRPr="00E346DE">
        <w:t xml:space="preserve"> that there is a conflict arising from</w:t>
      </w:r>
      <w:r w:rsidR="00254259" w:rsidRPr="00E346DE">
        <w:t xml:space="preserve"> </w:t>
      </w:r>
      <w:r w:rsidR="00A80C28" w:rsidRPr="00E346DE">
        <w:t>th</w:t>
      </w:r>
      <w:r w:rsidR="003669B6" w:rsidRPr="00E346DE">
        <w:t>is evidence and that the Registrar was the only person who could provide such evidence</w:t>
      </w:r>
      <w:r w:rsidR="00A90F8A" w:rsidRPr="00E346DE">
        <w:t>. T</w:t>
      </w:r>
      <w:r w:rsidR="003669B6" w:rsidRPr="00E346DE">
        <w:t xml:space="preserve">he Registrar essentially </w:t>
      </w:r>
      <w:r w:rsidR="00F128BE" w:rsidRPr="00E346DE">
        <w:t>organizes</w:t>
      </w:r>
      <w:r w:rsidR="003669B6" w:rsidRPr="00E346DE">
        <w:t xml:space="preserve"> the hearings and is responsible </w:t>
      </w:r>
      <w:r w:rsidR="00CE370A" w:rsidRPr="00E346DE">
        <w:t>for finding and securing</w:t>
      </w:r>
      <w:r w:rsidR="003669B6" w:rsidRPr="00E346DE">
        <w:t xml:space="preserve"> </w:t>
      </w:r>
      <w:r w:rsidR="00CE370A" w:rsidRPr="00E346DE">
        <w:t>hearing venues.</w:t>
      </w:r>
    </w:p>
    <w:p w14:paraId="3B13027D" w14:textId="3CF47C21" w:rsidR="003867AA" w:rsidRPr="00E346DE" w:rsidRDefault="003867AA" w:rsidP="00F128BE">
      <w:pPr>
        <w:spacing w:after="0"/>
        <w:ind w:left="851" w:hanging="851"/>
        <w:jc w:val="both"/>
      </w:pPr>
      <w:r w:rsidRPr="00E346DE">
        <w:t xml:space="preserve">              </w:t>
      </w:r>
    </w:p>
    <w:p w14:paraId="67FB1D4F" w14:textId="2C66262E" w:rsidR="005A3778" w:rsidRPr="00E346DE" w:rsidRDefault="005A3778" w:rsidP="00F128BE">
      <w:pPr>
        <w:spacing w:after="0"/>
        <w:ind w:left="851" w:hanging="851"/>
        <w:jc w:val="both"/>
        <w:rPr>
          <w:u w:val="single"/>
        </w:rPr>
      </w:pPr>
      <w:r w:rsidRPr="00E346DE">
        <w:rPr>
          <w:u w:val="single"/>
        </w:rPr>
        <w:t>Decision</w:t>
      </w:r>
    </w:p>
    <w:p w14:paraId="65D37CD0" w14:textId="77777777" w:rsidR="00CA22C3" w:rsidRPr="00E346DE" w:rsidRDefault="00CA22C3" w:rsidP="00F128BE">
      <w:pPr>
        <w:spacing w:after="0"/>
        <w:ind w:left="851" w:hanging="851"/>
        <w:jc w:val="both"/>
        <w:rPr>
          <w:u w:val="single"/>
        </w:rPr>
      </w:pPr>
    </w:p>
    <w:p w14:paraId="5F485975" w14:textId="45A5362F" w:rsidR="003867AA" w:rsidRPr="00E346DE" w:rsidRDefault="00CA22C3" w:rsidP="00F128BE">
      <w:pPr>
        <w:pStyle w:val="ListParagraph"/>
        <w:numPr>
          <w:ilvl w:val="0"/>
          <w:numId w:val="5"/>
        </w:numPr>
        <w:spacing w:after="0"/>
        <w:ind w:left="851" w:hanging="851"/>
        <w:jc w:val="both"/>
      </w:pPr>
      <w:r w:rsidRPr="00E346DE">
        <w:t>Based on the oral and written submissions of counsel</w:t>
      </w:r>
      <w:r w:rsidR="00CE370A" w:rsidRPr="00E346DE">
        <w:t xml:space="preserve"> and</w:t>
      </w:r>
      <w:r w:rsidRPr="00E346DE">
        <w:t xml:space="preserve"> the evidence filed, and </w:t>
      </w:r>
      <w:r w:rsidR="00CE370A" w:rsidRPr="00E346DE">
        <w:t>considering the</w:t>
      </w:r>
      <w:r w:rsidRPr="00E346DE">
        <w:t xml:space="preserve"> applicable legislation</w:t>
      </w:r>
      <w:r w:rsidR="00CE370A" w:rsidRPr="00E346DE">
        <w:t xml:space="preserve"> and Procedures Document</w:t>
      </w:r>
      <w:r w:rsidRPr="00E346DE">
        <w:t xml:space="preserve">, the Panel concludes that it </w:t>
      </w:r>
      <w:r w:rsidR="00CE370A" w:rsidRPr="00E346DE">
        <w:t>has</w:t>
      </w:r>
      <w:r w:rsidRPr="00E346DE">
        <w:t xml:space="preserve"> jurisdiction to order that the hearing be conducted in a location other than Toronto.</w:t>
      </w:r>
      <w:r w:rsidR="00062612" w:rsidRPr="00E346DE">
        <w:t xml:space="preserve"> However, </w:t>
      </w:r>
      <w:proofErr w:type="gramStart"/>
      <w:r w:rsidR="00062612" w:rsidRPr="00E346DE">
        <w:t>for the reasons that</w:t>
      </w:r>
      <w:proofErr w:type="gramEnd"/>
      <w:r w:rsidR="00062612" w:rsidRPr="00E346DE">
        <w:t xml:space="preserve"> follow, the Panel orders that this hearing should be conducted in Toronto.</w:t>
      </w:r>
    </w:p>
    <w:p w14:paraId="759CCDE5" w14:textId="77777777" w:rsidR="003867AA" w:rsidRPr="00E346DE" w:rsidRDefault="003867AA" w:rsidP="00F128BE">
      <w:pPr>
        <w:spacing w:after="0"/>
        <w:ind w:left="851" w:hanging="851"/>
        <w:jc w:val="both"/>
      </w:pPr>
    </w:p>
    <w:p w14:paraId="4F0620B9" w14:textId="60196BDF" w:rsidR="001244CC" w:rsidRPr="00E346DE" w:rsidRDefault="002E6FD5" w:rsidP="00F128BE">
      <w:pPr>
        <w:pStyle w:val="ListParagraph"/>
        <w:numPr>
          <w:ilvl w:val="0"/>
          <w:numId w:val="5"/>
        </w:numPr>
        <w:spacing w:after="0"/>
        <w:ind w:left="851" w:hanging="851"/>
        <w:jc w:val="both"/>
      </w:pPr>
      <w:r w:rsidRPr="00E346DE">
        <w:t xml:space="preserve">The Panel agrees with Presenting Counsel that the onus is on Her Worship </w:t>
      </w:r>
      <w:r w:rsidR="00062612" w:rsidRPr="00E346DE">
        <w:t>to demonstrate that the interests of justice, including overall costs, fairness and convenience of the parties, demonstrably favours holding the hearing in the East Region.</w:t>
      </w:r>
    </w:p>
    <w:p w14:paraId="155A845E" w14:textId="77777777" w:rsidR="00CE370A" w:rsidRPr="00E346DE" w:rsidRDefault="00CE370A" w:rsidP="00F128BE">
      <w:pPr>
        <w:pStyle w:val="ListParagraph"/>
        <w:ind w:left="851" w:hanging="851"/>
      </w:pPr>
    </w:p>
    <w:p w14:paraId="3627C521" w14:textId="59753008" w:rsidR="00CE370A" w:rsidRPr="00E346DE" w:rsidRDefault="001244CC" w:rsidP="00F128BE">
      <w:pPr>
        <w:pStyle w:val="ListParagraph"/>
        <w:numPr>
          <w:ilvl w:val="0"/>
          <w:numId w:val="5"/>
        </w:numPr>
        <w:spacing w:after="0"/>
        <w:ind w:left="851" w:hanging="851"/>
        <w:jc w:val="both"/>
      </w:pPr>
      <w:r w:rsidRPr="00E346DE">
        <w:t xml:space="preserve">The Panel is not persuaded by </w:t>
      </w:r>
      <w:r w:rsidR="00CE370A" w:rsidRPr="00E346DE">
        <w:t>Her Worship’s</w:t>
      </w:r>
      <w:r w:rsidRPr="00E346DE">
        <w:t xml:space="preserve"> submission that the hearing should be located close to </w:t>
      </w:r>
      <w:r w:rsidR="00CE370A" w:rsidRPr="00E346DE">
        <w:t>her</w:t>
      </w:r>
      <w:r w:rsidRPr="00E346DE">
        <w:t xml:space="preserve"> home or workplace to reduce</w:t>
      </w:r>
      <w:r w:rsidR="00CE370A" w:rsidRPr="00E346DE">
        <w:t xml:space="preserve"> personal</w:t>
      </w:r>
      <w:r w:rsidRPr="00E346DE">
        <w:t xml:space="preserve"> inconvenience, travel </w:t>
      </w:r>
      <w:r w:rsidR="00CE370A" w:rsidRPr="00E346DE">
        <w:t>and/</w:t>
      </w:r>
      <w:r w:rsidRPr="00E346DE">
        <w:t xml:space="preserve">or stress. </w:t>
      </w:r>
      <w:r w:rsidR="00182421" w:rsidRPr="00E346DE">
        <w:t xml:space="preserve">The </w:t>
      </w:r>
      <w:r w:rsidR="00A90F8A" w:rsidRPr="00E346DE">
        <w:t>P</w:t>
      </w:r>
      <w:r w:rsidR="00182421" w:rsidRPr="00E346DE">
        <w:t xml:space="preserve">anel notes that the convenience of the parties is not a final or determining factor.  </w:t>
      </w:r>
    </w:p>
    <w:p w14:paraId="2EC2435A" w14:textId="77777777" w:rsidR="00CE370A" w:rsidRPr="00E346DE" w:rsidRDefault="00CE370A" w:rsidP="00F128BE">
      <w:pPr>
        <w:pStyle w:val="ListParagraph"/>
        <w:ind w:left="851" w:hanging="851"/>
      </w:pPr>
    </w:p>
    <w:p w14:paraId="5C88514F" w14:textId="18A0BB7E" w:rsidR="00182421" w:rsidRPr="00E346DE" w:rsidRDefault="00182421" w:rsidP="00F128BE">
      <w:pPr>
        <w:pStyle w:val="ListParagraph"/>
        <w:numPr>
          <w:ilvl w:val="0"/>
          <w:numId w:val="5"/>
        </w:numPr>
        <w:spacing w:after="0"/>
        <w:ind w:left="851" w:hanging="851"/>
        <w:jc w:val="both"/>
      </w:pPr>
      <w:r w:rsidRPr="00E346DE">
        <w:t xml:space="preserve">With respect to witnesses, the </w:t>
      </w:r>
      <w:r w:rsidR="00A90F8A" w:rsidRPr="00E346DE">
        <w:t>P</w:t>
      </w:r>
      <w:r w:rsidRPr="00E346DE">
        <w:t xml:space="preserve">anel observes that </w:t>
      </w:r>
      <w:r w:rsidR="00F55627" w:rsidRPr="00E346DE">
        <w:t xml:space="preserve">videoconferencing is an accepted and cost-effective method used in many courts to accommodate out-of-town witnesses. </w:t>
      </w:r>
      <w:r w:rsidRPr="00E346DE">
        <w:t xml:space="preserve"> </w:t>
      </w:r>
      <w:r w:rsidR="00F55627" w:rsidRPr="00E346DE">
        <w:t>While Counsel for Her Worship expressed concerns about using videoconferencing due to the potential for technical difficulties, t</w:t>
      </w:r>
      <w:r w:rsidRPr="00E346DE">
        <w:t>he Panel was not presented with</w:t>
      </w:r>
      <w:r w:rsidR="00F55627" w:rsidRPr="00E346DE">
        <w:t xml:space="preserve"> any</w:t>
      </w:r>
      <w:r w:rsidRPr="00E346DE">
        <w:t xml:space="preserve"> evidence </w:t>
      </w:r>
      <w:r w:rsidR="00F55627" w:rsidRPr="00E346DE">
        <w:t>to support this suggestion other than counsel’s reference to a trial he conducted in Ottawa.</w:t>
      </w:r>
    </w:p>
    <w:p w14:paraId="305BDF97" w14:textId="77777777" w:rsidR="00182421" w:rsidRPr="00E346DE" w:rsidRDefault="00182421" w:rsidP="00F128BE">
      <w:pPr>
        <w:pStyle w:val="ListParagraph"/>
        <w:spacing w:after="0"/>
        <w:ind w:left="851" w:hanging="851"/>
        <w:jc w:val="both"/>
      </w:pPr>
    </w:p>
    <w:p w14:paraId="1DE56B3F" w14:textId="77777777" w:rsidR="006D20DA" w:rsidRPr="00E346DE" w:rsidRDefault="00CE370A" w:rsidP="00F128BE">
      <w:pPr>
        <w:pStyle w:val="ListParagraph"/>
        <w:numPr>
          <w:ilvl w:val="0"/>
          <w:numId w:val="5"/>
        </w:numPr>
        <w:spacing w:after="0"/>
        <w:ind w:left="851" w:hanging="851"/>
        <w:jc w:val="both"/>
      </w:pPr>
      <w:r w:rsidRPr="00E346DE">
        <w:t xml:space="preserve">With respect to costs, the </w:t>
      </w:r>
      <w:r w:rsidR="00F128BE" w:rsidRPr="00E346DE">
        <w:t>P</w:t>
      </w:r>
      <w:r w:rsidRPr="00E346DE">
        <w:t>anel notes that c</w:t>
      </w:r>
      <w:r w:rsidR="005B5D99" w:rsidRPr="00E346DE">
        <w:t xml:space="preserve">ounsel for Her </w:t>
      </w:r>
      <w:r w:rsidRPr="00E346DE">
        <w:t>W</w:t>
      </w:r>
      <w:r w:rsidR="005B5D99" w:rsidRPr="00E346DE">
        <w:t xml:space="preserve">orship observed </w:t>
      </w:r>
      <w:r w:rsidR="00783654" w:rsidRPr="00E346DE">
        <w:t>that</w:t>
      </w:r>
      <w:r w:rsidR="005B5D99" w:rsidRPr="00E346DE">
        <w:t xml:space="preserve"> m</w:t>
      </w:r>
      <w:r w:rsidR="001244CC" w:rsidRPr="00E346DE">
        <w:t xml:space="preserve">any of the costs are comparable </w:t>
      </w:r>
      <w:r w:rsidR="00F55627" w:rsidRPr="00E346DE">
        <w:t xml:space="preserve">as </w:t>
      </w:r>
      <w:r w:rsidR="001244CC" w:rsidRPr="00E346DE">
        <w:t>between the East Region and Toronto.</w:t>
      </w:r>
    </w:p>
    <w:p w14:paraId="05501473" w14:textId="77777777" w:rsidR="006D20DA" w:rsidRPr="00E346DE" w:rsidRDefault="006D20DA" w:rsidP="006D20DA">
      <w:pPr>
        <w:pStyle w:val="ListParagraph"/>
      </w:pPr>
    </w:p>
    <w:p w14:paraId="4D68FBB4" w14:textId="423E27B3" w:rsidR="00D87699" w:rsidRPr="00E346DE" w:rsidRDefault="00536991" w:rsidP="00673AD9">
      <w:pPr>
        <w:pStyle w:val="ListParagraph"/>
        <w:numPr>
          <w:ilvl w:val="0"/>
          <w:numId w:val="5"/>
        </w:numPr>
        <w:spacing w:after="0"/>
        <w:ind w:left="851" w:hanging="851"/>
        <w:jc w:val="both"/>
      </w:pPr>
      <w:r w:rsidRPr="00E346DE">
        <w:t xml:space="preserve">The Panel </w:t>
      </w:r>
      <w:r w:rsidR="00FF34E0" w:rsidRPr="00E346DE">
        <w:t>observes</w:t>
      </w:r>
      <w:r w:rsidR="0060412D" w:rsidRPr="00E346DE">
        <w:t xml:space="preserve"> </w:t>
      </w:r>
      <w:r w:rsidR="00FF34E0" w:rsidRPr="00E346DE">
        <w:t xml:space="preserve">that the affidavit </w:t>
      </w:r>
      <w:r w:rsidR="0060412D" w:rsidRPr="00E346DE">
        <w:t xml:space="preserve">of the Registrar </w:t>
      </w:r>
      <w:r w:rsidR="00FF34E0" w:rsidRPr="00E346DE">
        <w:t xml:space="preserve">filed by Presenting Counsel </w:t>
      </w:r>
      <w:r w:rsidR="00CA71CD" w:rsidRPr="00E346DE">
        <w:t xml:space="preserve">states that </w:t>
      </w:r>
      <w:r w:rsidR="00E20390" w:rsidRPr="00E346DE">
        <w:t xml:space="preserve">that </w:t>
      </w:r>
      <w:r w:rsidR="0060412D" w:rsidRPr="00E346DE">
        <w:t xml:space="preserve">the Review Council has a small staff who also support </w:t>
      </w:r>
      <w:r w:rsidR="00DA7427" w:rsidRPr="00E346DE">
        <w:t xml:space="preserve">the work of </w:t>
      </w:r>
      <w:r w:rsidR="0060412D" w:rsidRPr="00E346DE">
        <w:t>the Ontario Judicial Council</w:t>
      </w:r>
      <w:r w:rsidR="00DA7427" w:rsidRPr="00E346DE">
        <w:t>. The affidavit</w:t>
      </w:r>
      <w:r w:rsidR="00CA71CD" w:rsidRPr="00E346DE">
        <w:t xml:space="preserve"> describes why a</w:t>
      </w:r>
      <w:r w:rsidR="0060412D" w:rsidRPr="00E346DE">
        <w:t xml:space="preserve"> hearing outside of Toronto would result in inconvenience and operational impacts for the ongoing work of both Councils. Presenting Counsel submits that i</w:t>
      </w:r>
      <w:r w:rsidR="00FF34E0" w:rsidRPr="00E346DE">
        <w:t xml:space="preserve">f the hearing </w:t>
      </w:r>
      <w:r w:rsidR="006B37A0" w:rsidRPr="00E346DE">
        <w:t>were</w:t>
      </w:r>
      <w:r w:rsidR="00FF34E0" w:rsidRPr="00E346DE">
        <w:t xml:space="preserve"> conducted in </w:t>
      </w:r>
      <w:r w:rsidR="00A32034" w:rsidRPr="00E346DE">
        <w:t>the East Region</w:t>
      </w:r>
      <w:r w:rsidR="0060412D" w:rsidRPr="00E346DE">
        <w:t xml:space="preserve">, </w:t>
      </w:r>
      <w:r w:rsidR="00FF34E0" w:rsidRPr="00E346DE">
        <w:t xml:space="preserve">Council staff </w:t>
      </w:r>
      <w:r w:rsidR="006D20DA" w:rsidRPr="00E346DE">
        <w:t xml:space="preserve">would be required to </w:t>
      </w:r>
      <w:r w:rsidR="00E20390" w:rsidRPr="00E346DE">
        <w:t xml:space="preserve">travel to and </w:t>
      </w:r>
      <w:r w:rsidR="00FF34E0" w:rsidRPr="00E346DE">
        <w:t>remain</w:t>
      </w:r>
      <w:r w:rsidR="00E20390" w:rsidRPr="00E346DE">
        <w:t xml:space="preserve"> in the East Region </w:t>
      </w:r>
      <w:r w:rsidR="006D20DA" w:rsidRPr="00E346DE">
        <w:t>to support the operation of the hearing</w:t>
      </w:r>
      <w:r w:rsidR="00E20390" w:rsidRPr="00E346DE">
        <w:t xml:space="preserve">. </w:t>
      </w:r>
      <w:r w:rsidR="0060412D" w:rsidRPr="00E346DE">
        <w:t xml:space="preserve">Having most Council </w:t>
      </w:r>
      <w:r w:rsidR="00DA7427" w:rsidRPr="00E346DE">
        <w:t xml:space="preserve">staff </w:t>
      </w:r>
      <w:r w:rsidR="00834BCF" w:rsidRPr="00E346DE">
        <w:t xml:space="preserve">absent from the OJC/JPRC office </w:t>
      </w:r>
      <w:r w:rsidR="0060412D" w:rsidRPr="00E346DE">
        <w:t>during a hearing estimate</w:t>
      </w:r>
      <w:r w:rsidR="00CA71CD" w:rsidRPr="00E346DE">
        <w:t>d</w:t>
      </w:r>
      <w:r w:rsidR="0060412D" w:rsidRPr="00E346DE">
        <w:t xml:space="preserve"> by Mr. Bayne to be lengthy </w:t>
      </w:r>
      <w:r w:rsidR="00834BCF" w:rsidRPr="00E346DE">
        <w:t xml:space="preserve">would impede the regular functioning of both Councils. </w:t>
      </w:r>
    </w:p>
    <w:p w14:paraId="3D5E0C26" w14:textId="77777777" w:rsidR="0060412D" w:rsidRPr="00E346DE" w:rsidRDefault="0060412D" w:rsidP="0060412D">
      <w:pPr>
        <w:pStyle w:val="ListParagraph"/>
      </w:pPr>
    </w:p>
    <w:p w14:paraId="147629DD" w14:textId="26009D2E" w:rsidR="00D87699" w:rsidRPr="00E346DE" w:rsidRDefault="00D87699" w:rsidP="00F128BE">
      <w:pPr>
        <w:pStyle w:val="ListParagraph"/>
        <w:numPr>
          <w:ilvl w:val="0"/>
          <w:numId w:val="5"/>
        </w:numPr>
        <w:spacing w:after="0"/>
        <w:ind w:left="851" w:hanging="851"/>
        <w:jc w:val="both"/>
      </w:pPr>
      <w:r w:rsidRPr="00E346DE">
        <w:t xml:space="preserve">We note the concerns expressed by counsel for Her Worship in relation to the affidavit emanating from the Registrar of the JPRC. While the Panel is not persuaded that the affidavit created any reasonable apprehension of bias, </w:t>
      </w:r>
      <w:r w:rsidR="00062612" w:rsidRPr="00E346DE">
        <w:t xml:space="preserve">the Panel is of the view that, in the future, it </w:t>
      </w:r>
      <w:r w:rsidRPr="00E346DE">
        <w:t xml:space="preserve">would be advisable that this type of evidence come from persons other than staff of the Review Council.  </w:t>
      </w:r>
    </w:p>
    <w:p w14:paraId="4FABD6C5" w14:textId="77777777" w:rsidR="008B6651" w:rsidRPr="00E346DE" w:rsidRDefault="008B6651" w:rsidP="00F128BE">
      <w:pPr>
        <w:pStyle w:val="ListParagraph"/>
        <w:ind w:left="851" w:hanging="851"/>
      </w:pPr>
    </w:p>
    <w:p w14:paraId="436E0980" w14:textId="2BAF449F" w:rsidR="003867AA" w:rsidRPr="00E346DE" w:rsidRDefault="00254259" w:rsidP="00F128BE">
      <w:pPr>
        <w:pStyle w:val="ListParagraph"/>
        <w:numPr>
          <w:ilvl w:val="0"/>
          <w:numId w:val="5"/>
        </w:numPr>
        <w:spacing w:after="0"/>
        <w:ind w:left="851" w:hanging="851"/>
        <w:jc w:val="both"/>
      </w:pPr>
      <w:r w:rsidRPr="00E346DE">
        <w:t>T</w:t>
      </w:r>
      <w:r w:rsidR="003867AA" w:rsidRPr="00E346DE">
        <w:t>aking into account the governing principle</w:t>
      </w:r>
      <w:r w:rsidR="008A4E8A" w:rsidRPr="00E346DE">
        <w:t xml:space="preserve"> of securing the </w:t>
      </w:r>
      <w:r w:rsidR="00F55627" w:rsidRPr="00E346DE">
        <w:t xml:space="preserve">most </w:t>
      </w:r>
      <w:r w:rsidR="008A4E8A" w:rsidRPr="00E346DE">
        <w:t xml:space="preserve">just, expeditious and </w:t>
      </w:r>
      <w:r w:rsidR="003867AA" w:rsidRPr="00E346DE">
        <w:t>cos</w:t>
      </w:r>
      <w:r w:rsidR="006F20ED" w:rsidRPr="00E346DE">
        <w:t>t</w:t>
      </w:r>
      <w:r w:rsidR="00CA22C3" w:rsidRPr="00E346DE">
        <w:t>-effective</w:t>
      </w:r>
      <w:r w:rsidR="008A4E8A" w:rsidRPr="00E346DE">
        <w:t xml:space="preserve"> determination of the proceeding on its merits</w:t>
      </w:r>
      <w:r w:rsidR="006F20ED" w:rsidRPr="00E346DE">
        <w:t xml:space="preserve"> </w:t>
      </w:r>
      <w:r w:rsidR="00F52B1D" w:rsidRPr="00E346DE">
        <w:t xml:space="preserve">as outlined by the </w:t>
      </w:r>
      <w:r w:rsidR="00CA22C3" w:rsidRPr="00E346DE">
        <w:rPr>
          <w:i/>
        </w:rPr>
        <w:t>SPPA</w:t>
      </w:r>
      <w:r w:rsidR="00CA22C3" w:rsidRPr="00E346DE">
        <w:t xml:space="preserve">, </w:t>
      </w:r>
      <w:r w:rsidR="006F20ED" w:rsidRPr="00E346DE">
        <w:t xml:space="preserve">and </w:t>
      </w:r>
      <w:r w:rsidR="00F52B1D" w:rsidRPr="00E346DE">
        <w:t>accepting that the most logical comparator</w:t>
      </w:r>
      <w:r w:rsidR="00F55627" w:rsidRPr="00E346DE">
        <w:t>s</w:t>
      </w:r>
      <w:r w:rsidR="00F52B1D" w:rsidRPr="00E346DE">
        <w:t xml:space="preserve"> </w:t>
      </w:r>
      <w:r w:rsidR="00F55627" w:rsidRPr="00E346DE">
        <w:t>are</w:t>
      </w:r>
      <w:r w:rsidR="00F52B1D" w:rsidRPr="00E346DE">
        <w:t xml:space="preserve"> professional </w:t>
      </w:r>
      <w:r w:rsidR="00CA22C3" w:rsidRPr="00E346DE">
        <w:t xml:space="preserve">disciplinary </w:t>
      </w:r>
      <w:r w:rsidR="00F52B1D" w:rsidRPr="00E346DE">
        <w:t xml:space="preserve">bodies </w:t>
      </w:r>
      <w:r w:rsidR="006F20ED" w:rsidRPr="00E346DE">
        <w:t>whose established</w:t>
      </w:r>
      <w:r w:rsidRPr="00E346DE">
        <w:t xml:space="preserve"> </w:t>
      </w:r>
      <w:r w:rsidR="006F20ED" w:rsidRPr="00E346DE">
        <w:t>practice</w:t>
      </w:r>
      <w:r w:rsidR="002E6FD5" w:rsidRPr="00E346DE">
        <w:t>s</w:t>
      </w:r>
      <w:r w:rsidR="006F20ED" w:rsidRPr="00E346DE">
        <w:t xml:space="preserve"> </w:t>
      </w:r>
      <w:r w:rsidR="002E6FD5" w:rsidRPr="00E346DE">
        <w:t>are</w:t>
      </w:r>
      <w:r w:rsidR="006F20ED" w:rsidRPr="00E346DE">
        <w:t xml:space="preserve"> to </w:t>
      </w:r>
      <w:r w:rsidR="00CA22C3" w:rsidRPr="00E346DE">
        <w:t xml:space="preserve">generally </w:t>
      </w:r>
      <w:r w:rsidR="00F52B1D" w:rsidRPr="00E346DE">
        <w:t>hold hearing</w:t>
      </w:r>
      <w:r w:rsidR="006F20ED" w:rsidRPr="00E346DE">
        <w:t>s</w:t>
      </w:r>
      <w:r w:rsidR="00F52B1D" w:rsidRPr="00E346DE">
        <w:t xml:space="preserve"> at the location of their </w:t>
      </w:r>
      <w:r w:rsidR="00EF434A" w:rsidRPr="00E346DE">
        <w:t>headquarters,</w:t>
      </w:r>
      <w:r w:rsidR="00C31DCC" w:rsidRPr="00E346DE">
        <w:t xml:space="preserve"> </w:t>
      </w:r>
      <w:r w:rsidR="00EF434A" w:rsidRPr="00E346DE">
        <w:t xml:space="preserve">it </w:t>
      </w:r>
      <w:r w:rsidR="003867AA" w:rsidRPr="00E346DE">
        <w:t>is the</w:t>
      </w:r>
      <w:r w:rsidRPr="00E346DE">
        <w:t xml:space="preserve"> </w:t>
      </w:r>
      <w:r w:rsidR="003867AA" w:rsidRPr="00E346DE">
        <w:t>decision of this Panel to hold Her Worship’s hearing in Toronto.</w:t>
      </w:r>
      <w:r w:rsidR="001244CC" w:rsidRPr="00E346DE">
        <w:t xml:space="preserve"> </w:t>
      </w:r>
    </w:p>
    <w:p w14:paraId="7DE85349" w14:textId="77777777" w:rsidR="002307B2" w:rsidRPr="00E346DE" w:rsidRDefault="002307B2" w:rsidP="00F128BE">
      <w:pPr>
        <w:pStyle w:val="ListParagraph"/>
        <w:spacing w:after="0"/>
        <w:ind w:left="851" w:hanging="851"/>
        <w:jc w:val="both"/>
      </w:pPr>
    </w:p>
    <w:p w14:paraId="3618A2D1" w14:textId="6275453A" w:rsidR="002307B2" w:rsidRPr="00E346DE" w:rsidRDefault="002307B2" w:rsidP="00F128BE">
      <w:pPr>
        <w:pStyle w:val="ListParagraph"/>
        <w:numPr>
          <w:ilvl w:val="0"/>
          <w:numId w:val="5"/>
        </w:numPr>
        <w:spacing w:after="0"/>
        <w:ind w:left="851" w:hanging="851"/>
        <w:jc w:val="both"/>
      </w:pPr>
      <w:r w:rsidRPr="00E346DE">
        <w:t>The Panel observes that, since issuing its oral decision, the J</w:t>
      </w:r>
      <w:r w:rsidR="0075516C" w:rsidRPr="00E346DE">
        <w:t>PRC</w:t>
      </w:r>
      <w:r w:rsidRPr="00E346DE">
        <w:t xml:space="preserve"> formally amended its Procedures Document to provide that</w:t>
      </w:r>
      <w:r w:rsidR="00D87699" w:rsidRPr="00E346DE">
        <w:t xml:space="preserve">, absent exceptional circumstances, </w:t>
      </w:r>
      <w:r w:rsidRPr="00E346DE">
        <w:t xml:space="preserve">all JPRC hearings shall be conducted in Toronto. Had the JPRC not recently amended its Procedures Document to reflect </w:t>
      </w:r>
      <w:r w:rsidR="00062612" w:rsidRPr="00E346DE">
        <w:t>this</w:t>
      </w:r>
      <w:r w:rsidRPr="00E346DE">
        <w:t xml:space="preserve"> long-standing practice, this Panel would have recommended such an amendment. </w:t>
      </w:r>
    </w:p>
    <w:p w14:paraId="7B9F1248" w14:textId="1643D0DB" w:rsidR="009D1450" w:rsidRPr="00E346DE" w:rsidRDefault="009D1450" w:rsidP="00F128BE">
      <w:pPr>
        <w:spacing w:before="480" w:after="0"/>
        <w:ind w:left="851" w:hanging="851"/>
      </w:pPr>
      <w:r w:rsidRPr="00E346DE">
        <w:rPr>
          <w:rFonts w:eastAsia="Times New Roman" w:cstheme="minorHAnsi"/>
          <w:szCs w:val="24"/>
          <w:lang w:eastAsia="en-CA"/>
        </w:rPr>
        <w:t xml:space="preserve">Dated at the city of Toronto in the Province of Ontario, November </w:t>
      </w:r>
      <w:r w:rsidR="00E346DE" w:rsidRPr="00E346DE">
        <w:rPr>
          <w:rFonts w:eastAsia="Times New Roman" w:cstheme="minorHAnsi"/>
          <w:szCs w:val="24"/>
          <w:lang w:eastAsia="en-CA"/>
        </w:rPr>
        <w:t>25</w:t>
      </w:r>
      <w:r w:rsidRPr="00E346DE">
        <w:rPr>
          <w:rFonts w:eastAsia="Times New Roman" w:cstheme="minorHAnsi"/>
          <w:szCs w:val="24"/>
          <w:lang w:eastAsia="en-CA"/>
        </w:rPr>
        <w:t xml:space="preserve">, 2019. </w:t>
      </w:r>
    </w:p>
    <w:p w14:paraId="6A402FDA" w14:textId="77777777" w:rsidR="009D1450" w:rsidRPr="00E346DE" w:rsidRDefault="009D1450" w:rsidP="00F128BE">
      <w:pPr>
        <w:spacing w:after="0" w:line="240" w:lineRule="auto"/>
        <w:ind w:left="851" w:right="-446" w:hanging="851"/>
        <w:rPr>
          <w:rFonts w:eastAsia="Times New Roman" w:cstheme="minorHAnsi"/>
          <w:szCs w:val="24"/>
          <w:lang w:eastAsia="en-CA"/>
        </w:rPr>
      </w:pPr>
    </w:p>
    <w:p w14:paraId="24A442AE" w14:textId="356E40BF" w:rsidR="009D1450" w:rsidRPr="00E346DE" w:rsidRDefault="009809CD" w:rsidP="00F128BE">
      <w:pPr>
        <w:spacing w:after="0" w:line="240" w:lineRule="auto"/>
        <w:ind w:left="851" w:right="-446" w:hanging="851"/>
        <w:rPr>
          <w:rFonts w:eastAsia="Times New Roman" w:cstheme="minorHAnsi"/>
          <w:b/>
          <w:szCs w:val="24"/>
          <w:lang w:eastAsia="en-CA"/>
        </w:rPr>
      </w:pPr>
      <w:r w:rsidRPr="00E346DE">
        <w:rPr>
          <w:rFonts w:eastAsia="Times New Roman" w:cstheme="minorHAnsi"/>
          <w:b/>
          <w:szCs w:val="24"/>
          <w:lang w:eastAsia="en-CA"/>
        </w:rPr>
        <w:t xml:space="preserve">REASONS OF THE </w:t>
      </w:r>
      <w:r w:rsidR="009D1450" w:rsidRPr="00E346DE">
        <w:rPr>
          <w:rFonts w:eastAsia="Times New Roman" w:cstheme="minorHAnsi"/>
          <w:b/>
          <w:szCs w:val="24"/>
          <w:lang w:eastAsia="en-CA"/>
        </w:rPr>
        <w:t>HEARING PANEL</w:t>
      </w:r>
      <w:r w:rsidRPr="00E346DE">
        <w:rPr>
          <w:rFonts w:eastAsia="Times New Roman" w:cstheme="minorHAnsi"/>
          <w:b/>
          <w:szCs w:val="24"/>
          <w:lang w:eastAsia="en-CA"/>
        </w:rPr>
        <w:t>, AS IT WAS THEN CONSTITUTED</w:t>
      </w:r>
      <w:r w:rsidR="009D1450" w:rsidRPr="00E346DE">
        <w:rPr>
          <w:rFonts w:eastAsia="Times New Roman" w:cstheme="minorHAnsi"/>
          <w:b/>
          <w:szCs w:val="24"/>
          <w:lang w:eastAsia="en-CA"/>
        </w:rPr>
        <w:t>:</w:t>
      </w:r>
    </w:p>
    <w:p w14:paraId="4C9ED332" w14:textId="77777777" w:rsidR="009D1450" w:rsidRPr="00E346DE" w:rsidRDefault="009D1450" w:rsidP="00F128BE">
      <w:pPr>
        <w:spacing w:before="240" w:after="240" w:line="240" w:lineRule="auto"/>
        <w:ind w:left="851" w:right="-448" w:hanging="851"/>
        <w:rPr>
          <w:rFonts w:eastAsia="Times New Roman" w:cstheme="minorHAnsi"/>
          <w:szCs w:val="24"/>
          <w:lang w:eastAsia="en-CA"/>
        </w:rPr>
      </w:pPr>
      <w:r w:rsidRPr="00E346DE">
        <w:rPr>
          <w:rFonts w:eastAsia="Times New Roman" w:cstheme="minorHAnsi"/>
          <w:szCs w:val="24"/>
          <w:lang w:eastAsia="en-CA"/>
        </w:rPr>
        <w:t>The Honourable Justice Martin Lambert, Chair</w:t>
      </w:r>
    </w:p>
    <w:p w14:paraId="0418F1AB" w14:textId="77777777" w:rsidR="009D1450" w:rsidRPr="00E346DE" w:rsidRDefault="009D1450" w:rsidP="00F128BE">
      <w:pPr>
        <w:spacing w:before="240" w:after="240" w:line="240" w:lineRule="auto"/>
        <w:ind w:left="851" w:right="-448" w:hanging="851"/>
        <w:rPr>
          <w:rFonts w:eastAsia="Times New Roman" w:cstheme="minorHAnsi"/>
          <w:szCs w:val="24"/>
          <w:lang w:eastAsia="en-CA"/>
        </w:rPr>
      </w:pPr>
      <w:r w:rsidRPr="00E346DE">
        <w:rPr>
          <w:rFonts w:eastAsia="Times New Roman" w:cstheme="minorHAnsi"/>
          <w:szCs w:val="24"/>
          <w:lang w:eastAsia="en-CA"/>
        </w:rPr>
        <w:t>Her Worship Kristine Diaz, Justice of the Peace Member</w:t>
      </w:r>
    </w:p>
    <w:p w14:paraId="060D9C90" w14:textId="5F766A4E" w:rsidR="003867AA" w:rsidRPr="007C3DEA" w:rsidRDefault="00DF49FB" w:rsidP="00E346DE">
      <w:pPr>
        <w:spacing w:before="240" w:after="240" w:line="240" w:lineRule="auto"/>
        <w:ind w:left="851" w:right="-448" w:hanging="851"/>
      </w:pPr>
      <w:r w:rsidRPr="00E346DE">
        <w:rPr>
          <w:rFonts w:eastAsia="Times New Roman" w:cstheme="minorHAnsi"/>
          <w:szCs w:val="24"/>
          <w:lang w:eastAsia="en-CA"/>
        </w:rPr>
        <w:t>D</w:t>
      </w:r>
      <w:r w:rsidR="009D1450" w:rsidRPr="00E346DE">
        <w:rPr>
          <w:rFonts w:eastAsia="Times New Roman" w:cstheme="minorHAnsi"/>
          <w:szCs w:val="24"/>
          <w:lang w:eastAsia="en-CA"/>
        </w:rPr>
        <w:t>r. Michael Phillip</w:t>
      </w:r>
      <w:r w:rsidR="009809CD" w:rsidRPr="00E346DE">
        <w:rPr>
          <w:rFonts w:eastAsia="Times New Roman" w:cstheme="minorHAnsi"/>
          <w:szCs w:val="24"/>
          <w:lang w:eastAsia="en-CA"/>
        </w:rPr>
        <w:t>s</w:t>
      </w:r>
      <w:r w:rsidR="009D1450" w:rsidRPr="00E346DE">
        <w:rPr>
          <w:rFonts w:eastAsia="Times New Roman" w:cstheme="minorHAnsi"/>
          <w:szCs w:val="24"/>
          <w:lang w:eastAsia="en-CA"/>
        </w:rPr>
        <w:t>, Community Member</w:t>
      </w:r>
    </w:p>
    <w:p w14:paraId="533BE2C7" w14:textId="77777777" w:rsidR="00997DD8" w:rsidRPr="00F85186" w:rsidRDefault="005A2535" w:rsidP="00F128BE">
      <w:pPr>
        <w:ind w:left="851" w:hanging="851"/>
      </w:pPr>
    </w:p>
    <w:sectPr w:rsidR="00997DD8" w:rsidRPr="00F85186" w:rsidSect="00A84AD4">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21253" w14:textId="77777777" w:rsidR="002922B8" w:rsidRDefault="002922B8" w:rsidP="00F72078">
      <w:pPr>
        <w:spacing w:after="0" w:line="240" w:lineRule="auto"/>
      </w:pPr>
      <w:r>
        <w:separator/>
      </w:r>
    </w:p>
  </w:endnote>
  <w:endnote w:type="continuationSeparator" w:id="0">
    <w:p w14:paraId="60EA4AC1" w14:textId="77777777" w:rsidR="002922B8" w:rsidRDefault="002922B8"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875992"/>
      <w:docPartObj>
        <w:docPartGallery w:val="Page Numbers (Bottom of Page)"/>
        <w:docPartUnique/>
      </w:docPartObj>
    </w:sdtPr>
    <w:sdtEndPr>
      <w:rPr>
        <w:noProof/>
      </w:rPr>
    </w:sdtEndPr>
    <w:sdtContent>
      <w:p w14:paraId="4FC97E34" w14:textId="77777777" w:rsidR="00A84AD4" w:rsidRDefault="00A84AD4">
        <w:pPr>
          <w:pStyle w:val="Footer"/>
          <w:jc w:val="center"/>
        </w:pPr>
        <w:r>
          <w:fldChar w:fldCharType="begin"/>
        </w:r>
        <w:r>
          <w:instrText xml:space="preserve"> PAGE   \* MERGEFORMAT </w:instrText>
        </w:r>
        <w:r>
          <w:fldChar w:fldCharType="separate"/>
        </w:r>
        <w:r w:rsidR="003867AA">
          <w:rPr>
            <w:noProof/>
          </w:rPr>
          <w:t>1</w:t>
        </w:r>
        <w:r>
          <w:rPr>
            <w:noProof/>
          </w:rPr>
          <w:fldChar w:fldCharType="end"/>
        </w:r>
      </w:p>
    </w:sdtContent>
  </w:sdt>
  <w:p w14:paraId="7FFB7990" w14:textId="77777777" w:rsidR="00A84AD4" w:rsidRDefault="00A8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EAD3E" w14:textId="77777777" w:rsidR="002922B8" w:rsidRDefault="002922B8" w:rsidP="00F72078">
      <w:pPr>
        <w:spacing w:after="0" w:line="240" w:lineRule="auto"/>
      </w:pPr>
      <w:r>
        <w:separator/>
      </w:r>
    </w:p>
  </w:footnote>
  <w:footnote w:type="continuationSeparator" w:id="0">
    <w:p w14:paraId="0AFD017B" w14:textId="77777777" w:rsidR="002922B8" w:rsidRDefault="002922B8" w:rsidP="00F72078">
      <w:pPr>
        <w:spacing w:after="0" w:line="240" w:lineRule="auto"/>
      </w:pPr>
      <w:r>
        <w:continuationSeparator/>
      </w:r>
    </w:p>
  </w:footnote>
  <w:footnote w:id="1">
    <w:p w14:paraId="71A5B1B8" w14:textId="6C2650D8" w:rsidR="00491ACC" w:rsidRPr="00491ACC" w:rsidRDefault="00491ACC">
      <w:pPr>
        <w:pStyle w:val="FootnoteText"/>
        <w:rPr>
          <w:lang w:val="en-US"/>
        </w:rPr>
      </w:pPr>
      <w:r>
        <w:rPr>
          <w:rStyle w:val="FootnoteReference"/>
        </w:rPr>
        <w:footnoteRef/>
      </w:r>
      <w:r>
        <w:t xml:space="preserve"> The</w:t>
      </w:r>
      <w:r w:rsidR="00924BDD">
        <w:t xml:space="preserve"> application</w:t>
      </w:r>
      <w:r>
        <w:t xml:space="preserve"> was argued before the Hearing Panel constituted of the Honourable Justice Martin Lambert, Justice of the Peace Kristine Diaz and Dr. Michael Phillips. </w:t>
      </w:r>
      <w:r w:rsidRPr="00491ACC">
        <w:t xml:space="preserve">Subsequently, Dr. Phillips became unable to continue on the Panel and </w:t>
      </w:r>
      <w:r>
        <w:t>he</w:t>
      </w:r>
      <w:r w:rsidRPr="00491ACC">
        <w:t xml:space="preserve"> was replaced by community member Ms. Leonore Foster.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16F"/>
    <w:multiLevelType w:val="hybridMultilevel"/>
    <w:tmpl w:val="7F44E068"/>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4950E3"/>
    <w:multiLevelType w:val="hybridMultilevel"/>
    <w:tmpl w:val="9086E076"/>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7E689E"/>
    <w:multiLevelType w:val="hybridMultilevel"/>
    <w:tmpl w:val="DCB47AE8"/>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3B552B"/>
    <w:multiLevelType w:val="hybridMultilevel"/>
    <w:tmpl w:val="2860576E"/>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3945E6"/>
    <w:multiLevelType w:val="hybridMultilevel"/>
    <w:tmpl w:val="51966E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A26370C"/>
    <w:multiLevelType w:val="hybridMultilevel"/>
    <w:tmpl w:val="EC70340E"/>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EE025F2"/>
    <w:multiLevelType w:val="hybridMultilevel"/>
    <w:tmpl w:val="92F89E8C"/>
    <w:lvl w:ilvl="0" w:tplc="10090011">
      <w:start w:val="1"/>
      <w:numFmt w:val="decimal"/>
      <w:lvlText w:val="%1)"/>
      <w:lvlJc w:val="left"/>
      <w:pPr>
        <w:ind w:left="1800" w:hanging="360"/>
      </w:pPr>
      <w:rPr>
        <w:rFonts w:cs="Times New Roman"/>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7" w15:restartNumberingAfterBreak="0">
    <w:nsid w:val="58225786"/>
    <w:multiLevelType w:val="hybridMultilevel"/>
    <w:tmpl w:val="D8AA7316"/>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2035A66"/>
    <w:multiLevelType w:val="hybridMultilevel"/>
    <w:tmpl w:val="8E4A12FE"/>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5374A28"/>
    <w:multiLevelType w:val="hybridMultilevel"/>
    <w:tmpl w:val="56D0C7B6"/>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B9A4875"/>
    <w:multiLevelType w:val="hybridMultilevel"/>
    <w:tmpl w:val="0598D86E"/>
    <w:lvl w:ilvl="0" w:tplc="910A91EE">
      <w:start w:val="1"/>
      <w:numFmt w:val="decimal"/>
      <w:lvlText w:val="[%1]"/>
      <w:lvlJc w:val="left"/>
      <w:pPr>
        <w:ind w:left="1520" w:hanging="360"/>
      </w:pPr>
      <w:rPr>
        <w:rFonts w:hint="default"/>
      </w:rPr>
    </w:lvl>
    <w:lvl w:ilvl="1" w:tplc="10090019" w:tentative="1">
      <w:start w:val="1"/>
      <w:numFmt w:val="lowerLetter"/>
      <w:lvlText w:val="%2."/>
      <w:lvlJc w:val="left"/>
      <w:pPr>
        <w:ind w:left="2240" w:hanging="360"/>
      </w:pPr>
    </w:lvl>
    <w:lvl w:ilvl="2" w:tplc="1009001B" w:tentative="1">
      <w:start w:val="1"/>
      <w:numFmt w:val="lowerRoman"/>
      <w:lvlText w:val="%3."/>
      <w:lvlJc w:val="right"/>
      <w:pPr>
        <w:ind w:left="2960" w:hanging="180"/>
      </w:pPr>
    </w:lvl>
    <w:lvl w:ilvl="3" w:tplc="1009000F" w:tentative="1">
      <w:start w:val="1"/>
      <w:numFmt w:val="decimal"/>
      <w:lvlText w:val="%4."/>
      <w:lvlJc w:val="left"/>
      <w:pPr>
        <w:ind w:left="3680" w:hanging="360"/>
      </w:pPr>
    </w:lvl>
    <w:lvl w:ilvl="4" w:tplc="10090019" w:tentative="1">
      <w:start w:val="1"/>
      <w:numFmt w:val="lowerLetter"/>
      <w:lvlText w:val="%5."/>
      <w:lvlJc w:val="left"/>
      <w:pPr>
        <w:ind w:left="4400" w:hanging="360"/>
      </w:pPr>
    </w:lvl>
    <w:lvl w:ilvl="5" w:tplc="1009001B" w:tentative="1">
      <w:start w:val="1"/>
      <w:numFmt w:val="lowerRoman"/>
      <w:lvlText w:val="%6."/>
      <w:lvlJc w:val="right"/>
      <w:pPr>
        <w:ind w:left="5120" w:hanging="180"/>
      </w:pPr>
    </w:lvl>
    <w:lvl w:ilvl="6" w:tplc="1009000F" w:tentative="1">
      <w:start w:val="1"/>
      <w:numFmt w:val="decimal"/>
      <w:lvlText w:val="%7."/>
      <w:lvlJc w:val="left"/>
      <w:pPr>
        <w:ind w:left="5840" w:hanging="360"/>
      </w:pPr>
    </w:lvl>
    <w:lvl w:ilvl="7" w:tplc="10090019" w:tentative="1">
      <w:start w:val="1"/>
      <w:numFmt w:val="lowerLetter"/>
      <w:lvlText w:val="%8."/>
      <w:lvlJc w:val="left"/>
      <w:pPr>
        <w:ind w:left="6560" w:hanging="360"/>
      </w:pPr>
    </w:lvl>
    <w:lvl w:ilvl="8" w:tplc="1009001B" w:tentative="1">
      <w:start w:val="1"/>
      <w:numFmt w:val="lowerRoman"/>
      <w:lvlText w:val="%9."/>
      <w:lvlJc w:val="right"/>
      <w:pPr>
        <w:ind w:left="7280" w:hanging="180"/>
      </w:pPr>
    </w:lvl>
  </w:abstractNum>
  <w:abstractNum w:abstractNumId="11" w15:restartNumberingAfterBreak="0">
    <w:nsid w:val="7F955387"/>
    <w:multiLevelType w:val="hybridMultilevel"/>
    <w:tmpl w:val="6C10FB9A"/>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FE00F99"/>
    <w:multiLevelType w:val="hybridMultilevel"/>
    <w:tmpl w:val="725EF3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2"/>
  </w:num>
  <w:num w:numId="5">
    <w:abstractNumId w:val="3"/>
  </w:num>
  <w:num w:numId="6">
    <w:abstractNumId w:val="9"/>
  </w:num>
  <w:num w:numId="7">
    <w:abstractNumId w:val="7"/>
  </w:num>
  <w:num w:numId="8">
    <w:abstractNumId w:val="5"/>
  </w:num>
  <w:num w:numId="9">
    <w:abstractNumId w:val="10"/>
  </w:num>
  <w:num w:numId="10">
    <w:abstractNumId w:val="1"/>
  </w:num>
  <w:num w:numId="11">
    <w:abstractNumId w:val="8"/>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EA"/>
    <w:rsid w:val="00033F9A"/>
    <w:rsid w:val="00062612"/>
    <w:rsid w:val="00070B21"/>
    <w:rsid w:val="000A0119"/>
    <w:rsid w:val="000B12FC"/>
    <w:rsid w:val="000E16BA"/>
    <w:rsid w:val="000E298C"/>
    <w:rsid w:val="001244CC"/>
    <w:rsid w:val="001726B6"/>
    <w:rsid w:val="00182421"/>
    <w:rsid w:val="001C37B4"/>
    <w:rsid w:val="001F129E"/>
    <w:rsid w:val="00205ABE"/>
    <w:rsid w:val="00225BE4"/>
    <w:rsid w:val="002307B2"/>
    <w:rsid w:val="0023225F"/>
    <w:rsid w:val="00254259"/>
    <w:rsid w:val="002922B8"/>
    <w:rsid w:val="00295752"/>
    <w:rsid w:val="00296A4B"/>
    <w:rsid w:val="002B2E66"/>
    <w:rsid w:val="002E6FD5"/>
    <w:rsid w:val="002E6FF6"/>
    <w:rsid w:val="00317F1F"/>
    <w:rsid w:val="0036413B"/>
    <w:rsid w:val="003664A3"/>
    <w:rsid w:val="003669B6"/>
    <w:rsid w:val="00366A95"/>
    <w:rsid w:val="003867AA"/>
    <w:rsid w:val="003959D1"/>
    <w:rsid w:val="00404C1A"/>
    <w:rsid w:val="004271D6"/>
    <w:rsid w:val="00455FF3"/>
    <w:rsid w:val="00487378"/>
    <w:rsid w:val="00491ACC"/>
    <w:rsid w:val="004A2238"/>
    <w:rsid w:val="004A392D"/>
    <w:rsid w:val="004B347D"/>
    <w:rsid w:val="004B69F7"/>
    <w:rsid w:val="004F1B03"/>
    <w:rsid w:val="004F20C3"/>
    <w:rsid w:val="005276AB"/>
    <w:rsid w:val="00536991"/>
    <w:rsid w:val="00536BDE"/>
    <w:rsid w:val="00562F05"/>
    <w:rsid w:val="0057735C"/>
    <w:rsid w:val="005A2535"/>
    <w:rsid w:val="005A3778"/>
    <w:rsid w:val="005B5D99"/>
    <w:rsid w:val="005C5FA3"/>
    <w:rsid w:val="005D01E9"/>
    <w:rsid w:val="005F0A08"/>
    <w:rsid w:val="005F158E"/>
    <w:rsid w:val="006021EF"/>
    <w:rsid w:val="0060412D"/>
    <w:rsid w:val="006123A9"/>
    <w:rsid w:val="006155A0"/>
    <w:rsid w:val="00617759"/>
    <w:rsid w:val="00624B02"/>
    <w:rsid w:val="006653D6"/>
    <w:rsid w:val="006723F9"/>
    <w:rsid w:val="00695E04"/>
    <w:rsid w:val="006B37A0"/>
    <w:rsid w:val="006C7751"/>
    <w:rsid w:val="006D20DA"/>
    <w:rsid w:val="006D72AA"/>
    <w:rsid w:val="006F20ED"/>
    <w:rsid w:val="006F43EA"/>
    <w:rsid w:val="007132B1"/>
    <w:rsid w:val="00744CF7"/>
    <w:rsid w:val="0075516C"/>
    <w:rsid w:val="00767151"/>
    <w:rsid w:val="007707B1"/>
    <w:rsid w:val="00783654"/>
    <w:rsid w:val="00794C32"/>
    <w:rsid w:val="007C3A83"/>
    <w:rsid w:val="007D6DDD"/>
    <w:rsid w:val="008047C2"/>
    <w:rsid w:val="00812AC6"/>
    <w:rsid w:val="00834BCF"/>
    <w:rsid w:val="00843ECC"/>
    <w:rsid w:val="00885C14"/>
    <w:rsid w:val="008910D6"/>
    <w:rsid w:val="008A4E8A"/>
    <w:rsid w:val="008B6651"/>
    <w:rsid w:val="00901039"/>
    <w:rsid w:val="00924BDD"/>
    <w:rsid w:val="009809CD"/>
    <w:rsid w:val="009B1D63"/>
    <w:rsid w:val="009B65DE"/>
    <w:rsid w:val="009D1450"/>
    <w:rsid w:val="009D20FD"/>
    <w:rsid w:val="00A22FC6"/>
    <w:rsid w:val="00A32034"/>
    <w:rsid w:val="00A37409"/>
    <w:rsid w:val="00A426B6"/>
    <w:rsid w:val="00A4736E"/>
    <w:rsid w:val="00A67BA3"/>
    <w:rsid w:val="00A80C28"/>
    <w:rsid w:val="00A81D58"/>
    <w:rsid w:val="00A84AD4"/>
    <w:rsid w:val="00A90F8A"/>
    <w:rsid w:val="00A963FC"/>
    <w:rsid w:val="00AA25F5"/>
    <w:rsid w:val="00AD71CE"/>
    <w:rsid w:val="00B475BA"/>
    <w:rsid w:val="00B87BA9"/>
    <w:rsid w:val="00B93223"/>
    <w:rsid w:val="00BB729C"/>
    <w:rsid w:val="00BC5022"/>
    <w:rsid w:val="00C029AC"/>
    <w:rsid w:val="00C064F0"/>
    <w:rsid w:val="00C0778F"/>
    <w:rsid w:val="00C31DCC"/>
    <w:rsid w:val="00C442F5"/>
    <w:rsid w:val="00C93AB7"/>
    <w:rsid w:val="00CA22C3"/>
    <w:rsid w:val="00CA71CD"/>
    <w:rsid w:val="00CC034D"/>
    <w:rsid w:val="00CE370A"/>
    <w:rsid w:val="00D7310B"/>
    <w:rsid w:val="00D7603A"/>
    <w:rsid w:val="00D83F89"/>
    <w:rsid w:val="00D87699"/>
    <w:rsid w:val="00DA7427"/>
    <w:rsid w:val="00DB2030"/>
    <w:rsid w:val="00DF49FB"/>
    <w:rsid w:val="00E20390"/>
    <w:rsid w:val="00E32F5C"/>
    <w:rsid w:val="00E346DE"/>
    <w:rsid w:val="00E73229"/>
    <w:rsid w:val="00EE645A"/>
    <w:rsid w:val="00EF434A"/>
    <w:rsid w:val="00F128BE"/>
    <w:rsid w:val="00F17B57"/>
    <w:rsid w:val="00F37F46"/>
    <w:rsid w:val="00F45157"/>
    <w:rsid w:val="00F52B1D"/>
    <w:rsid w:val="00F55627"/>
    <w:rsid w:val="00F569CF"/>
    <w:rsid w:val="00F61F85"/>
    <w:rsid w:val="00F6220A"/>
    <w:rsid w:val="00F72078"/>
    <w:rsid w:val="00F85186"/>
    <w:rsid w:val="00FA62DB"/>
    <w:rsid w:val="00FB11EB"/>
    <w:rsid w:val="00FE363E"/>
    <w:rsid w:val="00FF037A"/>
    <w:rsid w:val="00FF3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D12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 w:type="paragraph" w:styleId="FootnoteText">
    <w:name w:val="footnote text"/>
    <w:basedOn w:val="Normal"/>
    <w:link w:val="FootnoteTextChar"/>
    <w:uiPriority w:val="99"/>
    <w:semiHidden/>
    <w:unhideWhenUsed/>
    <w:rsid w:val="00491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ACC"/>
    <w:rPr>
      <w:sz w:val="20"/>
      <w:szCs w:val="20"/>
    </w:rPr>
  </w:style>
  <w:style w:type="character" w:styleId="FootnoteReference">
    <w:name w:val="footnote reference"/>
    <w:basedOn w:val="DefaultParagraphFont"/>
    <w:uiPriority w:val="99"/>
    <w:semiHidden/>
    <w:unhideWhenUsed/>
    <w:rsid w:val="00491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EE414-5363-4516-860A-AF001886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1822</Words>
  <Characters>10388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Justice of the Peace Claire Winchester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Claire Winchester</dc:title>
  <dc:subject/>
  <dc:creator/>
  <cp:keywords/>
  <dc:description/>
  <cp:lastModifiedBy/>
  <cp:revision>1</cp:revision>
  <dcterms:created xsi:type="dcterms:W3CDTF">2019-11-25T21:24:00Z</dcterms:created>
  <dcterms:modified xsi:type="dcterms:W3CDTF">2019-11-25T21:24:00Z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2019-11-25T20:47:46.9003026Z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b944ed22-8152-43b2-afeb-05362930803c</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