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3AB1C" w14:textId="1099C482" w:rsidR="00A3141A" w:rsidRPr="000C43C5" w:rsidRDefault="0090774B" w:rsidP="00A3141A">
      <w:pPr>
        <w:spacing w:after="960"/>
        <w:ind w:right="-180"/>
        <w:jc w:val="center"/>
        <w:rPr>
          <w:rFonts w:ascii="Arial" w:hAnsi="Arial" w:cs="Arial"/>
          <w:b/>
          <w:sz w:val="36"/>
          <w:szCs w:val="36"/>
          <w:lang w:val="fr-CA"/>
        </w:rPr>
      </w:pPr>
      <w:r w:rsidRPr="000C43C5">
        <w:rPr>
          <w:rFonts w:ascii="Arial" w:hAnsi="Arial" w:cs="Arial"/>
          <w:b/>
          <w:bCs/>
          <w:sz w:val="36"/>
          <w:szCs w:val="36"/>
          <w:lang w:val="fr-CA"/>
        </w:rPr>
        <w:t>Conseil d’évaluation des juges de paix</w:t>
      </w:r>
    </w:p>
    <w:p w14:paraId="568FFB80" w14:textId="099AD3EC" w:rsidR="001423F7" w:rsidRPr="000C43C5" w:rsidRDefault="0090774B" w:rsidP="00117D36">
      <w:pPr>
        <w:spacing w:after="1320"/>
        <w:ind w:right="-180"/>
        <w:jc w:val="center"/>
        <w:rPr>
          <w:rFonts w:ascii="Arial" w:hAnsi="Arial" w:cs="Arial"/>
          <w:b/>
          <w:sz w:val="32"/>
          <w:szCs w:val="32"/>
          <w:lang w:val="fr-CA"/>
        </w:rPr>
      </w:pPr>
      <w:r w:rsidRPr="000C43C5">
        <w:rPr>
          <w:rFonts w:ascii="Arial" w:hAnsi="Arial" w:cs="Arial"/>
          <w:b/>
          <w:bCs/>
          <w:sz w:val="32"/>
          <w:szCs w:val="32"/>
          <w:lang w:val="fr-CA"/>
        </w:rPr>
        <w:t xml:space="preserve">DANS L’AFFAIRE D’UNE AUDIENCE EN VERTU DE L'ARTICLE 11.1 DE LA </w:t>
      </w:r>
      <w:r w:rsidRPr="000C43C5">
        <w:rPr>
          <w:rFonts w:ascii="Arial" w:hAnsi="Arial" w:cs="Arial"/>
          <w:b/>
          <w:bCs/>
          <w:i/>
          <w:iCs/>
          <w:sz w:val="32"/>
          <w:szCs w:val="32"/>
          <w:lang w:val="fr-CA"/>
        </w:rPr>
        <w:t>LOI SUR LES JUGES DE PAIX</w:t>
      </w:r>
      <w:r w:rsidRPr="000C43C5">
        <w:rPr>
          <w:rFonts w:ascii="Arial" w:hAnsi="Arial" w:cs="Arial"/>
          <w:b/>
          <w:bCs/>
          <w:sz w:val="32"/>
          <w:szCs w:val="32"/>
          <w:lang w:val="fr-CA"/>
        </w:rPr>
        <w:t>, L.R.O. 1990, ch. J.4, DANS SA VERSION MODIFIÉE,</w:t>
      </w:r>
    </w:p>
    <w:p w14:paraId="1ABB06D7" w14:textId="77777777" w:rsidR="0090774B" w:rsidRPr="000C43C5" w:rsidRDefault="0090774B" w:rsidP="0090774B">
      <w:pPr>
        <w:spacing w:before="360"/>
        <w:jc w:val="center"/>
        <w:rPr>
          <w:rFonts w:ascii="Arial" w:hAnsi="Arial" w:cs="Arial"/>
          <w:b/>
          <w:sz w:val="32"/>
          <w:lang w:val="fr-CA"/>
        </w:rPr>
      </w:pPr>
      <w:r w:rsidRPr="000C43C5">
        <w:rPr>
          <w:rFonts w:ascii="Arial" w:hAnsi="Arial" w:cs="Arial"/>
          <w:b/>
          <w:bCs/>
          <w:sz w:val="32"/>
          <w:szCs w:val="32"/>
          <w:lang w:val="fr-CA"/>
        </w:rPr>
        <w:t>En ce qui concerne une plainte au sujet de la conduite du</w:t>
      </w:r>
    </w:p>
    <w:p w14:paraId="40EE6344" w14:textId="2FECB72E" w:rsidR="001423F7" w:rsidRPr="000C43C5" w:rsidRDefault="0090774B" w:rsidP="0090774B">
      <w:pPr>
        <w:spacing w:after="1080"/>
        <w:ind w:right="-180"/>
        <w:jc w:val="center"/>
        <w:rPr>
          <w:rFonts w:ascii="Arial" w:hAnsi="Arial" w:cs="Arial"/>
          <w:b/>
          <w:lang w:val="fr-CA"/>
        </w:rPr>
      </w:pPr>
      <w:r w:rsidRPr="000C43C5">
        <w:rPr>
          <w:rFonts w:ascii="Arial" w:hAnsi="Arial" w:cs="Arial"/>
          <w:b/>
          <w:bCs/>
          <w:sz w:val="32"/>
          <w:szCs w:val="32"/>
          <w:lang w:val="fr-CA"/>
        </w:rPr>
        <w:t>juge de paix</w:t>
      </w:r>
      <w:r w:rsidRPr="000C43C5">
        <w:rPr>
          <w:rFonts w:ascii="Arial" w:hAnsi="Arial" w:cs="Arial"/>
          <w:b/>
          <w:sz w:val="32"/>
          <w:lang w:val="fr-CA"/>
        </w:rPr>
        <w:t xml:space="preserve"> </w:t>
      </w:r>
      <w:r w:rsidR="00F5199C" w:rsidRPr="000C43C5">
        <w:rPr>
          <w:rFonts w:ascii="Arial" w:hAnsi="Arial" w:cs="Arial"/>
          <w:b/>
          <w:sz w:val="32"/>
          <w:lang w:val="fr-CA"/>
        </w:rPr>
        <w:t>Paul Welsh</w:t>
      </w:r>
    </w:p>
    <w:p w14:paraId="14630930" w14:textId="62E8B578" w:rsidR="001C6BB1" w:rsidRPr="000C43C5" w:rsidRDefault="0090774B" w:rsidP="00DD35AF">
      <w:pPr>
        <w:tabs>
          <w:tab w:val="left" w:pos="1134"/>
        </w:tabs>
        <w:ind w:left="1134" w:right="-187" w:hanging="1077"/>
        <w:rPr>
          <w:rFonts w:ascii="Arial" w:hAnsi="Arial" w:cs="Arial"/>
          <w:lang w:val="fr-CA"/>
        </w:rPr>
      </w:pPr>
      <w:r w:rsidRPr="000C43C5">
        <w:rPr>
          <w:rFonts w:ascii="Arial" w:hAnsi="Arial" w:cs="Arial"/>
          <w:b/>
          <w:bCs/>
          <w:lang w:val="fr-CA"/>
        </w:rPr>
        <w:t>Devant :</w:t>
      </w:r>
      <w:r w:rsidRPr="000C43C5">
        <w:rPr>
          <w:rFonts w:ascii="Arial" w:hAnsi="Arial" w:cs="Arial"/>
          <w:lang w:val="fr-CA"/>
        </w:rPr>
        <w:tab/>
        <w:t xml:space="preserve">L’honorable juge </w:t>
      </w:r>
      <w:r w:rsidR="00F5199C" w:rsidRPr="000C43C5">
        <w:rPr>
          <w:rFonts w:ascii="Arial" w:hAnsi="Arial" w:cs="Arial"/>
          <w:lang w:val="fr-CA"/>
        </w:rPr>
        <w:t>Lisa Cameron</w:t>
      </w:r>
      <w:r w:rsidR="002743AE" w:rsidRPr="000C43C5">
        <w:rPr>
          <w:rFonts w:ascii="Arial" w:hAnsi="Arial" w:cs="Arial"/>
          <w:lang w:val="fr-CA"/>
        </w:rPr>
        <w:t xml:space="preserve"> (</w:t>
      </w:r>
      <w:r w:rsidRPr="000C43C5">
        <w:rPr>
          <w:rFonts w:ascii="Arial" w:hAnsi="Arial" w:cs="Arial"/>
          <w:lang w:val="fr-CA"/>
        </w:rPr>
        <w:t>présidente</w:t>
      </w:r>
      <w:r w:rsidR="002743AE" w:rsidRPr="000C43C5">
        <w:rPr>
          <w:rFonts w:ascii="Arial" w:hAnsi="Arial" w:cs="Arial"/>
          <w:lang w:val="fr-CA"/>
        </w:rPr>
        <w:t>)</w:t>
      </w:r>
    </w:p>
    <w:p w14:paraId="366435FA" w14:textId="75C38BE0" w:rsidR="0087734F" w:rsidRPr="000C43C5" w:rsidRDefault="001C6BB1" w:rsidP="00DD35AF">
      <w:pPr>
        <w:tabs>
          <w:tab w:val="left" w:pos="1134"/>
        </w:tabs>
        <w:ind w:left="1134" w:right="-187" w:hanging="1077"/>
        <w:rPr>
          <w:rFonts w:ascii="Arial" w:hAnsi="Arial" w:cs="Arial"/>
          <w:lang w:val="fr-CA"/>
        </w:rPr>
      </w:pPr>
      <w:r w:rsidRPr="000C43C5">
        <w:rPr>
          <w:rFonts w:ascii="Arial" w:hAnsi="Arial" w:cs="Arial"/>
          <w:lang w:val="fr-CA"/>
        </w:rPr>
        <w:tab/>
      </w:r>
      <w:r w:rsidR="0090774B" w:rsidRPr="000C43C5">
        <w:rPr>
          <w:rFonts w:ascii="Arial" w:hAnsi="Arial" w:cs="Arial"/>
          <w:lang w:val="fr-CA"/>
        </w:rPr>
        <w:t xml:space="preserve">La juge de paix </w:t>
      </w:r>
      <w:r w:rsidR="005F7F37" w:rsidRPr="000C43C5">
        <w:rPr>
          <w:rFonts w:ascii="Arial" w:hAnsi="Arial" w:cs="Arial"/>
          <w:lang w:val="fr-CA"/>
        </w:rPr>
        <w:t>Monique Seguin</w:t>
      </w:r>
    </w:p>
    <w:p w14:paraId="3D7792DC" w14:textId="0FAB4101" w:rsidR="001423F7" w:rsidRPr="000C43C5" w:rsidRDefault="001C6BB1" w:rsidP="00DD35AF">
      <w:pPr>
        <w:tabs>
          <w:tab w:val="left" w:pos="1134"/>
        </w:tabs>
        <w:ind w:left="1134" w:right="-187" w:hanging="1077"/>
        <w:rPr>
          <w:rFonts w:ascii="Arial" w:hAnsi="Arial" w:cs="Arial"/>
          <w:lang w:val="fr-CA"/>
        </w:rPr>
      </w:pPr>
      <w:r w:rsidRPr="000C43C5">
        <w:rPr>
          <w:rFonts w:ascii="Arial" w:hAnsi="Arial" w:cs="Arial"/>
          <w:lang w:val="fr-CA"/>
        </w:rPr>
        <w:tab/>
      </w:r>
      <w:r w:rsidR="0090774B" w:rsidRPr="000C43C5">
        <w:rPr>
          <w:rFonts w:ascii="Arial" w:hAnsi="Arial" w:cs="Arial"/>
          <w:lang w:val="fr-CA"/>
        </w:rPr>
        <w:t xml:space="preserve">Le </w:t>
      </w:r>
      <w:r w:rsidR="00F5199C" w:rsidRPr="000C43C5">
        <w:rPr>
          <w:rFonts w:ascii="Arial" w:hAnsi="Arial" w:cs="Arial"/>
          <w:lang w:val="fr-CA"/>
        </w:rPr>
        <w:t>Dr Michael Phillips</w:t>
      </w:r>
      <w:r w:rsidR="005F7F37" w:rsidRPr="000C43C5">
        <w:rPr>
          <w:rFonts w:ascii="Arial" w:hAnsi="Arial" w:cs="Arial"/>
          <w:lang w:val="fr-CA"/>
        </w:rPr>
        <w:t xml:space="preserve">, </w:t>
      </w:r>
      <w:r w:rsidR="0090774B" w:rsidRPr="000C43C5">
        <w:rPr>
          <w:rFonts w:ascii="Arial" w:hAnsi="Arial" w:cs="Arial"/>
          <w:lang w:val="fr-CA"/>
        </w:rPr>
        <w:t>membre du public</w:t>
      </w:r>
    </w:p>
    <w:p w14:paraId="2F49D000" w14:textId="373782A1" w:rsidR="001423F7" w:rsidRPr="000C43C5" w:rsidRDefault="0090774B" w:rsidP="00AD157A">
      <w:pPr>
        <w:tabs>
          <w:tab w:val="left" w:pos="1134"/>
        </w:tabs>
        <w:spacing w:before="720" w:after="1440"/>
        <w:ind w:left="1138" w:right="-180"/>
        <w:rPr>
          <w:rFonts w:ascii="Arial" w:hAnsi="Arial" w:cs="Arial"/>
          <w:b/>
          <w:sz w:val="28"/>
          <w:szCs w:val="28"/>
          <w:lang w:val="fr-CA"/>
        </w:rPr>
      </w:pPr>
      <w:r w:rsidRPr="000C43C5">
        <w:rPr>
          <w:rFonts w:ascii="Arial" w:hAnsi="Arial" w:cs="Arial"/>
          <w:b/>
          <w:sz w:val="28"/>
          <w:szCs w:val="28"/>
          <w:lang w:val="fr-CA"/>
        </w:rPr>
        <w:t xml:space="preserve">Comité d’audition du </w:t>
      </w:r>
      <w:bookmarkStart w:id="0" w:name="_GoBack"/>
      <w:r w:rsidRPr="000C43C5">
        <w:rPr>
          <w:rFonts w:ascii="Arial" w:hAnsi="Arial" w:cs="Arial"/>
          <w:b/>
          <w:sz w:val="28"/>
          <w:szCs w:val="28"/>
          <w:lang w:val="fr-CA"/>
        </w:rPr>
        <w:t>Conseil d’évaluation des juges de paix</w:t>
      </w:r>
      <w:bookmarkEnd w:id="0"/>
    </w:p>
    <w:p w14:paraId="3DBD4DD1" w14:textId="18076BDE" w:rsidR="00173844" w:rsidRPr="000C43C5" w:rsidRDefault="0090774B" w:rsidP="00F8607D">
      <w:pPr>
        <w:tabs>
          <w:tab w:val="left" w:pos="4253"/>
        </w:tabs>
        <w:spacing w:before="960"/>
        <w:ind w:right="-180"/>
        <w:jc w:val="center"/>
        <w:rPr>
          <w:rFonts w:ascii="Arial" w:hAnsi="Arial" w:cs="Arial"/>
          <w:b/>
          <w:sz w:val="26"/>
          <w:szCs w:val="26"/>
          <w:lang w:val="fr-CA"/>
        </w:rPr>
      </w:pPr>
      <w:r w:rsidRPr="000C43C5">
        <w:rPr>
          <w:rFonts w:ascii="Arial" w:hAnsi="Arial" w:cs="Arial"/>
          <w:b/>
          <w:sz w:val="26"/>
          <w:szCs w:val="26"/>
          <w:lang w:val="fr-CA"/>
        </w:rPr>
        <w:t>MOTIFS DE DÉ</w:t>
      </w:r>
      <w:r w:rsidR="00173844" w:rsidRPr="000C43C5">
        <w:rPr>
          <w:rFonts w:ascii="Arial" w:hAnsi="Arial" w:cs="Arial"/>
          <w:b/>
          <w:sz w:val="26"/>
          <w:szCs w:val="26"/>
          <w:lang w:val="fr-CA"/>
        </w:rPr>
        <w:t xml:space="preserve">CISION </w:t>
      </w:r>
    </w:p>
    <w:p w14:paraId="225F1F26" w14:textId="58C56417" w:rsidR="00FB1593" w:rsidRPr="000C43C5" w:rsidRDefault="008835BA" w:rsidP="00F5199C">
      <w:pPr>
        <w:spacing w:before="960"/>
        <w:ind w:left="2160" w:right="-180" w:hanging="2160"/>
        <w:rPr>
          <w:rFonts w:ascii="Arial" w:hAnsi="Arial" w:cs="Arial"/>
          <w:lang w:val="fr-CA"/>
        </w:rPr>
      </w:pPr>
      <w:r w:rsidRPr="000C43C5">
        <w:rPr>
          <w:rFonts w:ascii="Arial" w:hAnsi="Arial" w:cs="Arial"/>
          <w:lang w:val="fr-CA"/>
        </w:rPr>
        <w:t>M</w:t>
      </w:r>
      <w:r w:rsidR="0090774B" w:rsidRPr="000C43C5">
        <w:rPr>
          <w:rFonts w:ascii="Arial" w:hAnsi="Arial" w:cs="Arial"/>
          <w:lang w:val="fr-CA"/>
        </w:rPr>
        <w:t>e</w:t>
      </w:r>
      <w:r w:rsidR="00F5199C" w:rsidRPr="000C43C5">
        <w:rPr>
          <w:rFonts w:ascii="Arial" w:hAnsi="Arial" w:cs="Arial"/>
          <w:lang w:val="fr-CA"/>
        </w:rPr>
        <w:t xml:space="preserve"> Marie Henein</w:t>
      </w:r>
      <w:r w:rsidR="00FE5719" w:rsidRPr="000C43C5">
        <w:rPr>
          <w:rFonts w:ascii="Arial" w:hAnsi="Arial" w:cs="Arial"/>
          <w:lang w:val="fr-CA"/>
        </w:rPr>
        <w:t xml:space="preserve"> </w:t>
      </w:r>
    </w:p>
    <w:p w14:paraId="363AAE93" w14:textId="0E0AE495" w:rsidR="005F7F37" w:rsidRPr="000C43C5" w:rsidRDefault="0090774B" w:rsidP="00F5199C">
      <w:pPr>
        <w:ind w:left="4395" w:right="-180" w:hanging="4395"/>
        <w:rPr>
          <w:rFonts w:ascii="Arial" w:hAnsi="Arial" w:cs="Arial"/>
          <w:lang w:val="fr-CA"/>
        </w:rPr>
      </w:pPr>
      <w:r w:rsidRPr="000C43C5">
        <w:rPr>
          <w:rFonts w:ascii="Arial" w:hAnsi="Arial" w:cs="Arial"/>
          <w:lang w:val="fr-CA"/>
        </w:rPr>
        <w:t>Me</w:t>
      </w:r>
      <w:r w:rsidR="005F7F37" w:rsidRPr="000C43C5">
        <w:rPr>
          <w:rFonts w:ascii="Arial" w:hAnsi="Arial" w:cs="Arial"/>
          <w:lang w:val="fr-CA"/>
        </w:rPr>
        <w:t xml:space="preserve"> </w:t>
      </w:r>
      <w:r w:rsidR="00F5199C" w:rsidRPr="000C43C5">
        <w:rPr>
          <w:rFonts w:ascii="Arial" w:hAnsi="Arial" w:cs="Arial"/>
          <w:lang w:val="fr-CA"/>
        </w:rPr>
        <w:t>Christine Mainville</w:t>
      </w:r>
      <w:r w:rsidR="00F5199C" w:rsidRPr="000C43C5">
        <w:rPr>
          <w:rFonts w:ascii="Arial" w:hAnsi="Arial" w:cs="Arial"/>
          <w:lang w:val="fr-CA"/>
        </w:rPr>
        <w:tab/>
        <w:t xml:space="preserve"> </w:t>
      </w:r>
    </w:p>
    <w:p w14:paraId="044818F8" w14:textId="77777777" w:rsidR="00482CD1" w:rsidRPr="000C43C5" w:rsidRDefault="00F5199C" w:rsidP="00661CDD">
      <w:pPr>
        <w:tabs>
          <w:tab w:val="left" w:pos="4678"/>
        </w:tabs>
        <w:ind w:left="4678" w:right="-180" w:hanging="4678"/>
        <w:rPr>
          <w:rFonts w:ascii="Arial" w:hAnsi="Arial" w:cs="Arial"/>
          <w:lang w:val="fr-CA"/>
        </w:rPr>
      </w:pPr>
      <w:r w:rsidRPr="000C43C5">
        <w:rPr>
          <w:rFonts w:ascii="Arial" w:hAnsi="Arial" w:cs="Arial"/>
          <w:lang w:val="fr-CA"/>
        </w:rPr>
        <w:t>Henein Hutchison LLP</w:t>
      </w:r>
    </w:p>
    <w:p w14:paraId="5CF29438" w14:textId="32B89583" w:rsidR="0010701B" w:rsidRPr="000C43C5" w:rsidRDefault="0090774B" w:rsidP="00FE5719">
      <w:pPr>
        <w:pStyle w:val="PlainText"/>
        <w:tabs>
          <w:tab w:val="left" w:pos="4230"/>
        </w:tabs>
        <w:ind w:right="-180"/>
        <w:rPr>
          <w:rFonts w:ascii="Arial" w:hAnsi="Arial" w:cs="Arial"/>
          <w:sz w:val="24"/>
          <w:szCs w:val="24"/>
          <w:lang w:val="fr-CA"/>
        </w:rPr>
      </w:pPr>
      <w:r w:rsidRPr="000C43C5">
        <w:rPr>
          <w:rFonts w:ascii="Arial" w:hAnsi="Arial" w:cs="Arial"/>
          <w:lang w:val="fr-CA"/>
        </w:rPr>
        <w:t>Avocates chargées de la présentation</w:t>
      </w:r>
    </w:p>
    <w:p w14:paraId="612D1609" w14:textId="77777777" w:rsidR="00EF1974" w:rsidRPr="000C43C5" w:rsidRDefault="00EF1974" w:rsidP="00FE5719">
      <w:pPr>
        <w:pStyle w:val="PlainText"/>
        <w:tabs>
          <w:tab w:val="left" w:pos="4230"/>
        </w:tabs>
        <w:ind w:right="-180"/>
        <w:rPr>
          <w:rFonts w:ascii="Arial" w:hAnsi="Arial" w:cs="Arial"/>
          <w:lang w:val="fr-CA"/>
        </w:rPr>
      </w:pPr>
    </w:p>
    <w:p w14:paraId="19B3547A" w14:textId="19A83A1A" w:rsidR="00F5199C" w:rsidRPr="000C43C5" w:rsidRDefault="00F5199C" w:rsidP="00FE5719">
      <w:pPr>
        <w:pStyle w:val="PlainText"/>
        <w:tabs>
          <w:tab w:val="left" w:pos="4230"/>
        </w:tabs>
        <w:ind w:right="-180"/>
        <w:rPr>
          <w:rFonts w:ascii="Arial" w:hAnsi="Arial" w:cs="Arial"/>
          <w:sz w:val="24"/>
          <w:szCs w:val="24"/>
          <w:lang w:val="fr-CA"/>
        </w:rPr>
      </w:pPr>
      <w:r w:rsidRPr="000C43C5">
        <w:rPr>
          <w:rFonts w:ascii="Arial" w:hAnsi="Arial" w:cs="Arial"/>
          <w:sz w:val="24"/>
          <w:szCs w:val="24"/>
          <w:lang w:val="fr-CA"/>
        </w:rPr>
        <w:t>M</w:t>
      </w:r>
      <w:r w:rsidR="0090774B" w:rsidRPr="000C43C5">
        <w:rPr>
          <w:rFonts w:ascii="Arial" w:hAnsi="Arial" w:cs="Arial"/>
          <w:sz w:val="24"/>
          <w:szCs w:val="24"/>
          <w:lang w:val="fr-CA"/>
        </w:rPr>
        <w:t>e</w:t>
      </w:r>
      <w:r w:rsidRPr="000C43C5">
        <w:rPr>
          <w:rFonts w:ascii="Arial" w:hAnsi="Arial" w:cs="Arial"/>
          <w:sz w:val="24"/>
          <w:szCs w:val="24"/>
          <w:lang w:val="fr-CA"/>
        </w:rPr>
        <w:t xml:space="preserve"> Eugene Bhattacharya</w:t>
      </w:r>
    </w:p>
    <w:p w14:paraId="5A8F7AEB" w14:textId="07B45A29" w:rsidR="006A0D26" w:rsidRPr="000C43C5" w:rsidRDefault="006A0D26" w:rsidP="00EF1974">
      <w:pPr>
        <w:pStyle w:val="PlainText"/>
        <w:tabs>
          <w:tab w:val="left" w:pos="4230"/>
        </w:tabs>
        <w:ind w:right="-180"/>
        <w:rPr>
          <w:rFonts w:ascii="Arial" w:hAnsi="Arial" w:cs="Arial"/>
          <w:sz w:val="24"/>
          <w:szCs w:val="24"/>
          <w:lang w:val="fr-CA"/>
        </w:rPr>
      </w:pPr>
      <w:r w:rsidRPr="000C43C5">
        <w:rPr>
          <w:rFonts w:ascii="Arial" w:hAnsi="Arial" w:cs="Arial"/>
          <w:sz w:val="24"/>
          <w:szCs w:val="24"/>
          <w:lang w:val="fr-CA"/>
        </w:rPr>
        <w:t>M</w:t>
      </w:r>
      <w:r w:rsidR="0090774B" w:rsidRPr="000C43C5">
        <w:rPr>
          <w:rFonts w:ascii="Arial" w:hAnsi="Arial" w:cs="Arial"/>
          <w:sz w:val="24"/>
          <w:szCs w:val="24"/>
          <w:lang w:val="fr-CA"/>
        </w:rPr>
        <w:t>e</w:t>
      </w:r>
      <w:r w:rsidRPr="000C43C5">
        <w:rPr>
          <w:rFonts w:ascii="Arial" w:hAnsi="Arial" w:cs="Arial"/>
          <w:sz w:val="24"/>
          <w:szCs w:val="24"/>
          <w:lang w:val="fr-CA"/>
        </w:rPr>
        <w:t xml:space="preserve"> Mary C. Waters Rodriguez</w:t>
      </w:r>
    </w:p>
    <w:p w14:paraId="0FBC93CE" w14:textId="2701AAAA" w:rsidR="00F5199C" w:rsidRPr="000C43C5" w:rsidRDefault="0090774B" w:rsidP="00EF1974">
      <w:pPr>
        <w:pStyle w:val="PlainText"/>
        <w:tabs>
          <w:tab w:val="left" w:pos="4230"/>
        </w:tabs>
        <w:ind w:right="-180"/>
        <w:rPr>
          <w:rFonts w:ascii="Arial" w:hAnsi="Arial" w:cs="Arial"/>
          <w:b/>
          <w:lang w:val="fr-CA"/>
        </w:rPr>
      </w:pPr>
      <w:r w:rsidRPr="000C43C5">
        <w:rPr>
          <w:rFonts w:ascii="Arial" w:hAnsi="Arial" w:cs="Arial"/>
          <w:sz w:val="24"/>
          <w:szCs w:val="24"/>
          <w:lang w:val="fr-CA"/>
        </w:rPr>
        <w:t>Avocats du juge de paix</w:t>
      </w:r>
      <w:r w:rsidR="0010701B" w:rsidRPr="000C43C5">
        <w:rPr>
          <w:rFonts w:ascii="Arial" w:hAnsi="Arial" w:cs="Arial"/>
          <w:lang w:val="fr-CA"/>
        </w:rPr>
        <w:br w:type="page"/>
      </w:r>
    </w:p>
    <w:p w14:paraId="507F0440" w14:textId="77777777" w:rsidR="00F5199C" w:rsidRPr="000C43C5" w:rsidRDefault="00F5199C" w:rsidP="00F5199C">
      <w:pPr>
        <w:rPr>
          <w:rFonts w:ascii="Arial" w:hAnsi="Arial" w:cs="Arial"/>
          <w:b/>
          <w:lang w:val="fr-CA"/>
        </w:rPr>
      </w:pPr>
      <w:r w:rsidRPr="000C43C5">
        <w:rPr>
          <w:rFonts w:ascii="Arial" w:hAnsi="Arial" w:cs="Arial"/>
          <w:b/>
          <w:lang w:val="fr-CA"/>
        </w:rPr>
        <w:lastRenderedPageBreak/>
        <w:t>INTRODUCTION:</w:t>
      </w:r>
    </w:p>
    <w:p w14:paraId="5E46D82E" w14:textId="65C9C00D" w:rsidR="00EB6901" w:rsidRPr="000C43C5" w:rsidRDefault="00EB6901" w:rsidP="00F5199C">
      <w:pPr>
        <w:rPr>
          <w:rFonts w:ascii="Arial" w:hAnsi="Arial" w:cs="Arial"/>
          <w:lang w:val="fr-CA"/>
        </w:rPr>
      </w:pPr>
    </w:p>
    <w:p w14:paraId="3E6EC0B9" w14:textId="3AB7DEDD" w:rsidR="00F5199C" w:rsidRPr="000C43C5" w:rsidRDefault="0090774B" w:rsidP="0090774B">
      <w:pPr>
        <w:pStyle w:val="AParaNumbering"/>
        <w:rPr>
          <w:lang w:val="fr-CA"/>
        </w:rPr>
      </w:pPr>
      <w:r w:rsidRPr="000C43C5">
        <w:rPr>
          <w:lang w:val="fr-CA"/>
        </w:rPr>
        <w:t xml:space="preserve">Après l’enquête sur une plainte reçue le 5 avril </w:t>
      </w:r>
      <w:r w:rsidR="00F5199C" w:rsidRPr="000C43C5">
        <w:rPr>
          <w:lang w:val="fr-CA"/>
        </w:rPr>
        <w:t xml:space="preserve">2016, </w:t>
      </w:r>
      <w:r w:rsidRPr="000C43C5">
        <w:rPr>
          <w:lang w:val="fr-CA"/>
        </w:rPr>
        <w:t>un comité des plaintes du Conseil d’évaluation des juges de paix (le « Conseil d’évaluation ») a ordonné que la plainte, décrite ci-dessous, au sujet de la conduite ou des actes du juge de paix </w:t>
      </w:r>
      <w:r w:rsidR="00F5199C" w:rsidRPr="000C43C5">
        <w:rPr>
          <w:lang w:val="fr-CA"/>
        </w:rPr>
        <w:t>Paul</w:t>
      </w:r>
      <w:r w:rsidRPr="000C43C5">
        <w:rPr>
          <w:lang w:val="fr-CA"/>
        </w:rPr>
        <w:t> </w:t>
      </w:r>
      <w:r w:rsidR="00F5199C" w:rsidRPr="000C43C5">
        <w:rPr>
          <w:lang w:val="fr-CA"/>
        </w:rPr>
        <w:t xml:space="preserve">Welsh, </w:t>
      </w:r>
      <w:r w:rsidRPr="000C43C5">
        <w:rPr>
          <w:lang w:val="fr-CA"/>
        </w:rPr>
        <w:t>soit renvoyée à un comité d’audition du Conseil d’évaluation, pour tenir une audience formelle en vertu de l’article 11</w:t>
      </w:r>
      <w:r w:rsidR="00F5199C" w:rsidRPr="000C43C5">
        <w:rPr>
          <w:lang w:val="fr-CA"/>
        </w:rPr>
        <w:t xml:space="preserve">.1 </w:t>
      </w:r>
      <w:r w:rsidRPr="000C43C5">
        <w:rPr>
          <w:lang w:val="fr-CA"/>
        </w:rPr>
        <w:t xml:space="preserve">de la </w:t>
      </w:r>
      <w:r w:rsidRPr="000C43C5">
        <w:rPr>
          <w:i/>
          <w:lang w:val="fr-CA"/>
        </w:rPr>
        <w:t>Loi sur les juges de paix</w:t>
      </w:r>
      <w:r w:rsidRPr="000C43C5">
        <w:rPr>
          <w:lang w:val="fr-CA"/>
        </w:rPr>
        <w:t>, L.R.O. 1990, ch. J.4, dans sa version modifiée (la « Loi »). L’avis d’audience a été déposé sous la pièce 1</w:t>
      </w:r>
      <w:r w:rsidR="009C2CAE" w:rsidRPr="000C43C5">
        <w:rPr>
          <w:lang w:val="fr-CA"/>
        </w:rPr>
        <w:t>.</w:t>
      </w:r>
    </w:p>
    <w:p w14:paraId="0807DCE3" w14:textId="45391C68" w:rsidR="00031D28" w:rsidRPr="000C43C5" w:rsidRDefault="0090774B" w:rsidP="00BF514D">
      <w:pPr>
        <w:pStyle w:val="AParaNumbering"/>
        <w:rPr>
          <w:lang w:val="fr-CA"/>
        </w:rPr>
      </w:pPr>
      <w:r w:rsidRPr="000C43C5">
        <w:rPr>
          <w:lang w:val="fr-CA"/>
        </w:rPr>
        <w:t xml:space="preserve">L’audience a commencé le 4 décembre </w:t>
      </w:r>
      <w:r w:rsidR="00F5199C" w:rsidRPr="000C43C5">
        <w:rPr>
          <w:lang w:val="fr-CA"/>
        </w:rPr>
        <w:t>2017.</w:t>
      </w:r>
      <w:r w:rsidR="00B902A6" w:rsidRPr="000C43C5">
        <w:rPr>
          <w:lang w:val="fr-CA"/>
        </w:rPr>
        <w:t xml:space="preserve"> </w:t>
      </w:r>
      <w:r w:rsidRPr="000C43C5">
        <w:rPr>
          <w:lang w:val="fr-CA"/>
        </w:rPr>
        <w:t>Un exposé conjoint des faits a été produit sous la pièce 2 à l’audience. L</w:t>
      </w:r>
      <w:r w:rsidR="00B213D2" w:rsidRPr="000C43C5">
        <w:rPr>
          <w:lang w:val="fr-CA"/>
        </w:rPr>
        <w:t>e comité d’audition a entendu l</w:t>
      </w:r>
      <w:r w:rsidRPr="000C43C5">
        <w:rPr>
          <w:lang w:val="fr-CA"/>
        </w:rPr>
        <w:t>’enregistrement audio (pièce 3) de l’incident qui a donné lieu à la plainte</w:t>
      </w:r>
      <w:r w:rsidR="00923C4C" w:rsidRPr="000C43C5">
        <w:rPr>
          <w:lang w:val="fr-CA"/>
        </w:rPr>
        <w:t xml:space="preserve">. </w:t>
      </w:r>
      <w:r w:rsidR="00B213D2" w:rsidRPr="000C43C5">
        <w:rPr>
          <w:lang w:val="fr-CA"/>
        </w:rPr>
        <w:t>Le juge de paix </w:t>
      </w:r>
      <w:r w:rsidR="00923C4C" w:rsidRPr="000C43C5">
        <w:rPr>
          <w:lang w:val="fr-CA"/>
        </w:rPr>
        <w:t xml:space="preserve">Welsh </w:t>
      </w:r>
      <w:r w:rsidR="00B213D2" w:rsidRPr="000C43C5">
        <w:rPr>
          <w:lang w:val="fr-CA"/>
        </w:rPr>
        <w:t>a témoigné à l’audience et a été contre-interrogé. Nul autre témoin n’a été appelé par les avocats</w:t>
      </w:r>
      <w:r w:rsidR="00031D28" w:rsidRPr="000C43C5">
        <w:rPr>
          <w:lang w:val="fr-CA"/>
        </w:rPr>
        <w:t>.</w:t>
      </w:r>
    </w:p>
    <w:p w14:paraId="0F708DF8" w14:textId="7E847B62" w:rsidR="006143F5" w:rsidRPr="000C43C5" w:rsidRDefault="00B213D2" w:rsidP="004A5B69">
      <w:pPr>
        <w:pStyle w:val="AParaNumbering"/>
        <w:rPr>
          <w:lang w:val="fr-CA"/>
        </w:rPr>
      </w:pPr>
      <w:r w:rsidRPr="000C43C5">
        <w:rPr>
          <w:lang w:val="fr-CA"/>
        </w:rPr>
        <w:t>L’avocate chargée de la présentation, Me </w:t>
      </w:r>
      <w:r w:rsidR="00B902A6" w:rsidRPr="000C43C5">
        <w:rPr>
          <w:lang w:val="fr-CA"/>
        </w:rPr>
        <w:t>Henein</w:t>
      </w:r>
      <w:r w:rsidRPr="000C43C5">
        <w:rPr>
          <w:lang w:val="fr-CA"/>
        </w:rPr>
        <w:t>, et</w:t>
      </w:r>
      <w:r w:rsidR="00B902A6" w:rsidRPr="000C43C5">
        <w:rPr>
          <w:lang w:val="fr-CA"/>
        </w:rPr>
        <w:t xml:space="preserve"> M</w:t>
      </w:r>
      <w:r w:rsidRPr="000C43C5">
        <w:rPr>
          <w:lang w:val="fr-CA"/>
        </w:rPr>
        <w:t>e</w:t>
      </w:r>
      <w:r w:rsidR="00B902A6" w:rsidRPr="000C43C5">
        <w:rPr>
          <w:lang w:val="fr-CA"/>
        </w:rPr>
        <w:t xml:space="preserve"> Bhattacharya, </w:t>
      </w:r>
      <w:r w:rsidRPr="000C43C5">
        <w:rPr>
          <w:lang w:val="fr-CA"/>
        </w:rPr>
        <w:t xml:space="preserve">l’avocat du juge de paix, ont présenté des observations au sujet de la question de savoir si les actes du juge de paix </w:t>
      </w:r>
      <w:r w:rsidR="00B902A6" w:rsidRPr="000C43C5">
        <w:rPr>
          <w:lang w:val="fr-CA"/>
        </w:rPr>
        <w:t>Welsh</w:t>
      </w:r>
      <w:r w:rsidR="009C2CAE" w:rsidRPr="000C43C5">
        <w:rPr>
          <w:lang w:val="fr-CA"/>
        </w:rPr>
        <w:t xml:space="preserve">, </w:t>
      </w:r>
      <w:r w:rsidRPr="000C43C5">
        <w:rPr>
          <w:lang w:val="fr-CA"/>
        </w:rPr>
        <w:t xml:space="preserve">tels que reconnus dans l’exposé conjoint des faits, constituaient une inconduite judiciaire ou non. Le comité d’audition a réservé sa décision jusqu’au 5 décembre </w:t>
      </w:r>
      <w:r w:rsidR="00B902A6" w:rsidRPr="000C43C5">
        <w:rPr>
          <w:lang w:val="fr-CA"/>
        </w:rPr>
        <w:t xml:space="preserve">2017. </w:t>
      </w:r>
      <w:r w:rsidRPr="000C43C5">
        <w:rPr>
          <w:lang w:val="fr-CA"/>
        </w:rPr>
        <w:t xml:space="preserve">Ce jour-là, le comité </w:t>
      </w:r>
      <w:r w:rsidR="007701DD">
        <w:rPr>
          <w:lang w:val="fr-CA"/>
        </w:rPr>
        <w:t xml:space="preserve">d’audition </w:t>
      </w:r>
      <w:r w:rsidRPr="000C43C5">
        <w:rPr>
          <w:lang w:val="fr-CA"/>
        </w:rPr>
        <w:t xml:space="preserve">a communiqué une brève décision orale, concluant que les actes du juge de paix constituaient une inconduite judiciaire, en précisant que ses motifs suivraient. Les motifs de notre décision sont énoncés ci-après, avec notre décision sur les mesures que nous avons estimées nécessaires pour rétablir la confiance du public envers le juge de paix, la magistrature et l’administration de la justice. Nous incluons également notre décision sur la demande du juge de paix d’être </w:t>
      </w:r>
      <w:r w:rsidRPr="000C43C5">
        <w:rPr>
          <w:lang w:val="fr-CA"/>
        </w:rPr>
        <w:lastRenderedPageBreak/>
        <w:t>indemnisé des frais pour services juridiques</w:t>
      </w:r>
      <w:r w:rsidR="004A5B69" w:rsidRPr="000C43C5">
        <w:rPr>
          <w:lang w:val="fr-CA"/>
        </w:rPr>
        <w:t xml:space="preserve"> qu’il a engagés relativement à l’enquête</w:t>
      </w:r>
      <w:r w:rsidRPr="000C43C5">
        <w:rPr>
          <w:lang w:val="fr-CA"/>
        </w:rPr>
        <w:t xml:space="preserve"> </w:t>
      </w:r>
      <w:r w:rsidR="004A5B69" w:rsidRPr="000C43C5">
        <w:rPr>
          <w:lang w:val="fr-CA"/>
        </w:rPr>
        <w:t>disciplinaire</w:t>
      </w:r>
      <w:r w:rsidR="00667FDF" w:rsidRPr="000C43C5">
        <w:rPr>
          <w:lang w:val="fr-CA"/>
        </w:rPr>
        <w:t>.</w:t>
      </w:r>
    </w:p>
    <w:p w14:paraId="720C1E38" w14:textId="4E416B52" w:rsidR="00F5199C" w:rsidRPr="000C43C5" w:rsidRDefault="004A5B69" w:rsidP="00BF514D">
      <w:pPr>
        <w:pStyle w:val="AParaNumbering"/>
        <w:rPr>
          <w:lang w:val="fr-CA"/>
        </w:rPr>
      </w:pPr>
      <w:r w:rsidRPr="000C43C5">
        <w:rPr>
          <w:lang w:val="fr-CA"/>
        </w:rPr>
        <w:t xml:space="preserve">Pour l’essentiel, le juge de paix </w:t>
      </w:r>
      <w:r w:rsidR="00F5199C" w:rsidRPr="000C43C5">
        <w:rPr>
          <w:lang w:val="fr-CA"/>
        </w:rPr>
        <w:t xml:space="preserve">Welsh </w:t>
      </w:r>
      <w:r w:rsidRPr="000C43C5">
        <w:rPr>
          <w:lang w:val="fr-CA"/>
        </w:rPr>
        <w:t>ne conteste pas ses actes ou sa conduite qui ont donné lieu à la plainte. Il reconnaît que ses actes ont érodé la confiance des membres du public à son égard, en qualité de juge de paix, à l’égard de la magistrature en général et à l’égard de l’administration de la justice. Toutefois, il n’a pas avoué que ses actes constituaient une inconduite judiciaire</w:t>
      </w:r>
      <w:r w:rsidR="00667FDF" w:rsidRPr="000C43C5">
        <w:rPr>
          <w:lang w:val="fr-CA"/>
        </w:rPr>
        <w:t>.</w:t>
      </w:r>
    </w:p>
    <w:p w14:paraId="7A273F8B" w14:textId="77777777" w:rsidR="00F5199C" w:rsidRPr="000C43C5" w:rsidRDefault="00F5199C" w:rsidP="00BD68D4">
      <w:pPr>
        <w:jc w:val="both"/>
        <w:rPr>
          <w:rFonts w:ascii="Arial" w:hAnsi="Arial" w:cs="Arial"/>
          <w:lang w:val="fr-CA"/>
        </w:rPr>
      </w:pPr>
    </w:p>
    <w:p w14:paraId="4EBDAC3C" w14:textId="17D09474" w:rsidR="00F5199C" w:rsidRPr="000C43C5" w:rsidRDefault="00667FDF" w:rsidP="00BD68D4">
      <w:pPr>
        <w:jc w:val="both"/>
        <w:rPr>
          <w:rFonts w:ascii="Arial" w:hAnsi="Arial" w:cs="Arial"/>
          <w:b/>
          <w:lang w:val="fr-CA"/>
        </w:rPr>
      </w:pPr>
      <w:r w:rsidRPr="000C43C5">
        <w:rPr>
          <w:rFonts w:ascii="Arial" w:hAnsi="Arial" w:cs="Arial"/>
          <w:b/>
          <w:lang w:val="fr-CA"/>
        </w:rPr>
        <w:t>ANALYS</w:t>
      </w:r>
      <w:r w:rsidR="004A5B69" w:rsidRPr="000C43C5">
        <w:rPr>
          <w:rFonts w:ascii="Arial" w:hAnsi="Arial" w:cs="Arial"/>
          <w:b/>
          <w:lang w:val="fr-CA"/>
        </w:rPr>
        <w:t xml:space="preserve">E DES FAITS </w:t>
      </w:r>
      <w:r w:rsidR="00F5199C" w:rsidRPr="000C43C5">
        <w:rPr>
          <w:rFonts w:ascii="Arial" w:hAnsi="Arial" w:cs="Arial"/>
          <w:b/>
          <w:lang w:val="fr-CA"/>
        </w:rPr>
        <w:t>:</w:t>
      </w:r>
    </w:p>
    <w:p w14:paraId="5D8553A2" w14:textId="77777777" w:rsidR="00EF1974" w:rsidRPr="000C43C5" w:rsidRDefault="00EF1974" w:rsidP="00BD68D4">
      <w:pPr>
        <w:jc w:val="both"/>
        <w:rPr>
          <w:rFonts w:ascii="Arial" w:hAnsi="Arial" w:cs="Arial"/>
          <w:b/>
          <w:lang w:val="fr-CA"/>
        </w:rPr>
      </w:pPr>
    </w:p>
    <w:p w14:paraId="5EE665E3" w14:textId="6EA8BDF7" w:rsidR="00031D28" w:rsidRPr="000C43C5" w:rsidRDefault="004A5B69" w:rsidP="00BF514D">
      <w:pPr>
        <w:pStyle w:val="AParaNumbering"/>
        <w:rPr>
          <w:lang w:val="fr-CA"/>
        </w:rPr>
      </w:pPr>
      <w:r w:rsidRPr="000C43C5">
        <w:rPr>
          <w:lang w:val="fr-CA"/>
        </w:rPr>
        <w:t xml:space="preserve">Le mercredi 16 octobre </w:t>
      </w:r>
      <w:r w:rsidR="00F5199C" w:rsidRPr="000C43C5">
        <w:rPr>
          <w:lang w:val="fr-CA"/>
        </w:rPr>
        <w:t xml:space="preserve">2013, </w:t>
      </w:r>
      <w:r w:rsidRPr="000C43C5">
        <w:rPr>
          <w:lang w:val="fr-CA"/>
        </w:rPr>
        <w:t xml:space="preserve">le juge de paix </w:t>
      </w:r>
      <w:r w:rsidR="00F5199C" w:rsidRPr="000C43C5">
        <w:rPr>
          <w:lang w:val="fr-CA"/>
        </w:rPr>
        <w:t xml:space="preserve">Welsh </w:t>
      </w:r>
      <w:r w:rsidRPr="000C43C5">
        <w:rPr>
          <w:lang w:val="fr-CA"/>
        </w:rPr>
        <w:t>présidait des audiences dans la salle d’audience n</w:t>
      </w:r>
      <w:r w:rsidRPr="000C43C5">
        <w:rPr>
          <w:vertAlign w:val="superscript"/>
          <w:lang w:val="fr-CA"/>
        </w:rPr>
        <w:t>o</w:t>
      </w:r>
      <w:r w:rsidRPr="000C43C5">
        <w:rPr>
          <w:lang w:val="fr-CA"/>
        </w:rPr>
        <w:t xml:space="preserve"> </w:t>
      </w:r>
      <w:r w:rsidR="00F5199C" w:rsidRPr="000C43C5">
        <w:rPr>
          <w:lang w:val="fr-CA"/>
        </w:rPr>
        <w:t>100</w:t>
      </w:r>
      <w:r w:rsidRPr="000C43C5">
        <w:rPr>
          <w:lang w:val="fr-CA"/>
        </w:rPr>
        <w:t xml:space="preserve">, au </w:t>
      </w:r>
      <w:r w:rsidR="00F5199C" w:rsidRPr="000C43C5">
        <w:rPr>
          <w:lang w:val="fr-CA"/>
        </w:rPr>
        <w:t>45</w:t>
      </w:r>
      <w:r w:rsidRPr="000C43C5">
        <w:rPr>
          <w:lang w:val="fr-CA"/>
        </w:rPr>
        <w:t>, rue</w:t>
      </w:r>
      <w:r w:rsidR="00F5199C" w:rsidRPr="000C43C5">
        <w:rPr>
          <w:lang w:val="fr-CA"/>
        </w:rPr>
        <w:t xml:space="preserve"> Main Est, </w:t>
      </w:r>
      <w:r w:rsidRPr="000C43C5">
        <w:rPr>
          <w:lang w:val="fr-CA"/>
        </w:rPr>
        <w:t>à</w:t>
      </w:r>
      <w:r w:rsidR="00F5199C" w:rsidRPr="000C43C5">
        <w:rPr>
          <w:lang w:val="fr-CA"/>
        </w:rPr>
        <w:t xml:space="preserve"> Hamilton</w:t>
      </w:r>
      <w:r w:rsidRPr="000C43C5">
        <w:rPr>
          <w:lang w:val="fr-CA"/>
        </w:rPr>
        <w:t xml:space="preserve"> (</w:t>
      </w:r>
      <w:r w:rsidR="00F5199C" w:rsidRPr="000C43C5">
        <w:rPr>
          <w:lang w:val="fr-CA"/>
        </w:rPr>
        <w:t>Ontario</w:t>
      </w:r>
      <w:r w:rsidRPr="000C43C5">
        <w:rPr>
          <w:lang w:val="fr-CA"/>
        </w:rPr>
        <w:t>)</w:t>
      </w:r>
      <w:r w:rsidR="00F5199C" w:rsidRPr="000C43C5">
        <w:rPr>
          <w:lang w:val="fr-CA"/>
        </w:rPr>
        <w:t xml:space="preserve">. </w:t>
      </w:r>
      <w:r w:rsidRPr="000C43C5">
        <w:rPr>
          <w:lang w:val="fr-CA"/>
        </w:rPr>
        <w:t>De multiples procureurs, avocats de la défense et accusés qui se représentaient eux-mêmes, en plus de deux greffiers et d’un sténographe judiciaire, se trouvaient dans la salle d’audience</w:t>
      </w:r>
      <w:r w:rsidR="00031D28" w:rsidRPr="000C43C5">
        <w:rPr>
          <w:lang w:val="fr-CA"/>
        </w:rPr>
        <w:t>.</w:t>
      </w:r>
    </w:p>
    <w:p w14:paraId="667835C8" w14:textId="4161FBC3" w:rsidR="00F5199C" w:rsidRPr="000C43C5" w:rsidRDefault="004A5B69" w:rsidP="00BF514D">
      <w:pPr>
        <w:pStyle w:val="AParaNumbering"/>
        <w:rPr>
          <w:lang w:val="fr-CA"/>
        </w:rPr>
      </w:pPr>
      <w:r w:rsidRPr="000C43C5">
        <w:rPr>
          <w:lang w:val="fr-CA"/>
        </w:rPr>
        <w:t xml:space="preserve">Cette salle d’audience est connue pour être très chargée </w:t>
      </w:r>
      <w:r w:rsidR="00F5199C" w:rsidRPr="000C43C5">
        <w:rPr>
          <w:lang w:val="fr-CA"/>
        </w:rPr>
        <w:t xml:space="preserve">– </w:t>
      </w:r>
      <w:r w:rsidRPr="000C43C5">
        <w:rPr>
          <w:lang w:val="fr-CA"/>
        </w:rPr>
        <w:t xml:space="preserve">on l’appelle </w:t>
      </w:r>
      <w:r w:rsidR="006A3482" w:rsidRPr="000C43C5">
        <w:rPr>
          <w:lang w:val="fr-CA"/>
        </w:rPr>
        <w:t>« le tribunal des renvois pour cas de drogues et tribunal de mise au rôle ».</w:t>
      </w:r>
      <w:r w:rsidR="00F5199C" w:rsidRPr="000C43C5">
        <w:rPr>
          <w:lang w:val="fr-CA"/>
        </w:rPr>
        <w:t xml:space="preserve"> </w:t>
      </w:r>
      <w:r w:rsidR="002622A7" w:rsidRPr="000C43C5">
        <w:rPr>
          <w:lang w:val="fr-CA"/>
        </w:rPr>
        <w:t xml:space="preserve">La </w:t>
      </w:r>
      <w:r w:rsidR="007701DD">
        <w:rPr>
          <w:lang w:val="fr-CA"/>
        </w:rPr>
        <w:t>journée d’audience</w:t>
      </w:r>
      <w:r w:rsidR="002622A7" w:rsidRPr="000C43C5">
        <w:rPr>
          <w:lang w:val="fr-CA"/>
        </w:rPr>
        <w:t xml:space="preserve"> commence à 9 h et dure jusqu’à ce que les dossiers soient terminés</w:t>
      </w:r>
      <w:r w:rsidR="00F5199C" w:rsidRPr="000C43C5">
        <w:rPr>
          <w:lang w:val="fr-CA"/>
        </w:rPr>
        <w:t xml:space="preserve">.  </w:t>
      </w:r>
    </w:p>
    <w:p w14:paraId="0E20E5F0" w14:textId="16EC8A21" w:rsidR="00F5199C" w:rsidRPr="000C43C5" w:rsidRDefault="002622A7" w:rsidP="00BF514D">
      <w:pPr>
        <w:pStyle w:val="AParaNumbering"/>
        <w:rPr>
          <w:lang w:val="fr-CA"/>
        </w:rPr>
      </w:pPr>
      <w:r w:rsidRPr="000C43C5">
        <w:rPr>
          <w:lang w:val="fr-CA"/>
        </w:rPr>
        <w:t xml:space="preserve">L’affaire qui fait l’objet de la plainte est l’instance concernant </w:t>
      </w:r>
      <w:r w:rsidR="00F5199C" w:rsidRPr="000C43C5">
        <w:rPr>
          <w:lang w:val="fr-CA"/>
        </w:rPr>
        <w:t>M. Ian Silverthorne.</w:t>
      </w:r>
      <w:r w:rsidRPr="000C43C5">
        <w:rPr>
          <w:lang w:val="fr-CA"/>
        </w:rPr>
        <w:t xml:space="preserve"> Le 16 octobre </w:t>
      </w:r>
      <w:r w:rsidR="00F5199C" w:rsidRPr="000C43C5">
        <w:rPr>
          <w:lang w:val="fr-CA"/>
        </w:rPr>
        <w:t>2013,</w:t>
      </w:r>
      <w:r w:rsidR="00F80FD3" w:rsidRPr="000C43C5">
        <w:rPr>
          <w:lang w:val="fr-CA"/>
        </w:rPr>
        <w:t xml:space="preserve"> M. Silverthorne</w:t>
      </w:r>
      <w:r w:rsidR="00F5199C" w:rsidRPr="000C43C5">
        <w:rPr>
          <w:lang w:val="fr-CA"/>
        </w:rPr>
        <w:t xml:space="preserve"> </w:t>
      </w:r>
      <w:r w:rsidRPr="000C43C5">
        <w:rPr>
          <w:lang w:val="fr-CA"/>
        </w:rPr>
        <w:t>a comparu en personne avec son avocat, Me </w:t>
      </w:r>
      <w:r w:rsidR="00F5199C" w:rsidRPr="000C43C5">
        <w:rPr>
          <w:lang w:val="fr-CA"/>
        </w:rPr>
        <w:t>Carl</w:t>
      </w:r>
      <w:r w:rsidRPr="000C43C5">
        <w:rPr>
          <w:lang w:val="fr-CA"/>
        </w:rPr>
        <w:t> </w:t>
      </w:r>
      <w:r w:rsidR="00F5199C" w:rsidRPr="000C43C5">
        <w:rPr>
          <w:lang w:val="fr-CA"/>
        </w:rPr>
        <w:t>Robertson. M</w:t>
      </w:r>
      <w:r w:rsidRPr="000C43C5">
        <w:rPr>
          <w:lang w:val="fr-CA"/>
        </w:rPr>
        <w:t>e</w:t>
      </w:r>
      <w:r w:rsidR="00F5199C" w:rsidRPr="000C43C5">
        <w:rPr>
          <w:lang w:val="fr-CA"/>
        </w:rPr>
        <w:t xml:space="preserve"> Robertson </w:t>
      </w:r>
      <w:r w:rsidRPr="000C43C5">
        <w:rPr>
          <w:lang w:val="fr-CA"/>
        </w:rPr>
        <w:t xml:space="preserve">est un pénaliste chevronné qui représente de nombreux clients devant les tribunaux de </w:t>
      </w:r>
      <w:r w:rsidR="00F5199C" w:rsidRPr="000C43C5">
        <w:rPr>
          <w:lang w:val="fr-CA"/>
        </w:rPr>
        <w:t xml:space="preserve">Hamilton. </w:t>
      </w:r>
      <w:r w:rsidRPr="000C43C5">
        <w:rPr>
          <w:lang w:val="fr-CA"/>
        </w:rPr>
        <w:t>À la demande de Me </w:t>
      </w:r>
      <w:r w:rsidR="00F5199C" w:rsidRPr="000C43C5">
        <w:rPr>
          <w:lang w:val="fr-CA"/>
        </w:rPr>
        <w:t>Robertson</w:t>
      </w:r>
      <w:r w:rsidRPr="000C43C5">
        <w:rPr>
          <w:lang w:val="fr-CA"/>
        </w:rPr>
        <w:t xml:space="preserve">, l’affaire a été ajournée au 30 novembre </w:t>
      </w:r>
      <w:r w:rsidR="00F5199C" w:rsidRPr="000C43C5">
        <w:rPr>
          <w:lang w:val="fr-CA"/>
        </w:rPr>
        <w:t xml:space="preserve">2013 </w:t>
      </w:r>
      <w:r w:rsidRPr="000C43C5">
        <w:rPr>
          <w:lang w:val="fr-CA"/>
        </w:rPr>
        <w:t>pour « la présentation d’observations »</w:t>
      </w:r>
      <w:r w:rsidR="00F5199C" w:rsidRPr="000C43C5">
        <w:rPr>
          <w:lang w:val="fr-CA"/>
        </w:rPr>
        <w:t xml:space="preserve">. </w:t>
      </w:r>
      <w:r w:rsidRPr="000C43C5">
        <w:rPr>
          <w:lang w:val="fr-CA"/>
        </w:rPr>
        <w:t>M. </w:t>
      </w:r>
      <w:r w:rsidR="00F5199C" w:rsidRPr="000C43C5">
        <w:rPr>
          <w:lang w:val="fr-CA"/>
        </w:rPr>
        <w:t xml:space="preserve">Silverthorne </w:t>
      </w:r>
      <w:r w:rsidRPr="000C43C5">
        <w:rPr>
          <w:lang w:val="fr-CA"/>
        </w:rPr>
        <w:t>et son avocat ont ensuite quitté la salle d’audience</w:t>
      </w:r>
      <w:r w:rsidR="00F5199C" w:rsidRPr="000C43C5">
        <w:rPr>
          <w:lang w:val="fr-CA"/>
        </w:rPr>
        <w:t>.</w:t>
      </w:r>
      <w:r w:rsidR="00E26A6A" w:rsidRPr="000C43C5">
        <w:rPr>
          <w:lang w:val="fr-CA"/>
        </w:rPr>
        <w:t xml:space="preserve">  </w:t>
      </w:r>
    </w:p>
    <w:p w14:paraId="1F21F345" w14:textId="670438E9" w:rsidR="00F5199C" w:rsidRPr="000C43C5" w:rsidRDefault="002622A7" w:rsidP="00BF514D">
      <w:pPr>
        <w:pStyle w:val="AParaNumbering"/>
        <w:rPr>
          <w:b/>
          <w:lang w:val="fr-CA"/>
        </w:rPr>
      </w:pPr>
      <w:r w:rsidRPr="000C43C5">
        <w:rPr>
          <w:lang w:val="fr-CA"/>
        </w:rPr>
        <w:lastRenderedPageBreak/>
        <w:t>Les audiences de renvoi sur vidéo ont commencé à 14 h pour les accusés en détention</w:t>
      </w:r>
      <w:r w:rsidR="00F5199C" w:rsidRPr="000C43C5">
        <w:rPr>
          <w:lang w:val="fr-CA"/>
        </w:rPr>
        <w:t xml:space="preserve">. </w:t>
      </w:r>
    </w:p>
    <w:p w14:paraId="2D10D2E9" w14:textId="72A7BAB4" w:rsidR="00031D28" w:rsidRPr="000C43C5" w:rsidRDefault="002622A7" w:rsidP="00BF514D">
      <w:pPr>
        <w:pStyle w:val="AParaNumbering"/>
        <w:rPr>
          <w:lang w:val="fr-CA"/>
        </w:rPr>
      </w:pPr>
      <w:r w:rsidRPr="000C43C5">
        <w:rPr>
          <w:lang w:val="fr-CA"/>
        </w:rPr>
        <w:t>Comme le démontre l’enregistrement audio des instances, pendant que les dossiers des accusés comparaissant par vidéo étaient traités en audience publique, l</w:t>
      </w:r>
      <w:r w:rsidR="003E7543" w:rsidRPr="000C43C5">
        <w:rPr>
          <w:lang w:val="fr-CA"/>
        </w:rPr>
        <w:t>a</w:t>
      </w:r>
      <w:r w:rsidRPr="000C43C5">
        <w:rPr>
          <w:lang w:val="fr-CA"/>
        </w:rPr>
        <w:t xml:space="preserve"> greffi</w:t>
      </w:r>
      <w:r w:rsidR="003E7543" w:rsidRPr="000C43C5">
        <w:rPr>
          <w:lang w:val="fr-CA"/>
        </w:rPr>
        <w:t>ère</w:t>
      </w:r>
      <w:r w:rsidRPr="000C43C5">
        <w:rPr>
          <w:lang w:val="fr-CA"/>
        </w:rPr>
        <w:t xml:space="preserve"> a informé le juge de paix </w:t>
      </w:r>
      <w:r w:rsidR="00F5199C" w:rsidRPr="000C43C5">
        <w:rPr>
          <w:lang w:val="fr-CA"/>
        </w:rPr>
        <w:t xml:space="preserve">Paul Welsh </w:t>
      </w:r>
      <w:r w:rsidRPr="000C43C5">
        <w:rPr>
          <w:lang w:val="fr-CA"/>
        </w:rPr>
        <w:t>que l’un des dossiers de renvoi du matin avait été ajourné au 30 novembre</w:t>
      </w:r>
      <w:r w:rsidR="00F5199C" w:rsidRPr="000C43C5">
        <w:rPr>
          <w:lang w:val="fr-CA"/>
        </w:rPr>
        <w:t>.</w:t>
      </w:r>
      <w:r w:rsidR="00031D28" w:rsidRPr="000C43C5">
        <w:rPr>
          <w:lang w:val="fr-CA"/>
        </w:rPr>
        <w:t xml:space="preserve"> </w:t>
      </w:r>
      <w:r w:rsidRPr="000C43C5">
        <w:rPr>
          <w:lang w:val="fr-CA"/>
        </w:rPr>
        <w:t xml:space="preserve">Le 30 novembre </w:t>
      </w:r>
      <w:r w:rsidR="00031D28" w:rsidRPr="000C43C5">
        <w:rPr>
          <w:lang w:val="fr-CA"/>
        </w:rPr>
        <w:t xml:space="preserve">2013 </w:t>
      </w:r>
      <w:r w:rsidRPr="000C43C5">
        <w:rPr>
          <w:lang w:val="fr-CA"/>
        </w:rPr>
        <w:t xml:space="preserve">était un samedi, un jour non juridique. </w:t>
      </w:r>
    </w:p>
    <w:p w14:paraId="22396C80" w14:textId="5B3ABD02" w:rsidR="005C7A84" w:rsidRPr="000C43C5" w:rsidRDefault="002622A7" w:rsidP="00BF514D">
      <w:pPr>
        <w:pStyle w:val="AParaNumbering"/>
        <w:rPr>
          <w:lang w:val="fr-CA"/>
        </w:rPr>
      </w:pPr>
      <w:r w:rsidRPr="000C43C5">
        <w:rPr>
          <w:lang w:val="fr-CA"/>
        </w:rPr>
        <w:t>L’enregistrement audio confirme clairement le dialogue suivant entre le juge de paix et l</w:t>
      </w:r>
      <w:r w:rsidR="003E7543" w:rsidRPr="000C43C5">
        <w:rPr>
          <w:lang w:val="fr-CA"/>
        </w:rPr>
        <w:t>a</w:t>
      </w:r>
      <w:r w:rsidRPr="000C43C5">
        <w:rPr>
          <w:lang w:val="fr-CA"/>
        </w:rPr>
        <w:t xml:space="preserve"> greffi</w:t>
      </w:r>
      <w:r w:rsidR="003E7543" w:rsidRPr="000C43C5">
        <w:rPr>
          <w:lang w:val="fr-CA"/>
        </w:rPr>
        <w:t>ère</w:t>
      </w:r>
      <w:r w:rsidRPr="000C43C5">
        <w:rPr>
          <w:lang w:val="fr-CA"/>
        </w:rPr>
        <w:t xml:space="preserve"> après que le juge de paix a appris que l’affaire </w:t>
      </w:r>
      <w:r w:rsidR="00807228" w:rsidRPr="000C43C5">
        <w:rPr>
          <w:lang w:val="fr-CA"/>
        </w:rPr>
        <w:t xml:space="preserve">Silverthorne </w:t>
      </w:r>
      <w:r w:rsidRPr="000C43C5">
        <w:rPr>
          <w:lang w:val="fr-CA"/>
        </w:rPr>
        <w:t>avait été ajournée (par erreur) au samedi 30 novembre </w:t>
      </w:r>
      <w:r w:rsidR="00BD68D4" w:rsidRPr="000C43C5">
        <w:rPr>
          <w:lang w:val="fr-CA"/>
        </w:rPr>
        <w:t>:</w:t>
      </w:r>
      <w:r w:rsidR="00BD68D4" w:rsidRPr="000C43C5">
        <w:rPr>
          <w:vertAlign w:val="superscript"/>
          <w:lang w:val="fr-CA"/>
        </w:rPr>
        <w:t xml:space="preserve">  </w:t>
      </w:r>
    </w:p>
    <w:p w14:paraId="30711C65" w14:textId="68B65BE3" w:rsidR="005C7A84" w:rsidRPr="000C43C5" w:rsidRDefault="002622A7" w:rsidP="00F80FD3">
      <w:pPr>
        <w:widowControl w:val="0"/>
        <w:ind w:left="2835" w:right="720" w:hanging="2126"/>
        <w:jc w:val="both"/>
        <w:rPr>
          <w:rFonts w:ascii="Arial" w:eastAsia="Arial" w:hAnsi="Arial" w:cs="Arial"/>
          <w:lang w:val="fr-CA" w:eastAsia="en-US"/>
        </w:rPr>
      </w:pPr>
      <w:r w:rsidRPr="000C43C5">
        <w:rPr>
          <w:rFonts w:ascii="Arial" w:eastAsia="Arial" w:hAnsi="Arial" w:cs="Arial"/>
          <w:lang w:val="fr-CA" w:eastAsia="en-US"/>
        </w:rPr>
        <w:t>L</w:t>
      </w:r>
      <w:r w:rsidR="003E7543" w:rsidRPr="000C43C5">
        <w:rPr>
          <w:rFonts w:ascii="Arial" w:eastAsia="Arial" w:hAnsi="Arial" w:cs="Arial"/>
          <w:lang w:val="fr-CA" w:eastAsia="en-US"/>
        </w:rPr>
        <w:t>a</w:t>
      </w:r>
      <w:r w:rsidRPr="000C43C5">
        <w:rPr>
          <w:rFonts w:ascii="Arial" w:eastAsia="Arial" w:hAnsi="Arial" w:cs="Arial"/>
          <w:lang w:val="fr-CA" w:eastAsia="en-US"/>
        </w:rPr>
        <w:t xml:space="preserve"> greffi</w:t>
      </w:r>
      <w:r w:rsidR="003E7543" w:rsidRPr="000C43C5">
        <w:rPr>
          <w:rFonts w:ascii="Arial" w:eastAsia="Arial" w:hAnsi="Arial" w:cs="Arial"/>
          <w:lang w:val="fr-CA" w:eastAsia="en-US"/>
        </w:rPr>
        <w:t>ère</w:t>
      </w:r>
      <w:r w:rsidRPr="000C43C5">
        <w:rPr>
          <w:rFonts w:ascii="Arial" w:eastAsia="Arial" w:hAnsi="Arial" w:cs="Arial"/>
          <w:lang w:val="fr-CA" w:eastAsia="en-US"/>
        </w:rPr>
        <w:t xml:space="preserve"> :</w:t>
      </w:r>
      <w:r w:rsidR="005C7A84" w:rsidRPr="000C43C5">
        <w:rPr>
          <w:rFonts w:ascii="Arial" w:eastAsia="Arial" w:hAnsi="Arial" w:cs="Arial"/>
          <w:lang w:val="fr-CA" w:eastAsia="en-US"/>
        </w:rPr>
        <w:tab/>
        <w:t>Appare</w:t>
      </w:r>
      <w:r w:rsidRPr="000C43C5">
        <w:rPr>
          <w:rFonts w:ascii="Arial" w:eastAsia="Arial" w:hAnsi="Arial" w:cs="Arial"/>
          <w:lang w:val="fr-CA" w:eastAsia="en-US"/>
        </w:rPr>
        <w:t xml:space="preserve">mment, </w:t>
      </w:r>
      <w:r w:rsidR="005C7A84" w:rsidRPr="000C43C5">
        <w:rPr>
          <w:rFonts w:ascii="Arial" w:eastAsia="Arial" w:hAnsi="Arial" w:cs="Arial"/>
          <w:lang w:val="fr-CA" w:eastAsia="en-US"/>
        </w:rPr>
        <w:t>[</w:t>
      </w:r>
      <w:r w:rsidRPr="000C43C5">
        <w:rPr>
          <w:rFonts w:ascii="Arial" w:eastAsia="Arial" w:hAnsi="Arial" w:cs="Arial"/>
          <w:lang w:val="fr-CA" w:eastAsia="en-US"/>
        </w:rPr>
        <w:t>inaudible</w:t>
      </w:r>
      <w:r w:rsidR="005C7A84" w:rsidRPr="000C43C5">
        <w:rPr>
          <w:rFonts w:ascii="Arial" w:eastAsia="Arial" w:hAnsi="Arial" w:cs="Arial"/>
          <w:lang w:val="fr-CA" w:eastAsia="en-US"/>
        </w:rPr>
        <w:t xml:space="preserve">] </w:t>
      </w:r>
      <w:r w:rsidRPr="000C43C5">
        <w:rPr>
          <w:rFonts w:ascii="Arial" w:eastAsia="Arial" w:hAnsi="Arial" w:cs="Arial"/>
          <w:lang w:val="fr-CA" w:eastAsia="en-US"/>
        </w:rPr>
        <w:t>de la liste du matin au 30 novembre</w:t>
      </w:r>
      <w:r w:rsidR="005C7A84" w:rsidRPr="000C43C5">
        <w:rPr>
          <w:rFonts w:ascii="Arial" w:eastAsia="Arial" w:hAnsi="Arial" w:cs="Arial"/>
          <w:lang w:val="fr-CA" w:eastAsia="en-US"/>
        </w:rPr>
        <w:t xml:space="preserve">, </w:t>
      </w:r>
      <w:r w:rsidRPr="000C43C5">
        <w:rPr>
          <w:rFonts w:ascii="Arial" w:eastAsia="Arial" w:hAnsi="Arial" w:cs="Arial"/>
          <w:lang w:val="fr-CA" w:eastAsia="en-US"/>
        </w:rPr>
        <w:t>c’est un samedi</w:t>
      </w:r>
      <w:r w:rsidR="005C7A84" w:rsidRPr="000C43C5">
        <w:rPr>
          <w:rFonts w:ascii="Arial" w:eastAsia="Arial" w:hAnsi="Arial" w:cs="Arial"/>
          <w:lang w:val="fr-CA" w:eastAsia="en-US"/>
        </w:rPr>
        <w:t>.</w:t>
      </w:r>
    </w:p>
    <w:p w14:paraId="34CEE9DF" w14:textId="77777777" w:rsidR="00F80FD3" w:rsidRPr="000C43C5" w:rsidRDefault="00F80FD3" w:rsidP="00F80FD3">
      <w:pPr>
        <w:widowControl w:val="0"/>
        <w:ind w:left="2835" w:right="720" w:hanging="2126"/>
        <w:jc w:val="both"/>
        <w:rPr>
          <w:rFonts w:ascii="Arial" w:eastAsia="Arial" w:hAnsi="Arial" w:cs="Arial"/>
          <w:lang w:val="fr-CA" w:eastAsia="en-US"/>
        </w:rPr>
      </w:pPr>
    </w:p>
    <w:p w14:paraId="7E5B2C6C" w14:textId="7FFCD5FC" w:rsidR="005C7A84" w:rsidRPr="000C43C5" w:rsidRDefault="002622A7" w:rsidP="00F80FD3">
      <w:pPr>
        <w:widowControl w:val="0"/>
        <w:ind w:left="2835" w:right="720" w:hanging="2126"/>
        <w:jc w:val="both"/>
        <w:rPr>
          <w:rFonts w:ascii="Arial" w:eastAsia="Arial" w:hAnsi="Arial" w:cs="Arial"/>
          <w:lang w:val="fr-CA" w:eastAsia="en-US"/>
        </w:rPr>
      </w:pPr>
      <w:r w:rsidRPr="000C43C5">
        <w:rPr>
          <w:rFonts w:ascii="Arial" w:eastAsia="Arial" w:hAnsi="Arial" w:cs="Arial"/>
          <w:lang w:val="fr-CA" w:eastAsia="en-US"/>
        </w:rPr>
        <w:t xml:space="preserve">Le tribunal </w:t>
      </w:r>
      <w:r w:rsidR="005C7A84" w:rsidRPr="000C43C5">
        <w:rPr>
          <w:rFonts w:ascii="Arial" w:eastAsia="Arial" w:hAnsi="Arial" w:cs="Arial"/>
          <w:lang w:val="fr-CA" w:eastAsia="en-US"/>
        </w:rPr>
        <w:t>:</w:t>
      </w:r>
      <w:r w:rsidR="005C7A84" w:rsidRPr="000C43C5">
        <w:rPr>
          <w:rFonts w:ascii="Arial" w:eastAsia="Arial" w:hAnsi="Arial" w:cs="Arial"/>
          <w:lang w:val="fr-CA" w:eastAsia="en-US"/>
        </w:rPr>
        <w:tab/>
      </w:r>
      <w:r w:rsidRPr="000C43C5">
        <w:rPr>
          <w:rFonts w:ascii="Arial" w:eastAsia="Arial" w:hAnsi="Arial" w:cs="Arial"/>
          <w:lang w:val="fr-CA" w:eastAsia="en-US"/>
        </w:rPr>
        <w:t>Eh bien, nous pouvons changer ça</w:t>
      </w:r>
      <w:r w:rsidR="005C7A84" w:rsidRPr="000C43C5">
        <w:rPr>
          <w:rFonts w:ascii="Arial" w:eastAsia="Arial" w:hAnsi="Arial" w:cs="Arial"/>
          <w:lang w:val="fr-CA" w:eastAsia="en-US"/>
        </w:rPr>
        <w:t>.</w:t>
      </w:r>
    </w:p>
    <w:p w14:paraId="00EEDFA0" w14:textId="77777777" w:rsidR="00F80FD3" w:rsidRPr="000C43C5" w:rsidRDefault="00F80FD3" w:rsidP="00F80FD3">
      <w:pPr>
        <w:widowControl w:val="0"/>
        <w:ind w:left="2835" w:right="720" w:hanging="2126"/>
        <w:jc w:val="both"/>
        <w:rPr>
          <w:rFonts w:ascii="Arial" w:eastAsia="Arial" w:hAnsi="Arial" w:cs="Arial"/>
          <w:lang w:val="fr-CA" w:eastAsia="en-US"/>
        </w:rPr>
      </w:pPr>
    </w:p>
    <w:p w14:paraId="0AC4345B" w14:textId="594AF921" w:rsidR="005C7A84" w:rsidRPr="000C43C5" w:rsidRDefault="003E7543" w:rsidP="00F80FD3">
      <w:pPr>
        <w:widowControl w:val="0"/>
        <w:ind w:left="2835" w:right="720" w:hanging="2126"/>
        <w:jc w:val="both"/>
        <w:rPr>
          <w:rFonts w:ascii="Arial" w:eastAsia="Arial" w:hAnsi="Arial" w:cs="Arial"/>
          <w:lang w:val="fr-CA" w:eastAsia="en-US"/>
        </w:rPr>
      </w:pPr>
      <w:r w:rsidRPr="000C43C5">
        <w:rPr>
          <w:rFonts w:ascii="Arial" w:eastAsia="Arial" w:hAnsi="Arial" w:cs="Arial"/>
          <w:lang w:val="fr-CA" w:eastAsia="en-US"/>
        </w:rPr>
        <w:t xml:space="preserve">La greffière </w:t>
      </w:r>
      <w:r w:rsidR="005C7A84" w:rsidRPr="000C43C5">
        <w:rPr>
          <w:rFonts w:ascii="Arial" w:eastAsia="Arial" w:hAnsi="Arial" w:cs="Arial"/>
          <w:lang w:val="fr-CA" w:eastAsia="en-US"/>
        </w:rPr>
        <w:t>:</w:t>
      </w:r>
      <w:r w:rsidR="005C7A84" w:rsidRPr="000C43C5">
        <w:rPr>
          <w:rFonts w:ascii="Arial" w:eastAsia="Arial" w:hAnsi="Arial" w:cs="Arial"/>
          <w:lang w:val="fr-CA" w:eastAsia="en-US"/>
        </w:rPr>
        <w:tab/>
      </w:r>
      <w:r w:rsidR="002622A7" w:rsidRPr="000C43C5">
        <w:rPr>
          <w:rFonts w:ascii="Arial" w:eastAsia="Arial" w:hAnsi="Arial" w:cs="Arial"/>
          <w:lang w:val="fr-CA" w:eastAsia="en-US"/>
        </w:rPr>
        <w:t>[inaudible]</w:t>
      </w:r>
    </w:p>
    <w:p w14:paraId="6705AC84" w14:textId="77777777" w:rsidR="00F80FD3" w:rsidRPr="000C43C5" w:rsidRDefault="00F80FD3" w:rsidP="00F80FD3">
      <w:pPr>
        <w:widowControl w:val="0"/>
        <w:ind w:left="2835" w:right="720" w:hanging="2126"/>
        <w:jc w:val="both"/>
        <w:rPr>
          <w:rFonts w:ascii="Arial" w:eastAsia="Arial" w:hAnsi="Arial" w:cs="Arial"/>
          <w:lang w:val="fr-CA" w:eastAsia="en-US"/>
        </w:rPr>
      </w:pPr>
    </w:p>
    <w:p w14:paraId="24194A1F" w14:textId="19E587EC" w:rsidR="005C7A84" w:rsidRPr="000C43C5" w:rsidRDefault="002622A7" w:rsidP="00F80FD3">
      <w:pPr>
        <w:widowControl w:val="0"/>
        <w:ind w:left="2835" w:right="720" w:hanging="2126"/>
        <w:jc w:val="both"/>
        <w:rPr>
          <w:rFonts w:ascii="Arial" w:eastAsia="Arial" w:hAnsi="Arial" w:cs="Arial"/>
          <w:lang w:val="fr-CA" w:eastAsia="en-US"/>
        </w:rPr>
      </w:pPr>
      <w:r w:rsidRPr="000C43C5">
        <w:rPr>
          <w:rFonts w:ascii="Arial" w:eastAsia="Arial" w:hAnsi="Arial" w:cs="Arial"/>
          <w:lang w:val="fr-CA" w:eastAsia="en-US"/>
        </w:rPr>
        <w:t>Le tribunal :</w:t>
      </w:r>
      <w:r w:rsidR="005C7A84" w:rsidRPr="000C43C5">
        <w:rPr>
          <w:rFonts w:ascii="Arial" w:eastAsia="Arial" w:hAnsi="Arial" w:cs="Arial"/>
          <w:lang w:val="fr-CA" w:eastAsia="en-US"/>
        </w:rPr>
        <w:tab/>
      </w:r>
      <w:r w:rsidRPr="000C43C5">
        <w:rPr>
          <w:rFonts w:ascii="Arial" w:eastAsia="Arial" w:hAnsi="Arial" w:cs="Arial"/>
          <w:lang w:val="fr-CA" w:eastAsia="en-US"/>
        </w:rPr>
        <w:t>Merci.</w:t>
      </w:r>
      <w:r w:rsidR="009D156B" w:rsidRPr="000C43C5">
        <w:rPr>
          <w:rFonts w:ascii="Arial" w:eastAsia="Arial" w:hAnsi="Arial" w:cs="Arial"/>
          <w:lang w:val="fr-CA" w:eastAsia="en-US"/>
        </w:rPr>
        <w:t xml:space="preserve"> [traduction]</w:t>
      </w:r>
    </w:p>
    <w:p w14:paraId="3D308B13" w14:textId="77777777" w:rsidR="00C65DC0" w:rsidRPr="000C43C5" w:rsidRDefault="00C65DC0" w:rsidP="00EC583B">
      <w:pPr>
        <w:pStyle w:val="ListParagraph"/>
        <w:rPr>
          <w:rFonts w:ascii="Arial" w:hAnsi="Arial" w:cs="Arial"/>
          <w:lang w:val="fr-CA"/>
        </w:rPr>
      </w:pPr>
    </w:p>
    <w:p w14:paraId="20B6A6F6" w14:textId="26DA8F8D" w:rsidR="005C7A84" w:rsidRPr="000C43C5" w:rsidRDefault="002622A7" w:rsidP="00BF514D">
      <w:pPr>
        <w:pStyle w:val="AParaNumbering"/>
        <w:rPr>
          <w:lang w:val="fr-CA"/>
        </w:rPr>
      </w:pPr>
      <w:r w:rsidRPr="000C43C5">
        <w:rPr>
          <w:lang w:val="fr-CA"/>
        </w:rPr>
        <w:t>L’enregistrement montre un deuxième échange </w:t>
      </w:r>
      <w:r w:rsidR="005C7A84" w:rsidRPr="000C43C5">
        <w:rPr>
          <w:lang w:val="fr-CA"/>
        </w:rPr>
        <w:t>:</w:t>
      </w:r>
    </w:p>
    <w:p w14:paraId="621E573B" w14:textId="65526A3F" w:rsidR="005C7A84" w:rsidRPr="000C43C5" w:rsidRDefault="002622A7" w:rsidP="00F80FD3">
      <w:pPr>
        <w:widowControl w:val="0"/>
        <w:ind w:left="2835" w:right="720" w:hanging="2126"/>
        <w:jc w:val="both"/>
        <w:rPr>
          <w:rFonts w:ascii="Arial" w:hAnsi="Arial" w:cs="Arial"/>
          <w:lang w:val="fr-CA"/>
        </w:rPr>
      </w:pPr>
      <w:r w:rsidRPr="000C43C5">
        <w:rPr>
          <w:rFonts w:ascii="Arial" w:eastAsia="Arial" w:hAnsi="Arial" w:cs="Arial"/>
          <w:lang w:val="fr-CA" w:eastAsia="en-US"/>
        </w:rPr>
        <w:t>Le tribunal :</w:t>
      </w:r>
      <w:r w:rsidR="005C7A84" w:rsidRPr="000C43C5">
        <w:rPr>
          <w:rFonts w:ascii="Arial" w:hAnsi="Arial" w:cs="Arial"/>
          <w:lang w:val="fr-CA"/>
        </w:rPr>
        <w:tab/>
      </w:r>
      <w:r w:rsidR="009D156B" w:rsidRPr="000C43C5">
        <w:rPr>
          <w:rFonts w:ascii="Arial" w:hAnsi="Arial" w:cs="Arial"/>
          <w:lang w:val="fr-CA"/>
        </w:rPr>
        <w:t>Il est évident que cela aurait dû être le 30 octobre. On n’a qu’à faire le changement</w:t>
      </w:r>
      <w:r w:rsidR="005C7A84" w:rsidRPr="000C43C5">
        <w:rPr>
          <w:rFonts w:ascii="Arial" w:hAnsi="Arial" w:cs="Arial"/>
          <w:lang w:val="fr-CA"/>
        </w:rPr>
        <w:t>.</w:t>
      </w:r>
    </w:p>
    <w:p w14:paraId="39C8122F" w14:textId="77777777" w:rsidR="005C7A84" w:rsidRPr="000C43C5" w:rsidRDefault="005C7A84" w:rsidP="005C7A84">
      <w:pPr>
        <w:widowControl w:val="0"/>
        <w:spacing w:line="240" w:lineRule="atLeast"/>
        <w:ind w:left="2835" w:right="720" w:hanging="2126"/>
        <w:jc w:val="both"/>
        <w:rPr>
          <w:rFonts w:ascii="Arial" w:hAnsi="Arial" w:cs="Arial"/>
          <w:lang w:val="fr-CA"/>
        </w:rPr>
      </w:pPr>
    </w:p>
    <w:p w14:paraId="41055185" w14:textId="751BCC46" w:rsidR="005C7A84" w:rsidRPr="000C43C5" w:rsidRDefault="003E7543" w:rsidP="005C7A84">
      <w:pPr>
        <w:widowControl w:val="0"/>
        <w:spacing w:line="240" w:lineRule="atLeast"/>
        <w:ind w:left="2835" w:right="720" w:hanging="2115"/>
        <w:jc w:val="both"/>
        <w:rPr>
          <w:rFonts w:ascii="Arial" w:hAnsi="Arial" w:cs="Arial"/>
          <w:lang w:val="fr-CA"/>
        </w:rPr>
      </w:pPr>
      <w:r w:rsidRPr="000C43C5">
        <w:rPr>
          <w:rFonts w:ascii="Arial" w:eastAsia="Arial" w:hAnsi="Arial" w:cs="Arial"/>
          <w:lang w:val="fr-CA" w:eastAsia="en-US"/>
        </w:rPr>
        <w:t xml:space="preserve">La greffière </w:t>
      </w:r>
      <w:r w:rsidR="002622A7" w:rsidRPr="000C43C5">
        <w:rPr>
          <w:rFonts w:ascii="Arial" w:eastAsia="Arial" w:hAnsi="Arial" w:cs="Arial"/>
          <w:lang w:val="fr-CA" w:eastAsia="en-US"/>
        </w:rPr>
        <w:t>:</w:t>
      </w:r>
      <w:r w:rsidR="005C7A84" w:rsidRPr="000C43C5">
        <w:rPr>
          <w:rFonts w:ascii="Arial" w:hAnsi="Arial" w:cs="Arial"/>
          <w:lang w:val="fr-CA"/>
        </w:rPr>
        <w:tab/>
      </w:r>
      <w:r w:rsidR="009D156B" w:rsidRPr="000C43C5">
        <w:rPr>
          <w:rFonts w:ascii="Arial" w:eastAsia="Arial" w:hAnsi="Arial" w:cs="Arial"/>
          <w:lang w:val="fr-CA" w:eastAsia="en-US"/>
        </w:rPr>
        <w:t xml:space="preserve">[inaudible] Je ne sais pas ce que l’accusé </w:t>
      </w:r>
      <w:r w:rsidR="007701DD">
        <w:rPr>
          <w:rFonts w:ascii="Arial" w:eastAsia="Arial" w:hAnsi="Arial" w:cs="Arial"/>
          <w:lang w:val="fr-CA" w:eastAsia="en-US"/>
        </w:rPr>
        <w:t>pensait</w:t>
      </w:r>
      <w:r w:rsidR="005C7A84" w:rsidRPr="000C43C5">
        <w:rPr>
          <w:rFonts w:ascii="Arial" w:hAnsi="Arial" w:cs="Arial"/>
          <w:lang w:val="fr-CA"/>
        </w:rPr>
        <w:t>.</w:t>
      </w:r>
    </w:p>
    <w:p w14:paraId="4B6E5729" w14:textId="77777777" w:rsidR="005C7A84" w:rsidRPr="000C43C5" w:rsidRDefault="005C7A84" w:rsidP="005C7A84">
      <w:pPr>
        <w:widowControl w:val="0"/>
        <w:spacing w:line="240" w:lineRule="atLeast"/>
        <w:ind w:left="2835" w:right="720" w:hanging="2115"/>
        <w:jc w:val="both"/>
        <w:rPr>
          <w:rFonts w:ascii="Arial" w:hAnsi="Arial" w:cs="Arial"/>
          <w:lang w:val="fr-CA"/>
        </w:rPr>
      </w:pPr>
    </w:p>
    <w:p w14:paraId="1E52CF05" w14:textId="1FBC5DD4" w:rsidR="00E23C76" w:rsidRPr="000C43C5" w:rsidRDefault="009D156B" w:rsidP="005C7A84">
      <w:pPr>
        <w:widowControl w:val="0"/>
        <w:spacing w:line="240" w:lineRule="atLeast"/>
        <w:ind w:left="2160" w:right="720" w:hanging="1440"/>
        <w:jc w:val="both"/>
        <w:rPr>
          <w:rFonts w:ascii="Arial" w:hAnsi="Arial" w:cs="Arial"/>
          <w:lang w:val="fr-CA"/>
        </w:rPr>
      </w:pPr>
      <w:r w:rsidRPr="000C43C5">
        <w:rPr>
          <w:rFonts w:ascii="Arial" w:eastAsia="Arial" w:hAnsi="Arial" w:cs="Arial"/>
          <w:lang w:val="fr-CA" w:eastAsia="en-US"/>
        </w:rPr>
        <w:t>[inaudible]</w:t>
      </w:r>
    </w:p>
    <w:p w14:paraId="55DAE3C1" w14:textId="77777777" w:rsidR="00E23C76" w:rsidRPr="000C43C5" w:rsidRDefault="00E23C76" w:rsidP="005C7A84">
      <w:pPr>
        <w:widowControl w:val="0"/>
        <w:spacing w:line="240" w:lineRule="atLeast"/>
        <w:ind w:left="2160" w:right="720" w:hanging="1440"/>
        <w:jc w:val="both"/>
        <w:rPr>
          <w:rFonts w:ascii="Arial" w:hAnsi="Arial" w:cs="Arial"/>
          <w:lang w:val="fr-CA"/>
        </w:rPr>
      </w:pPr>
    </w:p>
    <w:p w14:paraId="0415220D" w14:textId="2AAF620F" w:rsidR="005C7A84" w:rsidRPr="000C43C5" w:rsidRDefault="009D156B" w:rsidP="005C7A84">
      <w:pPr>
        <w:widowControl w:val="0"/>
        <w:spacing w:line="240" w:lineRule="atLeast"/>
        <w:ind w:left="2160" w:right="720" w:hanging="1440"/>
        <w:jc w:val="both"/>
        <w:rPr>
          <w:rFonts w:ascii="Arial" w:hAnsi="Arial" w:cs="Arial"/>
          <w:lang w:val="fr-CA"/>
        </w:rPr>
      </w:pPr>
      <w:r w:rsidRPr="000C43C5">
        <w:rPr>
          <w:rFonts w:ascii="Arial" w:eastAsia="Arial" w:hAnsi="Arial" w:cs="Arial"/>
          <w:lang w:val="fr-CA" w:eastAsia="en-US"/>
        </w:rPr>
        <w:t xml:space="preserve">Le tribunal </w:t>
      </w:r>
      <w:r w:rsidR="0003146D" w:rsidRPr="000C43C5">
        <w:rPr>
          <w:rFonts w:ascii="Arial" w:hAnsi="Arial" w:cs="Arial"/>
          <w:lang w:val="fr-CA"/>
        </w:rPr>
        <w:t>:</w:t>
      </w:r>
      <w:r w:rsidR="005C7A84" w:rsidRPr="000C43C5">
        <w:rPr>
          <w:rFonts w:ascii="Arial" w:hAnsi="Arial" w:cs="Arial"/>
          <w:lang w:val="fr-CA"/>
        </w:rPr>
        <w:tab/>
      </w:r>
      <w:r w:rsidR="005C7A84" w:rsidRPr="000C43C5">
        <w:rPr>
          <w:rFonts w:ascii="Arial" w:hAnsi="Arial" w:cs="Arial"/>
          <w:lang w:val="fr-CA"/>
        </w:rPr>
        <w:tab/>
      </w:r>
      <w:r w:rsidRPr="000C43C5">
        <w:rPr>
          <w:rFonts w:ascii="Arial" w:hAnsi="Arial" w:cs="Arial"/>
          <w:lang w:val="fr-CA"/>
        </w:rPr>
        <w:t>Tant pis</w:t>
      </w:r>
      <w:r w:rsidR="005C7A84" w:rsidRPr="000C43C5">
        <w:rPr>
          <w:rFonts w:ascii="Arial" w:hAnsi="Arial" w:cs="Arial"/>
          <w:lang w:val="fr-CA"/>
        </w:rPr>
        <w:t>.</w:t>
      </w:r>
      <w:r w:rsidRPr="000C43C5">
        <w:rPr>
          <w:rFonts w:ascii="Arial" w:hAnsi="Arial" w:cs="Arial"/>
          <w:lang w:val="fr-CA"/>
        </w:rPr>
        <w:t xml:space="preserve"> </w:t>
      </w:r>
      <w:r w:rsidRPr="000C43C5">
        <w:rPr>
          <w:rFonts w:ascii="Arial" w:eastAsia="Arial" w:hAnsi="Arial" w:cs="Arial"/>
          <w:lang w:val="fr-CA" w:eastAsia="en-US"/>
        </w:rPr>
        <w:t>[traduction]</w:t>
      </w:r>
    </w:p>
    <w:p w14:paraId="0C830BB9" w14:textId="77777777" w:rsidR="00CD47BA" w:rsidRPr="000C43C5" w:rsidRDefault="00CD47BA" w:rsidP="00D5311A">
      <w:pPr>
        <w:pStyle w:val="ListParagraph"/>
        <w:rPr>
          <w:rFonts w:ascii="Arial" w:hAnsi="Arial" w:cs="Arial"/>
          <w:lang w:val="fr-CA"/>
        </w:rPr>
      </w:pPr>
    </w:p>
    <w:p w14:paraId="7928D768" w14:textId="311DFB36" w:rsidR="00E23C76" w:rsidRPr="000C43C5" w:rsidRDefault="009D156B" w:rsidP="00BF514D">
      <w:pPr>
        <w:pStyle w:val="AParaNumbering"/>
        <w:rPr>
          <w:b/>
          <w:lang w:val="fr-CA"/>
        </w:rPr>
      </w:pPr>
      <w:r w:rsidRPr="000C43C5">
        <w:rPr>
          <w:lang w:val="fr-CA"/>
        </w:rPr>
        <w:lastRenderedPageBreak/>
        <w:t xml:space="preserve">L’enregistrement audio indique un troisième échange entre eux au sujet de cette affaire </w:t>
      </w:r>
      <w:r w:rsidR="00E23C76" w:rsidRPr="000C43C5">
        <w:rPr>
          <w:lang w:val="fr-CA"/>
        </w:rPr>
        <w:t>:</w:t>
      </w:r>
    </w:p>
    <w:p w14:paraId="7B7D4437" w14:textId="36E4AE50" w:rsidR="00E23C76" w:rsidRPr="000C43C5" w:rsidRDefault="009D156B" w:rsidP="00F80FD3">
      <w:pPr>
        <w:widowControl w:val="0"/>
        <w:ind w:left="2835" w:right="720" w:hanging="2126"/>
        <w:jc w:val="both"/>
        <w:rPr>
          <w:rFonts w:ascii="Arial" w:eastAsia="Arial" w:hAnsi="Arial" w:cs="Arial"/>
          <w:lang w:val="fr-CA" w:eastAsia="en-US"/>
        </w:rPr>
      </w:pPr>
      <w:r w:rsidRPr="000C43C5">
        <w:rPr>
          <w:rFonts w:ascii="Arial" w:eastAsia="Arial" w:hAnsi="Arial" w:cs="Arial"/>
          <w:lang w:val="fr-CA" w:eastAsia="en-US"/>
        </w:rPr>
        <w:t xml:space="preserve">Le tribunal </w:t>
      </w:r>
      <w:r w:rsidR="00E23C76" w:rsidRPr="000C43C5">
        <w:rPr>
          <w:rFonts w:ascii="Arial" w:eastAsia="Arial" w:hAnsi="Arial" w:cs="Arial"/>
          <w:lang w:val="fr-CA" w:eastAsia="en-US"/>
        </w:rPr>
        <w:t>:</w:t>
      </w:r>
      <w:r w:rsidR="00E23C76" w:rsidRPr="000C43C5">
        <w:rPr>
          <w:rFonts w:ascii="Arial" w:eastAsia="Arial" w:hAnsi="Arial" w:cs="Arial"/>
          <w:lang w:val="fr-CA" w:eastAsia="en-US"/>
        </w:rPr>
        <w:tab/>
      </w:r>
      <w:r w:rsidRPr="000C43C5">
        <w:rPr>
          <w:rFonts w:ascii="Arial" w:eastAsia="Arial" w:hAnsi="Arial" w:cs="Arial"/>
          <w:lang w:val="fr-CA" w:eastAsia="en-US"/>
        </w:rPr>
        <w:t xml:space="preserve">Ces renseignements, au sujet du 30, je ne sais pas qui vous en a parlé </w:t>
      </w:r>
      <w:r w:rsidR="00E23C76" w:rsidRPr="000C43C5">
        <w:rPr>
          <w:rFonts w:ascii="Arial" w:eastAsia="Arial" w:hAnsi="Arial" w:cs="Arial"/>
          <w:lang w:val="fr-CA" w:eastAsia="en-US"/>
        </w:rPr>
        <w:t>…</w:t>
      </w:r>
    </w:p>
    <w:p w14:paraId="6CECD750" w14:textId="77777777" w:rsidR="00972DB2" w:rsidRPr="000C43C5" w:rsidRDefault="00972DB2" w:rsidP="00F80FD3">
      <w:pPr>
        <w:widowControl w:val="0"/>
        <w:ind w:left="2835" w:right="720" w:hanging="2126"/>
        <w:jc w:val="both"/>
        <w:rPr>
          <w:rFonts w:ascii="Arial" w:eastAsia="Arial" w:hAnsi="Arial" w:cs="Arial"/>
          <w:lang w:val="fr-CA" w:eastAsia="en-US"/>
        </w:rPr>
      </w:pPr>
    </w:p>
    <w:p w14:paraId="0FAEE958" w14:textId="43DEF21B" w:rsidR="00E23C76" w:rsidRPr="000C43C5" w:rsidRDefault="003E7543" w:rsidP="00E23C76">
      <w:pPr>
        <w:widowControl w:val="0"/>
        <w:spacing w:after="200" w:line="240" w:lineRule="atLeast"/>
        <w:ind w:left="2160" w:right="720" w:hanging="1440"/>
        <w:jc w:val="both"/>
        <w:rPr>
          <w:rFonts w:ascii="Arial" w:eastAsia="Arial" w:hAnsi="Arial" w:cs="Arial"/>
          <w:lang w:val="fr-CA" w:eastAsia="en-US"/>
        </w:rPr>
      </w:pPr>
      <w:r w:rsidRPr="000C43C5">
        <w:rPr>
          <w:rFonts w:ascii="Arial" w:eastAsia="Arial" w:hAnsi="Arial" w:cs="Arial"/>
          <w:lang w:val="fr-CA" w:eastAsia="en-US"/>
        </w:rPr>
        <w:t xml:space="preserve">La greffière </w:t>
      </w:r>
      <w:r w:rsidR="009D156B" w:rsidRPr="000C43C5">
        <w:rPr>
          <w:rFonts w:ascii="Arial" w:eastAsia="Arial" w:hAnsi="Arial" w:cs="Arial"/>
          <w:lang w:val="fr-CA" w:eastAsia="en-US"/>
        </w:rPr>
        <w:t>:</w:t>
      </w:r>
      <w:r w:rsidR="009D156B" w:rsidRPr="000C43C5">
        <w:rPr>
          <w:rFonts w:ascii="Arial" w:eastAsia="Arial" w:hAnsi="Arial" w:cs="Arial"/>
          <w:lang w:val="fr-CA" w:eastAsia="en-US"/>
        </w:rPr>
        <w:tab/>
      </w:r>
      <w:r w:rsidR="00E23C76" w:rsidRPr="000C43C5">
        <w:rPr>
          <w:rFonts w:ascii="Arial" w:eastAsia="Arial" w:hAnsi="Arial" w:cs="Arial"/>
          <w:lang w:val="fr-CA" w:eastAsia="en-US"/>
        </w:rPr>
        <w:tab/>
      </w:r>
      <w:r w:rsidR="009D156B" w:rsidRPr="000C43C5">
        <w:rPr>
          <w:rFonts w:ascii="Arial" w:eastAsia="Arial" w:hAnsi="Arial" w:cs="Arial"/>
          <w:lang w:val="fr-CA" w:eastAsia="en-US"/>
        </w:rPr>
        <w:t>Je l’ai changé.</w:t>
      </w:r>
    </w:p>
    <w:p w14:paraId="443A9615" w14:textId="2379061D" w:rsidR="00E23C76" w:rsidRPr="000C43C5" w:rsidRDefault="009D156B" w:rsidP="00E23C76">
      <w:pPr>
        <w:widowControl w:val="0"/>
        <w:spacing w:after="200" w:line="240" w:lineRule="atLeast"/>
        <w:ind w:left="2160" w:right="720" w:hanging="1440"/>
        <w:jc w:val="both"/>
        <w:rPr>
          <w:rFonts w:ascii="Arial" w:eastAsia="Arial" w:hAnsi="Arial" w:cs="Arial"/>
          <w:lang w:val="fr-CA" w:eastAsia="en-US"/>
        </w:rPr>
      </w:pPr>
      <w:r w:rsidRPr="000C43C5">
        <w:rPr>
          <w:rFonts w:ascii="Arial" w:eastAsia="Arial" w:hAnsi="Arial" w:cs="Arial"/>
          <w:lang w:val="fr-CA" w:eastAsia="en-US"/>
        </w:rPr>
        <w:t xml:space="preserve">Le tribunal </w:t>
      </w:r>
      <w:r w:rsidR="00E23C76" w:rsidRPr="000C43C5">
        <w:rPr>
          <w:rFonts w:ascii="Arial" w:eastAsia="Arial" w:hAnsi="Arial" w:cs="Arial"/>
          <w:lang w:val="fr-CA" w:eastAsia="en-US"/>
        </w:rPr>
        <w:t>:</w:t>
      </w:r>
      <w:r w:rsidR="00E23C76" w:rsidRPr="000C43C5">
        <w:rPr>
          <w:rFonts w:ascii="Arial" w:eastAsia="Arial" w:hAnsi="Arial" w:cs="Arial"/>
          <w:lang w:val="fr-CA" w:eastAsia="en-US"/>
        </w:rPr>
        <w:tab/>
      </w:r>
      <w:r w:rsidR="00E23C76" w:rsidRPr="000C43C5">
        <w:rPr>
          <w:rFonts w:ascii="Arial" w:eastAsia="Arial" w:hAnsi="Arial" w:cs="Arial"/>
          <w:lang w:val="fr-CA" w:eastAsia="en-US"/>
        </w:rPr>
        <w:tab/>
      </w:r>
      <w:r w:rsidRPr="000C43C5">
        <w:rPr>
          <w:rFonts w:ascii="Arial" w:eastAsia="Arial" w:hAnsi="Arial" w:cs="Arial"/>
          <w:lang w:val="fr-CA" w:eastAsia="en-US"/>
        </w:rPr>
        <w:t>Excellent. Bien, bien, bien</w:t>
      </w:r>
      <w:r w:rsidR="00E23C76" w:rsidRPr="000C43C5">
        <w:rPr>
          <w:rFonts w:ascii="Arial" w:eastAsia="Arial" w:hAnsi="Arial" w:cs="Arial"/>
          <w:lang w:val="fr-CA" w:eastAsia="en-US"/>
        </w:rPr>
        <w:t xml:space="preserve">. </w:t>
      </w:r>
      <w:r w:rsidRPr="000C43C5">
        <w:rPr>
          <w:rFonts w:ascii="Arial" w:eastAsia="Arial" w:hAnsi="Arial" w:cs="Arial"/>
          <w:lang w:val="fr-CA" w:eastAsia="en-US"/>
        </w:rPr>
        <w:t>[traduction]</w:t>
      </w:r>
    </w:p>
    <w:p w14:paraId="58B1AFC9" w14:textId="77777777" w:rsidR="00E23C76" w:rsidRPr="000C43C5" w:rsidRDefault="00E23C76" w:rsidP="00EC583B">
      <w:pPr>
        <w:pStyle w:val="ListParagraph"/>
        <w:spacing w:after="160" w:line="259" w:lineRule="auto"/>
        <w:ind w:left="360"/>
        <w:contextualSpacing/>
        <w:jc w:val="both"/>
        <w:rPr>
          <w:rFonts w:ascii="Arial" w:hAnsi="Arial" w:cs="Arial"/>
          <w:b/>
          <w:lang w:val="fr-CA"/>
        </w:rPr>
      </w:pPr>
    </w:p>
    <w:p w14:paraId="08AEBD10" w14:textId="04643AAE" w:rsidR="00EF1974" w:rsidRPr="000C43C5" w:rsidRDefault="00F85DC0" w:rsidP="00F85DC0">
      <w:pPr>
        <w:pStyle w:val="AParaNumbering"/>
        <w:jc w:val="left"/>
        <w:rPr>
          <w:b/>
          <w:lang w:val="fr-CA"/>
        </w:rPr>
      </w:pPr>
      <w:r w:rsidRPr="000C43C5">
        <w:rPr>
          <w:lang w:val="fr-CA"/>
        </w:rPr>
        <w:t xml:space="preserve">À la demande du juge de paix </w:t>
      </w:r>
      <w:r w:rsidR="00F5199C" w:rsidRPr="000C43C5">
        <w:rPr>
          <w:lang w:val="fr-CA"/>
        </w:rPr>
        <w:t>Welsh</w:t>
      </w:r>
      <w:r w:rsidR="00807228" w:rsidRPr="000C43C5">
        <w:rPr>
          <w:lang w:val="fr-CA"/>
        </w:rPr>
        <w:t xml:space="preserve">, </w:t>
      </w:r>
      <w:r w:rsidRPr="000C43C5">
        <w:rPr>
          <w:lang w:val="fr-CA"/>
        </w:rPr>
        <w:t xml:space="preserve">l’avocate chargée de la présentation a obtenu une version professionnellement améliorée de l’enregistrement audio de ce segment de l’instance (constituant aussi la pièce </w:t>
      </w:r>
      <w:r w:rsidR="00B33A15" w:rsidRPr="000C43C5">
        <w:rPr>
          <w:lang w:val="fr-CA"/>
        </w:rPr>
        <w:t>3)</w:t>
      </w:r>
      <w:r w:rsidR="00667FDF" w:rsidRPr="000C43C5">
        <w:rPr>
          <w:lang w:val="fr-CA"/>
        </w:rPr>
        <w:t xml:space="preserve">. </w:t>
      </w:r>
      <w:r w:rsidRPr="000C43C5">
        <w:rPr>
          <w:lang w:val="fr-CA"/>
        </w:rPr>
        <w:t>Les sons entourant le commentaire « tant pis » sur la version améliorée étaient encore inaudibles. Le bref échange semble avoir lieu seulement entre l</w:t>
      </w:r>
      <w:r w:rsidR="003E7543" w:rsidRPr="000C43C5">
        <w:rPr>
          <w:lang w:val="fr-CA"/>
        </w:rPr>
        <w:t>a greffière</w:t>
      </w:r>
      <w:r w:rsidRPr="000C43C5">
        <w:rPr>
          <w:lang w:val="fr-CA"/>
        </w:rPr>
        <w:t xml:space="preserve"> et le juge de paix </w:t>
      </w:r>
      <w:r w:rsidR="00F5199C" w:rsidRPr="000C43C5">
        <w:rPr>
          <w:lang w:val="fr-CA"/>
        </w:rPr>
        <w:t xml:space="preserve">Welsh </w:t>
      </w:r>
      <w:r w:rsidRPr="000C43C5">
        <w:rPr>
          <w:lang w:val="fr-CA"/>
        </w:rPr>
        <w:t>au milieu d’une audience par vidéo et il y avait beaucoup de bruits de fond. Même si l’enregistrement a audio a capturé le juge de paix en train de prononcer les paroles « </w:t>
      </w:r>
      <w:r w:rsidR="007701DD">
        <w:rPr>
          <w:lang w:val="fr-CA"/>
        </w:rPr>
        <w:t>t</w:t>
      </w:r>
      <w:r w:rsidRPr="000C43C5">
        <w:rPr>
          <w:lang w:val="fr-CA"/>
        </w:rPr>
        <w:t>ant pis », dans son témoignage, le juge de paix a déclaré qu’il avait dû prononcer « </w:t>
      </w:r>
      <w:r w:rsidR="007701DD">
        <w:rPr>
          <w:lang w:val="fr-CA"/>
        </w:rPr>
        <w:t>t</w:t>
      </w:r>
      <w:r w:rsidRPr="000C43C5">
        <w:rPr>
          <w:lang w:val="fr-CA"/>
        </w:rPr>
        <w:t>ant pis » en réponse à quelque chose d’autre qui est inaudible sur l’enregistrement</w:t>
      </w:r>
      <w:r w:rsidR="007A30CB" w:rsidRPr="000C43C5">
        <w:rPr>
          <w:lang w:val="fr-CA"/>
        </w:rPr>
        <w:t xml:space="preserve">. </w:t>
      </w:r>
      <w:r w:rsidRPr="000C43C5">
        <w:rPr>
          <w:lang w:val="fr-CA"/>
        </w:rPr>
        <w:t>Il a affirmé qu’il n’aurait pas fait cette remarque au sujet de l’intérêt de M.</w:t>
      </w:r>
      <w:r w:rsidR="00B33A15" w:rsidRPr="000C43C5">
        <w:rPr>
          <w:lang w:val="fr-CA"/>
        </w:rPr>
        <w:t xml:space="preserve"> Silverthorne</w:t>
      </w:r>
      <w:r w:rsidRPr="000C43C5">
        <w:rPr>
          <w:lang w:val="fr-CA"/>
        </w:rPr>
        <w:t xml:space="preserve"> dans l’affaire. Le contexte de ces paroles n’est pas clair d’après les preuves</w:t>
      </w:r>
      <w:r w:rsidR="007D5220" w:rsidRPr="000C43C5">
        <w:rPr>
          <w:lang w:val="fr-CA"/>
        </w:rPr>
        <w:t>.</w:t>
      </w:r>
    </w:p>
    <w:p w14:paraId="662BDF65" w14:textId="72D45D7E" w:rsidR="00DD25CF" w:rsidRPr="000C43C5" w:rsidRDefault="0054227A" w:rsidP="00BF514D">
      <w:pPr>
        <w:pStyle w:val="AParaNumbering"/>
        <w:rPr>
          <w:lang w:val="fr-CA"/>
        </w:rPr>
      </w:pPr>
      <w:r w:rsidRPr="000C43C5">
        <w:rPr>
          <w:lang w:val="fr-CA"/>
        </w:rPr>
        <w:t>L</w:t>
      </w:r>
      <w:r w:rsidR="003E7543" w:rsidRPr="000C43C5">
        <w:rPr>
          <w:lang w:val="fr-CA"/>
        </w:rPr>
        <w:t>a</w:t>
      </w:r>
      <w:r w:rsidRPr="000C43C5">
        <w:rPr>
          <w:lang w:val="fr-CA"/>
        </w:rPr>
        <w:t xml:space="preserve"> greffi</w:t>
      </w:r>
      <w:r w:rsidR="003E7543" w:rsidRPr="000C43C5">
        <w:rPr>
          <w:lang w:val="fr-CA"/>
        </w:rPr>
        <w:t>ère</w:t>
      </w:r>
      <w:r w:rsidRPr="000C43C5">
        <w:rPr>
          <w:lang w:val="fr-CA"/>
        </w:rPr>
        <w:t xml:space="preserve"> a ensuite inscrit sur la dénonciation la date de renvoi du 30 octobre, selon les instructions du juge de paix Welsh qui a continué de traiter les dossiers de renvoi des détenus</w:t>
      </w:r>
      <w:r w:rsidR="007D5220" w:rsidRPr="000C43C5">
        <w:rPr>
          <w:lang w:val="fr-CA"/>
        </w:rPr>
        <w:t>.</w:t>
      </w:r>
      <w:r w:rsidR="00DD25CF" w:rsidRPr="000C43C5">
        <w:rPr>
          <w:lang w:val="fr-CA"/>
        </w:rPr>
        <w:t xml:space="preserve"> </w:t>
      </w:r>
    </w:p>
    <w:p w14:paraId="3C2620B9" w14:textId="080910F5" w:rsidR="00DD25CF" w:rsidRPr="000C43C5" w:rsidRDefault="0054227A" w:rsidP="00BF514D">
      <w:pPr>
        <w:pStyle w:val="AParaNumbering"/>
        <w:rPr>
          <w:lang w:val="fr-CA"/>
        </w:rPr>
      </w:pPr>
      <w:r w:rsidRPr="000C43C5">
        <w:rPr>
          <w:lang w:val="fr-CA"/>
        </w:rPr>
        <w:t xml:space="preserve">Le juge de paix </w:t>
      </w:r>
      <w:r w:rsidR="00DD25CF" w:rsidRPr="000C43C5">
        <w:rPr>
          <w:lang w:val="fr-CA"/>
        </w:rPr>
        <w:t xml:space="preserve">Welsh </w:t>
      </w:r>
      <w:r w:rsidRPr="000C43C5">
        <w:rPr>
          <w:lang w:val="fr-CA"/>
        </w:rPr>
        <w:t xml:space="preserve">a déclaré dans son témoignage qu’il </w:t>
      </w:r>
      <w:r w:rsidR="00A20092">
        <w:rPr>
          <w:lang w:val="fr-CA"/>
        </w:rPr>
        <w:t xml:space="preserve">se souvenait </w:t>
      </w:r>
      <w:r w:rsidRPr="000C43C5">
        <w:rPr>
          <w:lang w:val="fr-CA"/>
        </w:rPr>
        <w:t xml:space="preserve">de l’ajournement de l’affaire de M. </w:t>
      </w:r>
      <w:r w:rsidR="00DD25CF" w:rsidRPr="000C43C5">
        <w:rPr>
          <w:lang w:val="fr-CA"/>
        </w:rPr>
        <w:t>Silverthorne</w:t>
      </w:r>
      <w:r w:rsidR="00A20092">
        <w:rPr>
          <w:lang w:val="fr-CA"/>
        </w:rPr>
        <w:t>, mais vaguement</w:t>
      </w:r>
      <w:r w:rsidR="00DD25CF" w:rsidRPr="000C43C5">
        <w:rPr>
          <w:lang w:val="fr-CA"/>
        </w:rPr>
        <w:t>.</w:t>
      </w:r>
    </w:p>
    <w:p w14:paraId="55EB7BDC" w14:textId="7DC746E6" w:rsidR="00667FDF" w:rsidRPr="000C43C5" w:rsidRDefault="0054227A" w:rsidP="00BF514D">
      <w:pPr>
        <w:pStyle w:val="AParaNumbering"/>
        <w:rPr>
          <w:lang w:val="fr-CA"/>
        </w:rPr>
      </w:pPr>
      <w:r w:rsidRPr="000C43C5">
        <w:rPr>
          <w:lang w:val="fr-CA"/>
        </w:rPr>
        <w:lastRenderedPageBreak/>
        <w:t xml:space="preserve">Selon son témoignage à l’audience, le juge de paix </w:t>
      </w:r>
      <w:r w:rsidR="00F5199C" w:rsidRPr="000C43C5">
        <w:rPr>
          <w:lang w:val="fr-CA"/>
        </w:rPr>
        <w:t>Welsh</w:t>
      </w:r>
      <w:r w:rsidR="006E7F5C" w:rsidRPr="000C43C5">
        <w:rPr>
          <w:lang w:val="fr-CA"/>
        </w:rPr>
        <w:t xml:space="preserve"> </w:t>
      </w:r>
      <w:r w:rsidRPr="000C43C5">
        <w:rPr>
          <w:lang w:val="fr-CA"/>
        </w:rPr>
        <w:t xml:space="preserve">a présumé que </w:t>
      </w:r>
      <w:r w:rsidR="00F5199C" w:rsidRPr="000C43C5">
        <w:rPr>
          <w:lang w:val="fr-CA"/>
        </w:rPr>
        <w:t>M</w:t>
      </w:r>
      <w:r w:rsidRPr="000C43C5">
        <w:rPr>
          <w:lang w:val="fr-CA"/>
        </w:rPr>
        <w:t>e </w:t>
      </w:r>
      <w:r w:rsidR="00F5199C" w:rsidRPr="000C43C5">
        <w:rPr>
          <w:lang w:val="fr-CA"/>
        </w:rPr>
        <w:t xml:space="preserve">Robertson </w:t>
      </w:r>
      <w:r w:rsidRPr="000C43C5">
        <w:rPr>
          <w:lang w:val="fr-CA"/>
        </w:rPr>
        <w:t>avait voulu dire le 30 octobre au lieu du 30 novembre, qui était un samedi; c’est pourquoi le juge de paix a fait changer la date du renvoi au 30 octobre</w:t>
      </w:r>
      <w:r w:rsidR="00EF1974" w:rsidRPr="000C43C5">
        <w:rPr>
          <w:lang w:val="fr-CA"/>
        </w:rPr>
        <w:t>.</w:t>
      </w:r>
    </w:p>
    <w:p w14:paraId="45FB79CB" w14:textId="5318F4EE" w:rsidR="00667FDF" w:rsidRPr="000C43C5" w:rsidRDefault="0054227A" w:rsidP="00BF514D">
      <w:pPr>
        <w:pStyle w:val="AParaNumbering"/>
        <w:rPr>
          <w:lang w:val="fr-CA"/>
        </w:rPr>
      </w:pPr>
      <w:r w:rsidRPr="000C43C5">
        <w:rPr>
          <w:lang w:val="fr-CA"/>
        </w:rPr>
        <w:t>L’exposé conjoint des faits contenait des preuves à l’intention du comité d’audition, selon lesquelles le juge de paix avait l’habitude de « faire des efforts pour contacter personnellement les avocats en dehors de la salle d’audience au sujet des comparutions afin d’assurer que les accusés et leurs avocats ont la possibilité de comparaître avant</w:t>
      </w:r>
      <w:r w:rsidR="00A20092">
        <w:rPr>
          <w:lang w:val="fr-CA"/>
        </w:rPr>
        <w:t xml:space="preserve"> la délivrance d’un mandat pour non-comparution</w:t>
      </w:r>
      <w:r w:rsidRPr="000C43C5">
        <w:rPr>
          <w:lang w:val="fr-CA"/>
        </w:rPr>
        <w:t> ».</w:t>
      </w:r>
      <w:r w:rsidR="00667FDF" w:rsidRPr="000C43C5">
        <w:rPr>
          <w:lang w:val="fr-CA"/>
        </w:rPr>
        <w:t xml:space="preserve"> </w:t>
      </w:r>
      <w:r w:rsidRPr="000C43C5">
        <w:rPr>
          <w:lang w:val="fr-CA"/>
        </w:rPr>
        <w:t xml:space="preserve">Le juge de paix convient « qu’il est </w:t>
      </w:r>
      <w:r w:rsidR="00A20092">
        <w:rPr>
          <w:lang w:val="fr-CA"/>
        </w:rPr>
        <w:t xml:space="preserve">aussi </w:t>
      </w:r>
      <w:r w:rsidRPr="000C43C5">
        <w:rPr>
          <w:lang w:val="fr-CA"/>
        </w:rPr>
        <w:t xml:space="preserve">connu pour aborder des avocats dans les couloirs, transmettre aux avocats des messages par le biais du greffier, contacter les avocats par </w:t>
      </w:r>
      <w:r w:rsidR="00A20092">
        <w:rPr>
          <w:lang w:val="fr-CA"/>
        </w:rPr>
        <w:t>interphone</w:t>
      </w:r>
      <w:r w:rsidRPr="000C43C5">
        <w:rPr>
          <w:lang w:val="fr-CA"/>
        </w:rPr>
        <w:t xml:space="preserve"> pour les convoquer dans la salle d’audience, communiquer avec les avocats par courriel, textos ou téléphone pour les aviser qu’il a traité le dossier d’un client en leur absence et les informer de la </w:t>
      </w:r>
      <w:r w:rsidR="00A20092" w:rsidRPr="000C43C5">
        <w:rPr>
          <w:lang w:val="fr-CA"/>
        </w:rPr>
        <w:t xml:space="preserve">prochaine </w:t>
      </w:r>
      <w:r w:rsidRPr="000C43C5">
        <w:rPr>
          <w:lang w:val="fr-CA"/>
        </w:rPr>
        <w:t>date d’audience fixée »</w:t>
      </w:r>
      <w:r w:rsidR="00667FDF" w:rsidRPr="000C43C5">
        <w:rPr>
          <w:lang w:val="fr-CA"/>
        </w:rPr>
        <w:t>.</w:t>
      </w:r>
      <w:r w:rsidR="00F213B9" w:rsidRPr="000C43C5">
        <w:rPr>
          <w:lang w:val="fr-CA"/>
        </w:rPr>
        <w:t xml:space="preserve"> Lorsque Me </w:t>
      </w:r>
      <w:r w:rsidR="00667FDF" w:rsidRPr="000C43C5">
        <w:rPr>
          <w:lang w:val="fr-CA"/>
        </w:rPr>
        <w:t xml:space="preserve">Bhattacharya </w:t>
      </w:r>
      <w:r w:rsidR="00F213B9" w:rsidRPr="000C43C5">
        <w:rPr>
          <w:lang w:val="fr-CA"/>
        </w:rPr>
        <w:t>lui a demandé s’il continuait à agir de la sorte, le juge de paix a répondu « Oui ».</w:t>
      </w:r>
    </w:p>
    <w:p w14:paraId="09B80108" w14:textId="51A06F31" w:rsidR="00DD25CF" w:rsidRPr="000C43C5" w:rsidRDefault="00F213B9" w:rsidP="00BF514D">
      <w:pPr>
        <w:pStyle w:val="AParaNumbering"/>
        <w:rPr>
          <w:lang w:val="fr-CA"/>
        </w:rPr>
      </w:pPr>
      <w:r w:rsidRPr="000C43C5">
        <w:rPr>
          <w:lang w:val="fr-CA"/>
        </w:rPr>
        <w:t xml:space="preserve">Le juge de paix confirme qu’il n’a pris aucune de ces mesures dans l’affaire de </w:t>
      </w:r>
      <w:r w:rsidR="00F5199C" w:rsidRPr="000C43C5">
        <w:rPr>
          <w:lang w:val="fr-CA"/>
        </w:rPr>
        <w:t>M.</w:t>
      </w:r>
      <w:r w:rsidRPr="000C43C5">
        <w:rPr>
          <w:lang w:val="fr-CA"/>
        </w:rPr>
        <w:t> </w:t>
      </w:r>
      <w:r w:rsidR="00F5199C" w:rsidRPr="000C43C5">
        <w:rPr>
          <w:lang w:val="fr-CA"/>
        </w:rPr>
        <w:t>Silverthorne</w:t>
      </w:r>
      <w:r w:rsidR="00346585" w:rsidRPr="000C43C5">
        <w:rPr>
          <w:lang w:val="fr-CA"/>
        </w:rPr>
        <w:t>, p</w:t>
      </w:r>
      <w:r w:rsidRPr="000C43C5">
        <w:rPr>
          <w:lang w:val="fr-CA"/>
        </w:rPr>
        <w:t>eut-être en raison des problèmes personnels qu’il vivait à cette époque</w:t>
      </w:r>
      <w:r w:rsidR="00667FDF" w:rsidRPr="000C43C5">
        <w:rPr>
          <w:lang w:val="fr-CA"/>
        </w:rPr>
        <w:t>.</w:t>
      </w:r>
      <w:r w:rsidR="003C4B57" w:rsidRPr="000C43C5">
        <w:rPr>
          <w:lang w:val="fr-CA"/>
        </w:rPr>
        <w:t xml:space="preserve"> </w:t>
      </w:r>
    </w:p>
    <w:p w14:paraId="730C3871" w14:textId="26B0B490" w:rsidR="00DD25CF" w:rsidRPr="000C43C5" w:rsidRDefault="009453CD" w:rsidP="00BF514D">
      <w:pPr>
        <w:pStyle w:val="AParaNumbering"/>
        <w:rPr>
          <w:lang w:val="fr-CA"/>
        </w:rPr>
      </w:pPr>
      <w:r w:rsidRPr="000C43C5">
        <w:rPr>
          <w:lang w:val="fr-CA"/>
        </w:rPr>
        <w:t xml:space="preserve">Lorsque Me </w:t>
      </w:r>
      <w:r w:rsidR="00DD25CF" w:rsidRPr="000C43C5">
        <w:rPr>
          <w:lang w:val="fr-CA"/>
        </w:rPr>
        <w:t xml:space="preserve">Bhattacharya </w:t>
      </w:r>
      <w:r w:rsidRPr="000C43C5">
        <w:rPr>
          <w:lang w:val="fr-CA"/>
        </w:rPr>
        <w:t>lui a demandé si un suivi auprès de Me </w:t>
      </w:r>
      <w:r w:rsidR="00DD25CF" w:rsidRPr="000C43C5">
        <w:rPr>
          <w:lang w:val="fr-CA"/>
        </w:rPr>
        <w:t xml:space="preserve">Robertson </w:t>
      </w:r>
      <w:r w:rsidRPr="000C43C5">
        <w:rPr>
          <w:lang w:val="fr-CA"/>
        </w:rPr>
        <w:t xml:space="preserve">était une mesure qu’il aurait </w:t>
      </w:r>
      <w:r w:rsidR="00A20092">
        <w:rPr>
          <w:lang w:val="fr-CA"/>
        </w:rPr>
        <w:t xml:space="preserve">normalement </w:t>
      </w:r>
      <w:r w:rsidRPr="000C43C5">
        <w:rPr>
          <w:lang w:val="fr-CA"/>
        </w:rPr>
        <w:t>prise, le juge de paix a répondu : « Oui ». Il a affirmé dans son témoignage : « j</w:t>
      </w:r>
      <w:r w:rsidR="00A20092">
        <w:rPr>
          <w:lang w:val="fr-CA"/>
        </w:rPr>
        <w:t xml:space="preserve">’ai pensé </w:t>
      </w:r>
      <w:r w:rsidRPr="000C43C5">
        <w:rPr>
          <w:lang w:val="fr-CA"/>
        </w:rPr>
        <w:t xml:space="preserve">que </w:t>
      </w:r>
      <w:r w:rsidR="00A20092">
        <w:rPr>
          <w:lang w:val="fr-CA"/>
        </w:rPr>
        <w:t xml:space="preserve">c’était un problème que je pouvais régler, </w:t>
      </w:r>
      <w:r w:rsidRPr="000C43C5">
        <w:rPr>
          <w:lang w:val="fr-CA"/>
        </w:rPr>
        <w:t xml:space="preserve">que je transmettrai les renseignements aux personnes </w:t>
      </w:r>
      <w:r w:rsidR="00A20092">
        <w:rPr>
          <w:lang w:val="fr-CA"/>
        </w:rPr>
        <w:t>concernées</w:t>
      </w:r>
      <w:r w:rsidRPr="000C43C5">
        <w:rPr>
          <w:lang w:val="fr-CA"/>
        </w:rPr>
        <w:t> ».</w:t>
      </w:r>
      <w:r w:rsidR="00DD25CF" w:rsidRPr="000C43C5">
        <w:rPr>
          <w:lang w:val="fr-CA"/>
        </w:rPr>
        <w:t xml:space="preserve"> </w:t>
      </w:r>
    </w:p>
    <w:p w14:paraId="442C60CE" w14:textId="3419421B" w:rsidR="003C4B57" w:rsidRPr="000C43C5" w:rsidRDefault="009453CD" w:rsidP="00BF514D">
      <w:pPr>
        <w:pStyle w:val="AParaNumbering"/>
        <w:rPr>
          <w:lang w:val="fr-CA"/>
        </w:rPr>
      </w:pPr>
      <w:r w:rsidRPr="000C43C5">
        <w:rPr>
          <w:lang w:val="fr-CA"/>
        </w:rPr>
        <w:t xml:space="preserve">Lorsqu’on lui a demandé pourquoi il n’avait pas fait de suivi, le juge de paix a répondu que la journée avait été très chargée et qu’il avait des problèmes personnels à </w:t>
      </w:r>
      <w:r w:rsidRPr="000C43C5">
        <w:rPr>
          <w:lang w:val="fr-CA"/>
        </w:rPr>
        <w:lastRenderedPageBreak/>
        <w:t>cette époque qui occupaient son esprit. Il est un enfant unique et sa mère était à l’hôpital. Il lui avait rendu visite pendant la pause du lunch. Il avait aussi des problèmes personnels avec sa femme qui ont depuis été réglés. Il a expliqué dans son témoignage que « j’ai failli à mes responsabilités ici, il ne fait aucun doute. Mais je n’ai pas bafou</w:t>
      </w:r>
      <w:r w:rsidR="00CF287B" w:rsidRPr="000C43C5">
        <w:rPr>
          <w:lang w:val="fr-CA"/>
        </w:rPr>
        <w:t>é</w:t>
      </w:r>
      <w:r w:rsidRPr="000C43C5">
        <w:rPr>
          <w:lang w:val="fr-CA"/>
        </w:rPr>
        <w:t xml:space="preserve"> les droits de M. Silverthorne, et je n’avais pas l’intention de le faire. »</w:t>
      </w:r>
      <w:r w:rsidR="00A20092">
        <w:rPr>
          <w:lang w:val="fr-CA"/>
        </w:rPr>
        <w:t xml:space="preserve"> [traduction]</w:t>
      </w:r>
    </w:p>
    <w:p w14:paraId="266F6CA8" w14:textId="7320B929" w:rsidR="00DD25CF" w:rsidRPr="000C43C5" w:rsidRDefault="009453CD" w:rsidP="00BF514D">
      <w:pPr>
        <w:pStyle w:val="AParaNumbering"/>
        <w:rPr>
          <w:lang w:val="fr-CA"/>
        </w:rPr>
      </w:pPr>
      <w:r w:rsidRPr="000C43C5">
        <w:rPr>
          <w:lang w:val="fr-CA"/>
        </w:rPr>
        <w:t xml:space="preserve">En contre-interrogatoire, le juge de paix a indiqué que dans sa salle d’audience, </w:t>
      </w:r>
      <w:r w:rsidR="006B0BF3" w:rsidRPr="000C43C5">
        <w:rPr>
          <w:lang w:val="fr-CA"/>
        </w:rPr>
        <w:t>des affaires étaient « régulièrement » renvoyées à une date incorrecte</w:t>
      </w:r>
      <w:r w:rsidR="003C4B57" w:rsidRPr="000C43C5">
        <w:rPr>
          <w:lang w:val="fr-CA"/>
        </w:rPr>
        <w:t xml:space="preserve">. </w:t>
      </w:r>
    </w:p>
    <w:p w14:paraId="1C6E6C7C" w14:textId="454FC4D3" w:rsidR="00DD25CF" w:rsidRPr="000C43C5" w:rsidRDefault="006B0BF3" w:rsidP="00BF514D">
      <w:pPr>
        <w:pStyle w:val="AParaNumbering"/>
        <w:rPr>
          <w:lang w:val="fr-CA"/>
        </w:rPr>
      </w:pPr>
      <w:r w:rsidRPr="000C43C5">
        <w:rPr>
          <w:lang w:val="fr-CA"/>
        </w:rPr>
        <w:t>Le juge de paix a affirmé qu’il comprenait « absolument » les conséquences d</w:t>
      </w:r>
      <w:r w:rsidR="00A20092">
        <w:rPr>
          <w:lang w:val="fr-CA"/>
        </w:rPr>
        <w:t xml:space="preserve">’un changement </w:t>
      </w:r>
      <w:r w:rsidRPr="000C43C5">
        <w:rPr>
          <w:lang w:val="fr-CA"/>
        </w:rPr>
        <w:t xml:space="preserve">unilatéral </w:t>
      </w:r>
      <w:r w:rsidR="00A20092">
        <w:rPr>
          <w:lang w:val="fr-CA"/>
        </w:rPr>
        <w:t>de</w:t>
      </w:r>
      <w:r w:rsidRPr="000C43C5">
        <w:rPr>
          <w:lang w:val="fr-CA"/>
        </w:rPr>
        <w:t xml:space="preserve"> date d’audience future pour </w:t>
      </w:r>
      <w:r w:rsidR="00DD25CF" w:rsidRPr="000C43C5">
        <w:rPr>
          <w:lang w:val="fr-CA"/>
        </w:rPr>
        <w:t>M. Silverthorne</w:t>
      </w:r>
      <w:r w:rsidRPr="000C43C5">
        <w:rPr>
          <w:lang w:val="fr-CA"/>
        </w:rPr>
        <w:t>, ainsi que les conséquences subséquentes de la non</w:t>
      </w:r>
      <w:r w:rsidR="006D270E" w:rsidRPr="000C43C5">
        <w:rPr>
          <w:lang w:val="fr-CA"/>
        </w:rPr>
        <w:t>-</w:t>
      </w:r>
      <w:r w:rsidRPr="000C43C5">
        <w:rPr>
          <w:lang w:val="fr-CA"/>
        </w:rPr>
        <w:t xml:space="preserve">comparution de M. </w:t>
      </w:r>
      <w:r w:rsidR="00DD25CF" w:rsidRPr="000C43C5">
        <w:rPr>
          <w:lang w:val="fr-CA"/>
        </w:rPr>
        <w:t xml:space="preserve">Silverthorne. </w:t>
      </w:r>
      <w:r w:rsidR="008B1830" w:rsidRPr="000C43C5">
        <w:rPr>
          <w:lang w:val="fr-CA"/>
        </w:rPr>
        <w:t xml:space="preserve">En contre-interrogatoire, il a convenu avec l’avocate chargée de la présentation qu’en qualité de juge de paix chevronné (il a été nommé en </w:t>
      </w:r>
      <w:r w:rsidR="00DD25CF" w:rsidRPr="000C43C5">
        <w:rPr>
          <w:lang w:val="fr-CA"/>
        </w:rPr>
        <w:t xml:space="preserve">2001), </w:t>
      </w:r>
      <w:r w:rsidR="008B1830" w:rsidRPr="000C43C5">
        <w:rPr>
          <w:lang w:val="fr-CA"/>
        </w:rPr>
        <w:t xml:space="preserve">il était tout à fait au courant des conséquences graves </w:t>
      </w:r>
      <w:r w:rsidR="00A20092">
        <w:rPr>
          <w:lang w:val="fr-CA"/>
        </w:rPr>
        <w:t xml:space="preserve">qui attendaient </w:t>
      </w:r>
      <w:r w:rsidR="008B1830" w:rsidRPr="000C43C5">
        <w:rPr>
          <w:lang w:val="fr-CA"/>
        </w:rPr>
        <w:t>une personne après une arrestation</w:t>
      </w:r>
      <w:r w:rsidR="00DD25CF" w:rsidRPr="000C43C5">
        <w:rPr>
          <w:lang w:val="fr-CA"/>
        </w:rPr>
        <w:t>.</w:t>
      </w:r>
    </w:p>
    <w:p w14:paraId="382EC736" w14:textId="203EA00E" w:rsidR="00EC0FB3" w:rsidRPr="000C43C5" w:rsidRDefault="008B1830" w:rsidP="00BF514D">
      <w:pPr>
        <w:pStyle w:val="AParaNumbering"/>
        <w:rPr>
          <w:lang w:val="fr-CA"/>
        </w:rPr>
      </w:pPr>
      <w:r w:rsidRPr="000C43C5">
        <w:rPr>
          <w:lang w:val="fr-CA"/>
        </w:rPr>
        <w:t xml:space="preserve">En contre-interrogatoire, le juge de paix a convenu avec l’avocate chargée de la présentation que lorsque </w:t>
      </w:r>
      <w:r w:rsidR="00A20092">
        <w:rPr>
          <w:lang w:val="fr-CA"/>
        </w:rPr>
        <w:t xml:space="preserve">le </w:t>
      </w:r>
      <w:r w:rsidRPr="000C43C5">
        <w:rPr>
          <w:lang w:val="fr-CA"/>
        </w:rPr>
        <w:t>comité des plaintes l’a invité à répondre à la plainte, il a déclaré que le 16 octobre 2013 était une journée très chargée</w:t>
      </w:r>
      <w:r w:rsidR="00DD25CF" w:rsidRPr="000C43C5">
        <w:rPr>
          <w:lang w:val="fr-CA"/>
        </w:rPr>
        <w:t xml:space="preserve">. </w:t>
      </w:r>
      <w:r w:rsidRPr="000C43C5">
        <w:rPr>
          <w:lang w:val="fr-CA"/>
        </w:rPr>
        <w:t xml:space="preserve">Il a également indiqué dans sa réponse que </w:t>
      </w:r>
      <w:r w:rsidR="00DD25CF" w:rsidRPr="000C43C5">
        <w:rPr>
          <w:lang w:val="fr-CA"/>
        </w:rPr>
        <w:t>M</w:t>
      </w:r>
      <w:r w:rsidRPr="000C43C5">
        <w:rPr>
          <w:lang w:val="fr-CA"/>
        </w:rPr>
        <w:t>e</w:t>
      </w:r>
      <w:r w:rsidR="00DD25CF" w:rsidRPr="000C43C5">
        <w:rPr>
          <w:lang w:val="fr-CA"/>
        </w:rPr>
        <w:t xml:space="preserve"> Robertson </w:t>
      </w:r>
      <w:r w:rsidRPr="000C43C5">
        <w:rPr>
          <w:lang w:val="fr-CA"/>
        </w:rPr>
        <w:t>avait commis une erreur en demandant que l’affaire soit ajournée au 30 novembre</w:t>
      </w:r>
      <w:r w:rsidR="00DD25CF" w:rsidRPr="000C43C5">
        <w:rPr>
          <w:lang w:val="fr-CA"/>
        </w:rPr>
        <w:t xml:space="preserve">. </w:t>
      </w:r>
      <w:r w:rsidRPr="000C43C5">
        <w:rPr>
          <w:lang w:val="fr-CA"/>
        </w:rPr>
        <w:t xml:space="preserve">Le juge de paix a convenu avec l’avocate chargée de la présentation qu’il avait l’habitude de journées très chargées dans cette salle d’audience et qu’il avait eu trois occasions, le 16 octobre, de s’occuper de l’affaire </w:t>
      </w:r>
      <w:r w:rsidR="00DD25CF" w:rsidRPr="000C43C5">
        <w:rPr>
          <w:lang w:val="fr-CA"/>
        </w:rPr>
        <w:t xml:space="preserve">Silverthorne. </w:t>
      </w:r>
    </w:p>
    <w:p w14:paraId="28B58DC0" w14:textId="7D5A2C4F" w:rsidR="00EC0FB3" w:rsidRPr="000C43C5" w:rsidRDefault="008B1830" w:rsidP="00BF514D">
      <w:pPr>
        <w:pStyle w:val="AParaNumbering"/>
        <w:rPr>
          <w:lang w:val="fr-CA"/>
        </w:rPr>
      </w:pPr>
      <w:r w:rsidRPr="000C43C5">
        <w:rPr>
          <w:lang w:val="fr-CA"/>
        </w:rPr>
        <w:t>Le témoignage du juge de paix sur ses pratiques actuelles était incohérent. Il a affirmé que dans ce genre de situation, il appelle</w:t>
      </w:r>
      <w:r w:rsidR="00A20092">
        <w:rPr>
          <w:lang w:val="fr-CA"/>
        </w:rPr>
        <w:t xml:space="preserve"> maintenant</w:t>
      </w:r>
      <w:r w:rsidRPr="000C43C5">
        <w:rPr>
          <w:lang w:val="fr-CA"/>
        </w:rPr>
        <w:t xml:space="preserve"> l’avocat par </w:t>
      </w:r>
      <w:r w:rsidR="00A20092">
        <w:rPr>
          <w:lang w:val="fr-CA"/>
        </w:rPr>
        <w:t>interphone</w:t>
      </w:r>
      <w:r w:rsidRPr="000C43C5">
        <w:rPr>
          <w:lang w:val="fr-CA"/>
        </w:rPr>
        <w:t xml:space="preserve">, il </w:t>
      </w:r>
      <w:r w:rsidRPr="000C43C5">
        <w:rPr>
          <w:lang w:val="fr-CA"/>
        </w:rPr>
        <w:lastRenderedPageBreak/>
        <w:t>demande à l’avocat de service de contacter l’avocat ou il demande aux agents spéciaux de contacter par radio leurs collègues dans d’autres salles d’audience pour voir si l’avocat en question se trouve dans une autre salle d’audience. Toutefois, lorsque Me </w:t>
      </w:r>
      <w:r w:rsidR="00C2166C" w:rsidRPr="000C43C5">
        <w:rPr>
          <w:lang w:val="fr-CA"/>
        </w:rPr>
        <w:t xml:space="preserve">Bhattacharya </w:t>
      </w:r>
      <w:r w:rsidR="00C852A4" w:rsidRPr="000C43C5">
        <w:rPr>
          <w:lang w:val="fr-CA"/>
        </w:rPr>
        <w:t>lui a demandé s’il discutait encore avec les avocats de la défense à Hamilton des problèmes de fixation de date avec les clients, le juge de paix a répondu que oui, qu’il maintenait ce genre de relation avec les avocats</w:t>
      </w:r>
      <w:r w:rsidR="00DD25CF" w:rsidRPr="000C43C5">
        <w:rPr>
          <w:lang w:val="fr-CA"/>
        </w:rPr>
        <w:t>.</w:t>
      </w:r>
    </w:p>
    <w:p w14:paraId="0205E3BF" w14:textId="4A25950D" w:rsidR="00C268C7" w:rsidRPr="000C43C5" w:rsidRDefault="001F741A" w:rsidP="00BF514D">
      <w:pPr>
        <w:pStyle w:val="AParaNumbering"/>
        <w:rPr>
          <w:lang w:val="fr-CA"/>
        </w:rPr>
      </w:pPr>
      <w:r w:rsidRPr="000C43C5">
        <w:rPr>
          <w:lang w:val="fr-CA"/>
        </w:rPr>
        <w:t>Parce que le juge de paix a unilatéralement changé la date de comparution future de M.</w:t>
      </w:r>
      <w:r w:rsidR="00DD25CF" w:rsidRPr="000C43C5">
        <w:rPr>
          <w:lang w:val="fr-CA"/>
        </w:rPr>
        <w:t xml:space="preserve"> </w:t>
      </w:r>
      <w:r w:rsidR="00996388" w:rsidRPr="000C43C5">
        <w:rPr>
          <w:lang w:val="fr-CA"/>
        </w:rPr>
        <w:t>Silverthorne</w:t>
      </w:r>
      <w:r w:rsidR="00F5199C" w:rsidRPr="000C43C5">
        <w:rPr>
          <w:lang w:val="fr-CA"/>
        </w:rPr>
        <w:t xml:space="preserve">, </w:t>
      </w:r>
      <w:r w:rsidRPr="000C43C5">
        <w:rPr>
          <w:lang w:val="fr-CA"/>
        </w:rPr>
        <w:t xml:space="preserve">le 30 octobre la dénonciation se trouvait devant un autre juge de paix qui a été informé que </w:t>
      </w:r>
      <w:r w:rsidR="00EC0FB3" w:rsidRPr="000C43C5">
        <w:rPr>
          <w:lang w:val="fr-CA"/>
        </w:rPr>
        <w:t xml:space="preserve">M. Silverthorne </w:t>
      </w:r>
      <w:r w:rsidRPr="000C43C5">
        <w:rPr>
          <w:lang w:val="fr-CA"/>
        </w:rPr>
        <w:t>avait comparu à la dernière date d’audience (le 16 octobre)</w:t>
      </w:r>
      <w:r w:rsidR="00A20092">
        <w:rPr>
          <w:lang w:val="fr-CA"/>
        </w:rPr>
        <w:t xml:space="preserve"> et</w:t>
      </w:r>
      <w:r w:rsidRPr="000C43C5">
        <w:rPr>
          <w:lang w:val="fr-CA"/>
        </w:rPr>
        <w:t xml:space="preserve"> qu’il avait été renvoyé au 30 octobre </w:t>
      </w:r>
      <w:r w:rsidR="00EC0FB3" w:rsidRPr="000C43C5">
        <w:rPr>
          <w:lang w:val="fr-CA"/>
        </w:rPr>
        <w:t>2013</w:t>
      </w:r>
      <w:r w:rsidRPr="000C43C5">
        <w:rPr>
          <w:lang w:val="fr-CA"/>
        </w:rPr>
        <w:t xml:space="preserve">, mais il </w:t>
      </w:r>
      <w:r w:rsidR="00B41606">
        <w:rPr>
          <w:lang w:val="fr-CA"/>
        </w:rPr>
        <w:t>n’a pas comparu le 30 octobre</w:t>
      </w:r>
      <w:r w:rsidRPr="000C43C5">
        <w:rPr>
          <w:lang w:val="fr-CA"/>
        </w:rPr>
        <w:t xml:space="preserve">. Ni le procureur de la Couronne, ni le juge de paix qui se trouvaient dans la salle d’audience, le 30 octobre, n’étaient au courant des actes du juge de paix </w:t>
      </w:r>
      <w:r w:rsidR="00EC0FB3" w:rsidRPr="000C43C5">
        <w:rPr>
          <w:lang w:val="fr-CA"/>
        </w:rPr>
        <w:t>Welsh</w:t>
      </w:r>
      <w:r w:rsidRPr="000C43C5">
        <w:rPr>
          <w:lang w:val="fr-CA"/>
        </w:rPr>
        <w:t xml:space="preserve"> du 16 octobre</w:t>
      </w:r>
      <w:r w:rsidR="00EC0FB3" w:rsidRPr="000C43C5">
        <w:rPr>
          <w:lang w:val="fr-CA"/>
        </w:rPr>
        <w:t xml:space="preserve"> 2013. </w:t>
      </w:r>
      <w:r w:rsidRPr="000C43C5">
        <w:rPr>
          <w:lang w:val="fr-CA"/>
        </w:rPr>
        <w:t xml:space="preserve">Un mandat d’arrestation a été délivré à l’encontre de </w:t>
      </w:r>
      <w:r w:rsidR="00996388" w:rsidRPr="000C43C5">
        <w:rPr>
          <w:lang w:val="fr-CA"/>
        </w:rPr>
        <w:t>M. Silverthorne</w:t>
      </w:r>
      <w:r w:rsidRPr="000C43C5">
        <w:rPr>
          <w:lang w:val="fr-CA"/>
        </w:rPr>
        <w:t xml:space="preserve"> lorsque ni lui ni son avocat n’ont comparu</w:t>
      </w:r>
      <w:r w:rsidR="00EC0FB3" w:rsidRPr="000C43C5">
        <w:rPr>
          <w:lang w:val="fr-CA"/>
        </w:rPr>
        <w:t>.</w:t>
      </w:r>
    </w:p>
    <w:p w14:paraId="6C4B5C2A" w14:textId="745F8653" w:rsidR="00C268C7" w:rsidRPr="000C43C5" w:rsidRDefault="001B4B35" w:rsidP="00BF514D">
      <w:pPr>
        <w:pStyle w:val="AParaNumbering"/>
        <w:rPr>
          <w:lang w:val="fr-CA"/>
        </w:rPr>
      </w:pPr>
      <w:r w:rsidRPr="000C43C5">
        <w:rPr>
          <w:lang w:val="fr-CA"/>
        </w:rPr>
        <w:t xml:space="preserve">Le 5 novembre </w:t>
      </w:r>
      <w:r w:rsidR="00C268C7" w:rsidRPr="000C43C5">
        <w:rPr>
          <w:lang w:val="fr-CA"/>
        </w:rPr>
        <w:t xml:space="preserve">2013, </w:t>
      </w:r>
      <w:r w:rsidRPr="000C43C5">
        <w:rPr>
          <w:lang w:val="fr-CA"/>
        </w:rPr>
        <w:t xml:space="preserve">la police s’est rendue à un motel pour exécuter le mandat et arrêter </w:t>
      </w:r>
      <w:r w:rsidR="00C268C7" w:rsidRPr="000C43C5">
        <w:rPr>
          <w:lang w:val="fr-CA"/>
        </w:rPr>
        <w:t xml:space="preserve">M. Silverthorne. </w:t>
      </w:r>
      <w:r w:rsidRPr="000C43C5">
        <w:rPr>
          <w:lang w:val="fr-CA"/>
        </w:rPr>
        <w:t>Au cours de l’exécution du mandat, la police lui a fait des commentaires et l’a accusé d’une infraction liée aux drogues</w:t>
      </w:r>
      <w:r w:rsidR="006F3F3F" w:rsidRPr="000C43C5">
        <w:rPr>
          <w:lang w:val="fr-CA"/>
        </w:rPr>
        <w:t>.</w:t>
      </w:r>
    </w:p>
    <w:p w14:paraId="6AFB25C2" w14:textId="67B5778F" w:rsidR="007A30CB" w:rsidRPr="000C43C5" w:rsidRDefault="009A76F1" w:rsidP="00BF514D">
      <w:pPr>
        <w:pStyle w:val="AParaNumbering"/>
        <w:rPr>
          <w:lang w:val="fr-CA"/>
        </w:rPr>
      </w:pPr>
      <w:r w:rsidRPr="000C43C5">
        <w:rPr>
          <w:lang w:val="fr-CA"/>
        </w:rPr>
        <w:t xml:space="preserve">À l’enquête sur le cautionnement, le 29 novembre </w:t>
      </w:r>
      <w:r w:rsidR="00C268C7" w:rsidRPr="000C43C5">
        <w:rPr>
          <w:lang w:val="fr-CA"/>
        </w:rPr>
        <w:t>2013, M</w:t>
      </w:r>
      <w:r w:rsidRPr="000C43C5">
        <w:rPr>
          <w:lang w:val="fr-CA"/>
        </w:rPr>
        <w:t>e</w:t>
      </w:r>
      <w:r w:rsidR="00C268C7" w:rsidRPr="000C43C5">
        <w:rPr>
          <w:lang w:val="fr-CA"/>
        </w:rPr>
        <w:t xml:space="preserve"> Robertson</w:t>
      </w:r>
      <w:r w:rsidR="00D97C8E" w:rsidRPr="000C43C5">
        <w:rPr>
          <w:lang w:val="fr-CA"/>
        </w:rPr>
        <w:t xml:space="preserve">, </w:t>
      </w:r>
      <w:r w:rsidRPr="000C43C5">
        <w:rPr>
          <w:lang w:val="fr-CA"/>
        </w:rPr>
        <w:t xml:space="preserve">qui s’est présenté comme l’avocat de </w:t>
      </w:r>
      <w:r w:rsidR="00D97C8E" w:rsidRPr="000C43C5">
        <w:rPr>
          <w:lang w:val="fr-CA"/>
        </w:rPr>
        <w:t xml:space="preserve">M. Silverthorne, </w:t>
      </w:r>
      <w:r w:rsidRPr="000C43C5">
        <w:rPr>
          <w:lang w:val="fr-CA"/>
        </w:rPr>
        <w:t xml:space="preserve">a informé l’officier de justice qui présidait que </w:t>
      </w:r>
      <w:r w:rsidR="007A30CB" w:rsidRPr="000C43C5">
        <w:rPr>
          <w:lang w:val="fr-CA"/>
        </w:rPr>
        <w:t xml:space="preserve">M. Silverthorne </w:t>
      </w:r>
      <w:r w:rsidRPr="000C43C5">
        <w:rPr>
          <w:lang w:val="fr-CA"/>
        </w:rPr>
        <w:t xml:space="preserve">était une personne marginalisée et indigente qui avait de la difficulté </w:t>
      </w:r>
      <w:r w:rsidRPr="000C43C5">
        <w:rPr>
          <w:lang w:val="fr-CA"/>
        </w:rPr>
        <w:lastRenderedPageBreak/>
        <w:t>à produire une caution pour obtenir sa mise en liberté</w:t>
      </w:r>
      <w:r w:rsidR="00F80FD3" w:rsidRPr="000C43C5">
        <w:rPr>
          <w:rStyle w:val="FootnoteReference"/>
          <w:lang w:val="fr-CA"/>
        </w:rPr>
        <w:footnoteReference w:id="1"/>
      </w:r>
      <w:r w:rsidRPr="000C43C5">
        <w:rPr>
          <w:lang w:val="fr-CA"/>
        </w:rPr>
        <w:t>.</w:t>
      </w:r>
      <w:r w:rsidR="00606952" w:rsidRPr="000C43C5">
        <w:rPr>
          <w:lang w:val="fr-CA"/>
        </w:rPr>
        <w:t xml:space="preserve"> </w:t>
      </w:r>
      <w:r w:rsidRPr="000C43C5">
        <w:rPr>
          <w:lang w:val="fr-CA"/>
        </w:rPr>
        <w:t xml:space="preserve">À cette date, </w:t>
      </w:r>
      <w:r w:rsidR="007A30CB" w:rsidRPr="000C43C5">
        <w:rPr>
          <w:lang w:val="fr-CA"/>
        </w:rPr>
        <w:t>M.</w:t>
      </w:r>
      <w:r w:rsidRPr="000C43C5">
        <w:rPr>
          <w:lang w:val="fr-CA"/>
        </w:rPr>
        <w:t> </w:t>
      </w:r>
      <w:r w:rsidR="007A30CB" w:rsidRPr="000C43C5">
        <w:rPr>
          <w:lang w:val="fr-CA"/>
        </w:rPr>
        <w:t xml:space="preserve">Silverthorne </w:t>
      </w:r>
      <w:r w:rsidRPr="000C43C5">
        <w:rPr>
          <w:lang w:val="fr-CA"/>
        </w:rPr>
        <w:t>avait passé 24 jours en détention</w:t>
      </w:r>
      <w:r w:rsidR="007A30CB" w:rsidRPr="000C43C5">
        <w:rPr>
          <w:lang w:val="fr-CA"/>
        </w:rPr>
        <w:t xml:space="preserve">. </w:t>
      </w:r>
      <w:r w:rsidRPr="000C43C5">
        <w:rPr>
          <w:lang w:val="fr-CA"/>
        </w:rPr>
        <w:t>La transcription démontre ce que Me Robertson pense des act</w:t>
      </w:r>
      <w:r w:rsidR="00A617B2" w:rsidRPr="000C43C5">
        <w:rPr>
          <w:lang w:val="fr-CA"/>
        </w:rPr>
        <w:t>es</w:t>
      </w:r>
      <w:r w:rsidRPr="000C43C5">
        <w:rPr>
          <w:lang w:val="fr-CA"/>
        </w:rPr>
        <w:t xml:space="preserve"> du juge de paix en rapport avec </w:t>
      </w:r>
      <w:r w:rsidR="00C76466" w:rsidRPr="000C43C5">
        <w:rPr>
          <w:lang w:val="fr-CA"/>
        </w:rPr>
        <w:t xml:space="preserve">M. Silverthorne </w:t>
      </w:r>
      <w:r w:rsidR="00A617B2" w:rsidRPr="000C43C5">
        <w:rPr>
          <w:lang w:val="fr-CA"/>
        </w:rPr>
        <w:t>et les conséquences sur sa liberté</w:t>
      </w:r>
      <w:r w:rsidR="00C76466" w:rsidRPr="000C43C5">
        <w:rPr>
          <w:rStyle w:val="FootnoteReference"/>
          <w:lang w:val="fr-CA"/>
        </w:rPr>
        <w:footnoteReference w:id="2"/>
      </w:r>
      <w:r w:rsidR="00C76466" w:rsidRPr="000C43C5">
        <w:rPr>
          <w:lang w:val="fr-CA"/>
        </w:rPr>
        <w:t>:</w:t>
      </w:r>
    </w:p>
    <w:p w14:paraId="2E08A3B1" w14:textId="02FC75D5" w:rsidR="00E23C76" w:rsidRPr="000C43C5" w:rsidRDefault="00E23C76" w:rsidP="00C10829">
      <w:pPr>
        <w:pStyle w:val="ListParagraph"/>
        <w:widowControl w:val="0"/>
        <w:spacing w:line="240" w:lineRule="atLeast"/>
        <w:ind w:left="2977" w:right="571" w:hanging="1843"/>
        <w:jc w:val="both"/>
        <w:rPr>
          <w:rFonts w:ascii="Arial" w:hAnsi="Arial" w:cs="Arial"/>
          <w:i/>
          <w:lang w:val="fr-CA"/>
        </w:rPr>
      </w:pPr>
      <w:r w:rsidRPr="000C43C5">
        <w:rPr>
          <w:rFonts w:ascii="Arial" w:hAnsi="Arial" w:cs="Arial"/>
          <w:lang w:val="fr-CA"/>
        </w:rPr>
        <w:t>M</w:t>
      </w:r>
      <w:r w:rsidR="00A617B2" w:rsidRPr="000C43C5">
        <w:rPr>
          <w:rFonts w:ascii="Arial" w:hAnsi="Arial" w:cs="Arial"/>
          <w:lang w:val="fr-CA"/>
        </w:rPr>
        <w:t>e</w:t>
      </w:r>
      <w:r w:rsidRPr="000C43C5">
        <w:rPr>
          <w:rFonts w:ascii="Arial" w:hAnsi="Arial" w:cs="Arial"/>
          <w:lang w:val="fr-CA"/>
        </w:rPr>
        <w:t xml:space="preserve"> Robertson</w:t>
      </w:r>
      <w:r w:rsidR="00A617B2" w:rsidRPr="000C43C5">
        <w:rPr>
          <w:rFonts w:ascii="Arial" w:hAnsi="Arial" w:cs="Arial"/>
          <w:lang w:val="fr-CA"/>
        </w:rPr>
        <w:t xml:space="preserve"> </w:t>
      </w:r>
      <w:r w:rsidRPr="000C43C5">
        <w:rPr>
          <w:rFonts w:ascii="Arial" w:hAnsi="Arial" w:cs="Arial"/>
          <w:lang w:val="fr-CA"/>
        </w:rPr>
        <w:t>:</w:t>
      </w:r>
      <w:r w:rsidRPr="000C43C5">
        <w:rPr>
          <w:rFonts w:ascii="Arial" w:hAnsi="Arial" w:cs="Arial"/>
          <w:lang w:val="fr-CA"/>
        </w:rPr>
        <w:tab/>
      </w:r>
      <w:r w:rsidR="00A617B2" w:rsidRPr="000C43C5">
        <w:rPr>
          <w:rFonts w:ascii="Arial" w:hAnsi="Arial" w:cs="Arial"/>
          <w:lang w:val="fr-CA"/>
        </w:rPr>
        <w:t>et je peux vous dire que j’ai fait tout ce qu’il fallait en ce qui concerne les observations à présenter, les greffiers, et je comprends ce que dit mon ami avec cette explication</w:t>
      </w:r>
      <w:r w:rsidR="00B41606">
        <w:rPr>
          <w:rFonts w:ascii="Arial" w:hAnsi="Arial" w:cs="Arial"/>
          <w:lang w:val="fr-CA"/>
        </w:rPr>
        <w:t>,</w:t>
      </w:r>
      <w:r w:rsidR="00A617B2" w:rsidRPr="000C43C5">
        <w:rPr>
          <w:rFonts w:ascii="Arial" w:hAnsi="Arial" w:cs="Arial"/>
          <w:lang w:val="fr-CA"/>
        </w:rPr>
        <w:t xml:space="preserve"> parce que bureau du procureur de la Couronne l’a aussi vérifié. Selon ce que je comprends et les informations que je possède, ce qui s’est passé, c’est qu’à la fin de la journée juridique, ou pendant la journée, </w:t>
      </w:r>
      <w:r w:rsidR="00DD560D" w:rsidRPr="000C43C5">
        <w:rPr>
          <w:rFonts w:ascii="Arial" w:hAnsi="Arial" w:cs="Arial"/>
          <w:lang w:val="fr-CA"/>
        </w:rPr>
        <w:t xml:space="preserve">en aparté, pas dans le cadre du dossier en cours, le juge de paix qui préside a décidé de son propre chef d’ordonner </w:t>
      </w:r>
      <w:r w:rsidR="003E7543" w:rsidRPr="000C43C5">
        <w:rPr>
          <w:rFonts w:ascii="Arial" w:hAnsi="Arial" w:cs="Arial"/>
          <w:lang w:val="fr-CA"/>
        </w:rPr>
        <w:t>à la greffière</w:t>
      </w:r>
      <w:r w:rsidR="00DD560D" w:rsidRPr="000C43C5">
        <w:rPr>
          <w:rFonts w:ascii="Arial" w:hAnsi="Arial" w:cs="Arial"/>
          <w:lang w:val="fr-CA"/>
        </w:rPr>
        <w:t xml:space="preserve"> de changer la date après avoir réalisé que le 30 novembre était un samedi, qu’il y avait donc eu une erreur de date. Il a ordonné </w:t>
      </w:r>
      <w:r w:rsidR="003E7543" w:rsidRPr="000C43C5">
        <w:rPr>
          <w:rFonts w:ascii="Arial" w:hAnsi="Arial" w:cs="Arial"/>
          <w:lang w:val="fr-CA"/>
        </w:rPr>
        <w:t xml:space="preserve">à la greffière </w:t>
      </w:r>
      <w:r w:rsidR="00DD560D" w:rsidRPr="000C43C5">
        <w:rPr>
          <w:rFonts w:ascii="Arial" w:hAnsi="Arial" w:cs="Arial"/>
          <w:lang w:val="fr-CA"/>
        </w:rPr>
        <w:t>de changer la date au 30</w:t>
      </w:r>
      <w:r w:rsidR="00B41606">
        <w:rPr>
          <w:rFonts w:ascii="Arial" w:hAnsi="Arial" w:cs="Arial"/>
          <w:lang w:val="fr-CA"/>
        </w:rPr>
        <w:t> </w:t>
      </w:r>
      <w:r w:rsidR="00DD560D" w:rsidRPr="000C43C5">
        <w:rPr>
          <w:rFonts w:ascii="Arial" w:hAnsi="Arial" w:cs="Arial"/>
          <w:lang w:val="fr-CA"/>
        </w:rPr>
        <w:t>octobre, mais malheureusement, la prochaine étape n’a pas été suivie; l’accusé n’a pas été avisé. Évidemment, personne n’a comparu le 30 octobre</w:t>
      </w:r>
      <w:r w:rsidRPr="000C43C5">
        <w:rPr>
          <w:rFonts w:ascii="Arial" w:hAnsi="Arial" w:cs="Arial"/>
          <w:lang w:val="fr-CA"/>
        </w:rPr>
        <w:t xml:space="preserve">. </w:t>
      </w:r>
      <w:r w:rsidR="00DD560D" w:rsidRPr="000C43C5">
        <w:rPr>
          <w:rFonts w:ascii="Arial" w:hAnsi="Arial" w:cs="Arial"/>
          <w:lang w:val="fr-CA"/>
        </w:rPr>
        <w:t xml:space="preserve">Donc, vous avez une – maintenant une transcription du 30 octobre et, Votre Honneur, en fait, étiez le juge de paix qui préside le 30 octobre. Je suis sûr que c’est perturbant pour vous d’avoir délivré un mandat contre une personne sans réaliser que cette personne n’était même pas réellement tenue de comparaître à cette date. Bon, je ne suis pas là pour supposer </w:t>
      </w:r>
      <w:r w:rsidRPr="000C43C5">
        <w:rPr>
          <w:rFonts w:ascii="Arial" w:hAnsi="Arial" w:cs="Arial"/>
          <w:lang w:val="fr-CA"/>
        </w:rPr>
        <w:t xml:space="preserve">– </w:t>
      </w:r>
      <w:r w:rsidR="00DD560D" w:rsidRPr="000C43C5">
        <w:rPr>
          <w:rFonts w:ascii="Arial" w:hAnsi="Arial" w:cs="Arial"/>
          <w:lang w:val="fr-CA"/>
        </w:rPr>
        <w:t>je ne suis pas là pour porter un jugement sur ce qui s’est passé</w:t>
      </w:r>
      <w:r w:rsidRPr="000C43C5">
        <w:rPr>
          <w:rFonts w:ascii="Arial" w:hAnsi="Arial" w:cs="Arial"/>
          <w:lang w:val="fr-CA"/>
        </w:rPr>
        <w:t xml:space="preserve">, </w:t>
      </w:r>
      <w:r w:rsidR="00DD560D" w:rsidRPr="000C43C5">
        <w:rPr>
          <w:rFonts w:ascii="Arial" w:hAnsi="Arial" w:cs="Arial"/>
          <w:lang w:val="fr-CA"/>
        </w:rPr>
        <w:t xml:space="preserve">mais j’attire votre attention, parce qu’au bout du compte, Votre Honneur, lorsqu’une affaire fait l’objet d’un procès, la bonne foi de la part de la police n’est pas le seul facteur qui relève du paragraphe </w:t>
      </w:r>
      <w:r w:rsidRPr="000C43C5">
        <w:rPr>
          <w:rFonts w:ascii="Arial" w:hAnsi="Arial" w:cs="Arial"/>
          <w:lang w:val="fr-CA"/>
        </w:rPr>
        <w:t>24</w:t>
      </w:r>
      <w:r w:rsidR="00DD560D" w:rsidRPr="000C43C5">
        <w:rPr>
          <w:rFonts w:ascii="Arial" w:hAnsi="Arial" w:cs="Arial"/>
          <w:lang w:val="fr-CA"/>
        </w:rPr>
        <w:t> </w:t>
      </w:r>
      <w:r w:rsidRPr="000C43C5">
        <w:rPr>
          <w:rFonts w:ascii="Arial" w:hAnsi="Arial" w:cs="Arial"/>
          <w:lang w:val="fr-CA"/>
        </w:rPr>
        <w:t xml:space="preserve">(2) </w:t>
      </w:r>
      <w:r w:rsidR="00DD560D" w:rsidRPr="000C43C5">
        <w:rPr>
          <w:rFonts w:ascii="Arial" w:hAnsi="Arial" w:cs="Arial"/>
          <w:lang w:val="fr-CA"/>
        </w:rPr>
        <w:t xml:space="preserve">de la </w:t>
      </w:r>
      <w:r w:rsidRPr="000C43C5">
        <w:rPr>
          <w:rFonts w:ascii="Arial" w:hAnsi="Arial" w:cs="Arial"/>
          <w:i/>
          <w:lang w:val="fr-CA"/>
        </w:rPr>
        <w:t>Chart</w:t>
      </w:r>
      <w:r w:rsidR="00DD560D" w:rsidRPr="000C43C5">
        <w:rPr>
          <w:rFonts w:ascii="Arial" w:hAnsi="Arial" w:cs="Arial"/>
          <w:i/>
          <w:lang w:val="fr-CA"/>
        </w:rPr>
        <w:t>re</w:t>
      </w:r>
      <w:r w:rsidRPr="000C43C5">
        <w:rPr>
          <w:rFonts w:ascii="Arial" w:hAnsi="Arial" w:cs="Arial"/>
          <w:lang w:val="fr-CA"/>
        </w:rPr>
        <w:t xml:space="preserve">. </w:t>
      </w:r>
      <w:r w:rsidR="002B547A" w:rsidRPr="000C43C5">
        <w:rPr>
          <w:rFonts w:ascii="Arial" w:hAnsi="Arial" w:cs="Arial"/>
          <w:lang w:val="fr-CA"/>
        </w:rPr>
        <w:t>Le discrédit de l’administration de la justice est aussi un critère à prendre en considération. À mon humble avis, on peut invoquer l’argument convaincant que lorsqu’un mandat est délivré en se fondant s</w:t>
      </w:r>
      <w:r w:rsidR="00E31284" w:rsidRPr="000C43C5">
        <w:rPr>
          <w:rFonts w:ascii="Arial" w:hAnsi="Arial" w:cs="Arial"/>
          <w:lang w:val="fr-CA"/>
        </w:rPr>
        <w:t xml:space="preserve">ur une procédure en conflit avec la jurisprudence et qu’une décision est prise unilatéralement de changer une date sur une dénonciation sans en aviser l’avocat de la défense, le procureur ou l’accusé, </w:t>
      </w:r>
      <w:r w:rsidR="00B41606">
        <w:rPr>
          <w:rFonts w:ascii="Arial" w:hAnsi="Arial" w:cs="Arial"/>
          <w:lang w:val="fr-CA"/>
        </w:rPr>
        <w:t>cela ne peut pas être</w:t>
      </w:r>
      <w:r w:rsidR="00E31284" w:rsidRPr="000C43C5">
        <w:rPr>
          <w:rFonts w:ascii="Arial" w:hAnsi="Arial" w:cs="Arial"/>
          <w:lang w:val="fr-CA"/>
        </w:rPr>
        <w:t xml:space="preserve"> tolér</w:t>
      </w:r>
      <w:r w:rsidR="00B41606">
        <w:rPr>
          <w:rFonts w:ascii="Arial" w:hAnsi="Arial" w:cs="Arial"/>
          <w:lang w:val="fr-CA"/>
        </w:rPr>
        <w:t>é</w:t>
      </w:r>
      <w:r w:rsidR="00DD25CF" w:rsidRPr="000C43C5">
        <w:rPr>
          <w:rFonts w:ascii="Arial" w:hAnsi="Arial" w:cs="Arial"/>
          <w:lang w:val="fr-CA"/>
        </w:rPr>
        <w:t>.</w:t>
      </w:r>
    </w:p>
    <w:p w14:paraId="609D68DA" w14:textId="77777777" w:rsidR="00E23C76" w:rsidRPr="000C43C5" w:rsidRDefault="00E23C76" w:rsidP="00AB1D1C">
      <w:pPr>
        <w:pStyle w:val="ListParagraph"/>
        <w:spacing w:after="160" w:line="259" w:lineRule="auto"/>
        <w:ind w:left="360"/>
        <w:contextualSpacing/>
        <w:jc w:val="both"/>
        <w:rPr>
          <w:rFonts w:ascii="Arial" w:hAnsi="Arial" w:cs="Arial"/>
          <w:lang w:val="fr-CA"/>
        </w:rPr>
      </w:pPr>
    </w:p>
    <w:p w14:paraId="2B8ECA31" w14:textId="14D56ABE" w:rsidR="00EF1974" w:rsidRPr="000C43C5" w:rsidRDefault="000572EF" w:rsidP="00BF514D">
      <w:pPr>
        <w:pStyle w:val="AParaNumbering"/>
        <w:rPr>
          <w:lang w:val="fr-CA"/>
        </w:rPr>
      </w:pPr>
      <w:r w:rsidRPr="000C43C5">
        <w:rPr>
          <w:lang w:val="fr-CA"/>
        </w:rPr>
        <w:t xml:space="preserve">L’accusation </w:t>
      </w:r>
      <w:r w:rsidR="00B41606">
        <w:rPr>
          <w:lang w:val="fr-CA"/>
        </w:rPr>
        <w:t>de non-comparution</w:t>
      </w:r>
      <w:r w:rsidRPr="000C43C5">
        <w:rPr>
          <w:lang w:val="fr-CA"/>
        </w:rPr>
        <w:t xml:space="preserve"> a été finalement retirée. M</w:t>
      </w:r>
      <w:r w:rsidR="00921DB3" w:rsidRPr="000C43C5">
        <w:rPr>
          <w:lang w:val="fr-CA"/>
        </w:rPr>
        <w:t xml:space="preserve">. Silverthorne </w:t>
      </w:r>
      <w:r w:rsidRPr="000C43C5">
        <w:rPr>
          <w:lang w:val="fr-CA"/>
        </w:rPr>
        <w:t xml:space="preserve">a inscrit un plaidoyer de culpabilité en ce qui concerne une autre infraction </w:t>
      </w:r>
      <w:r w:rsidR="00BC6315" w:rsidRPr="000C43C5">
        <w:rPr>
          <w:lang w:val="fr-CA"/>
        </w:rPr>
        <w:t>avec prise en compte de la période passée en détention en rapport avec les actes du juge de paix </w:t>
      </w:r>
      <w:r w:rsidR="006F3F3F" w:rsidRPr="000C43C5">
        <w:rPr>
          <w:lang w:val="fr-CA"/>
        </w:rPr>
        <w:t>Welsh.</w:t>
      </w:r>
    </w:p>
    <w:p w14:paraId="42BE063F" w14:textId="13D6B31A" w:rsidR="00EF1974" w:rsidRPr="000C43C5" w:rsidRDefault="00BC6315" w:rsidP="00BF514D">
      <w:pPr>
        <w:pStyle w:val="AParaNumbering"/>
        <w:rPr>
          <w:lang w:val="fr-CA"/>
        </w:rPr>
      </w:pPr>
      <w:r w:rsidRPr="000C43C5">
        <w:rPr>
          <w:lang w:val="fr-CA"/>
        </w:rPr>
        <w:t xml:space="preserve">Bien que le juge de paix </w:t>
      </w:r>
      <w:r w:rsidR="00F5199C" w:rsidRPr="000C43C5">
        <w:rPr>
          <w:lang w:val="fr-CA"/>
        </w:rPr>
        <w:t xml:space="preserve">Welsh </w:t>
      </w:r>
      <w:r w:rsidRPr="000C43C5">
        <w:rPr>
          <w:lang w:val="fr-CA"/>
        </w:rPr>
        <w:t>ait témoigné qu’il n’avait pas l’intention de causer un préjudice à M.</w:t>
      </w:r>
      <w:r w:rsidR="00F5199C" w:rsidRPr="000C43C5">
        <w:rPr>
          <w:lang w:val="fr-CA"/>
        </w:rPr>
        <w:t xml:space="preserve"> Silverthorne, </w:t>
      </w:r>
      <w:r w:rsidRPr="000C43C5">
        <w:rPr>
          <w:lang w:val="fr-CA"/>
        </w:rPr>
        <w:t>il avoue dans l’exposé conjoint des faits que ses actes ont érodé la confiance du public en lui, en tant que juge de paix, en la magistrature en général et en l’administration de la justice</w:t>
      </w:r>
      <w:r w:rsidR="00F5199C" w:rsidRPr="000C43C5">
        <w:rPr>
          <w:lang w:val="fr-CA"/>
        </w:rPr>
        <w:t>.</w:t>
      </w:r>
      <w:r w:rsidR="003C4B57" w:rsidRPr="000C43C5">
        <w:rPr>
          <w:lang w:val="fr-CA"/>
        </w:rPr>
        <w:t xml:space="preserve"> </w:t>
      </w:r>
      <w:r w:rsidRPr="000C43C5">
        <w:rPr>
          <w:lang w:val="fr-CA"/>
        </w:rPr>
        <w:t xml:space="preserve">Il a déclaré : « Mes actes de ce jour-là ont clairement déclenché une série de circonstances </w:t>
      </w:r>
      <w:r w:rsidR="005653B4" w:rsidRPr="000C43C5">
        <w:rPr>
          <w:lang w:val="fr-CA"/>
        </w:rPr>
        <w:t xml:space="preserve">concernant M. Silverthorne </w:t>
      </w:r>
      <w:r w:rsidRPr="000C43C5">
        <w:rPr>
          <w:lang w:val="fr-CA"/>
        </w:rPr>
        <w:t>pour lesquelles je suis très</w:t>
      </w:r>
      <w:r w:rsidR="005653B4" w:rsidRPr="000C43C5">
        <w:rPr>
          <w:lang w:val="fr-CA"/>
        </w:rPr>
        <w:t xml:space="preserve"> très désolé. » [traduction]</w:t>
      </w:r>
      <w:r w:rsidR="00222F7A" w:rsidRPr="000C43C5">
        <w:rPr>
          <w:lang w:val="fr-CA"/>
        </w:rPr>
        <w:t xml:space="preserve"> </w:t>
      </w:r>
    </w:p>
    <w:p w14:paraId="6A74450C" w14:textId="3F2F832B" w:rsidR="00F5199C" w:rsidRPr="000C43C5" w:rsidRDefault="005653B4" w:rsidP="00BF514D">
      <w:pPr>
        <w:pStyle w:val="AParaNumbering"/>
        <w:rPr>
          <w:lang w:val="fr-CA"/>
        </w:rPr>
      </w:pPr>
      <w:r w:rsidRPr="000C43C5">
        <w:rPr>
          <w:lang w:val="fr-CA"/>
        </w:rPr>
        <w:t>Le juge de paix affirme qu’il ne se conduira plus jamais de la sorte, en sachant les répercussions que cette conduite pourrait avoir sur la confiance du public envers l’intégrité et l’impartialité de la magistrature et l’administration de la justice</w:t>
      </w:r>
      <w:r w:rsidR="00F5199C" w:rsidRPr="000C43C5">
        <w:rPr>
          <w:lang w:val="fr-CA"/>
        </w:rPr>
        <w:t>.</w:t>
      </w:r>
    </w:p>
    <w:p w14:paraId="753B4032" w14:textId="25CA1901" w:rsidR="00F5199C" w:rsidRPr="000C43C5" w:rsidRDefault="005653B4" w:rsidP="00EF1974">
      <w:pPr>
        <w:jc w:val="both"/>
        <w:rPr>
          <w:rFonts w:ascii="Arial" w:hAnsi="Arial" w:cs="Arial"/>
          <w:b/>
          <w:caps/>
          <w:lang w:val="fr-CA"/>
        </w:rPr>
      </w:pPr>
      <w:r w:rsidRPr="000C43C5">
        <w:rPr>
          <w:rFonts w:ascii="Arial" w:hAnsi="Arial" w:cs="Arial"/>
          <w:b/>
          <w:caps/>
          <w:lang w:val="fr-CA"/>
        </w:rPr>
        <w:t xml:space="preserve">Rôle du comité d’audition </w:t>
      </w:r>
    </w:p>
    <w:p w14:paraId="7D1AA2DD" w14:textId="77777777" w:rsidR="00EF1974" w:rsidRPr="000C43C5" w:rsidRDefault="00EF1974" w:rsidP="00EF1974">
      <w:pPr>
        <w:jc w:val="both"/>
        <w:rPr>
          <w:rFonts w:ascii="Arial" w:hAnsi="Arial" w:cs="Arial"/>
          <w:lang w:val="fr-CA"/>
        </w:rPr>
      </w:pPr>
    </w:p>
    <w:p w14:paraId="01E6FD49" w14:textId="7CD01B5B" w:rsidR="00F5199C" w:rsidRPr="000C43C5" w:rsidRDefault="005653B4" w:rsidP="005653B4">
      <w:pPr>
        <w:pStyle w:val="AParaNumbering"/>
        <w:rPr>
          <w:lang w:val="fr-CA"/>
        </w:rPr>
      </w:pPr>
      <w:r w:rsidRPr="000C43C5">
        <w:rPr>
          <w:lang w:val="fr-CA"/>
        </w:rPr>
        <w:t>Le comité d’audition doit déterminer si les actes ou la conduite du juge de paix </w:t>
      </w:r>
      <w:r w:rsidR="00F5199C" w:rsidRPr="000C43C5">
        <w:rPr>
          <w:lang w:val="fr-CA"/>
        </w:rPr>
        <w:t xml:space="preserve">Welsh </w:t>
      </w:r>
      <w:r w:rsidRPr="000C43C5">
        <w:rPr>
          <w:lang w:val="fr-CA"/>
        </w:rPr>
        <w:t xml:space="preserve">dans l’affaire </w:t>
      </w:r>
      <w:r w:rsidR="00497B98" w:rsidRPr="000C43C5">
        <w:rPr>
          <w:lang w:val="fr-CA"/>
        </w:rPr>
        <w:t>Silverthorne</w:t>
      </w:r>
      <w:r w:rsidRPr="000C43C5">
        <w:rPr>
          <w:lang w:val="fr-CA"/>
        </w:rPr>
        <w:t>, le 16 octobre</w:t>
      </w:r>
      <w:r w:rsidR="00F5199C" w:rsidRPr="000C43C5">
        <w:rPr>
          <w:lang w:val="fr-CA"/>
        </w:rPr>
        <w:t xml:space="preserve"> 2013</w:t>
      </w:r>
      <w:r w:rsidRPr="000C43C5">
        <w:rPr>
          <w:lang w:val="fr-CA"/>
        </w:rPr>
        <w:t>, constitue</w:t>
      </w:r>
      <w:r w:rsidR="00886E6D">
        <w:rPr>
          <w:lang w:val="fr-CA"/>
        </w:rPr>
        <w:t>nt</w:t>
      </w:r>
      <w:r w:rsidRPr="000C43C5">
        <w:rPr>
          <w:lang w:val="fr-CA"/>
        </w:rPr>
        <w:t xml:space="preserve"> une inconduite judiciaire : la conduite reprochée est-elle si gravement contraire aux principes d'impartialité, d'intégrité et d'indépendance judiciaires qu'elle a miné la confiance du public à l'égard de l'aptitude du juge à exécuter les fonctions de sa charge ou à l'égard de l'administration de la justice en général, qu’une ou plus d’une des mesures énoncées au paragraphe </w:t>
      </w:r>
      <w:r w:rsidR="00F5199C" w:rsidRPr="000C43C5">
        <w:rPr>
          <w:lang w:val="fr-CA"/>
        </w:rPr>
        <w:t>11.1</w:t>
      </w:r>
      <w:r w:rsidRPr="000C43C5">
        <w:rPr>
          <w:lang w:val="fr-CA"/>
        </w:rPr>
        <w:t> </w:t>
      </w:r>
      <w:r w:rsidR="00F5199C" w:rsidRPr="000C43C5">
        <w:rPr>
          <w:lang w:val="fr-CA"/>
        </w:rPr>
        <w:t xml:space="preserve">(10) </w:t>
      </w:r>
      <w:r w:rsidRPr="000C43C5">
        <w:rPr>
          <w:lang w:val="fr-CA"/>
        </w:rPr>
        <w:t>de la Loi doi</w:t>
      </w:r>
      <w:r w:rsidR="00886E6D">
        <w:rPr>
          <w:lang w:val="fr-CA"/>
        </w:rPr>
        <w:t>ven</w:t>
      </w:r>
      <w:r w:rsidRPr="000C43C5">
        <w:rPr>
          <w:lang w:val="fr-CA"/>
        </w:rPr>
        <w:t>t être imposée</w:t>
      </w:r>
      <w:r w:rsidR="00886E6D">
        <w:rPr>
          <w:lang w:val="fr-CA"/>
        </w:rPr>
        <w:t>s</w:t>
      </w:r>
      <w:r w:rsidRPr="000C43C5">
        <w:rPr>
          <w:lang w:val="fr-CA"/>
        </w:rPr>
        <w:t xml:space="preserve"> pour restaurer la confiance du public envers la magistrature en général. Ces mesures sont les suivantes </w:t>
      </w:r>
      <w:r w:rsidR="00497B98" w:rsidRPr="000C43C5">
        <w:rPr>
          <w:lang w:val="fr-CA"/>
        </w:rPr>
        <w:t>:</w:t>
      </w:r>
    </w:p>
    <w:p w14:paraId="6645EF3A" w14:textId="77777777" w:rsidR="005653B4" w:rsidRPr="000C43C5" w:rsidRDefault="005653B4" w:rsidP="005653B4">
      <w:pPr>
        <w:pStyle w:val="AParaNumbering"/>
        <w:numPr>
          <w:ilvl w:val="0"/>
          <w:numId w:val="0"/>
        </w:numPr>
        <w:spacing w:before="0" w:after="0" w:line="240" w:lineRule="auto"/>
        <w:ind w:left="425"/>
        <w:rPr>
          <w:lang w:val="fr-CA"/>
        </w:rPr>
      </w:pPr>
      <w:r w:rsidRPr="000C43C5">
        <w:rPr>
          <w:lang w:val="fr-CA"/>
        </w:rPr>
        <w:lastRenderedPageBreak/>
        <w:t>a) donner un avertissement au juge de paix;</w:t>
      </w:r>
    </w:p>
    <w:p w14:paraId="23F77BE2" w14:textId="77777777" w:rsidR="005653B4" w:rsidRPr="000C43C5" w:rsidRDefault="005653B4" w:rsidP="005653B4">
      <w:pPr>
        <w:pStyle w:val="AParaNumbering"/>
        <w:numPr>
          <w:ilvl w:val="0"/>
          <w:numId w:val="0"/>
        </w:numPr>
        <w:spacing w:before="0" w:after="0" w:line="240" w:lineRule="auto"/>
        <w:ind w:left="425"/>
        <w:rPr>
          <w:lang w:val="fr-CA"/>
        </w:rPr>
      </w:pPr>
      <w:r w:rsidRPr="000C43C5">
        <w:rPr>
          <w:lang w:val="fr-CA"/>
        </w:rPr>
        <w:t>b) réprimander le juge de paix;</w:t>
      </w:r>
    </w:p>
    <w:p w14:paraId="3C52577E" w14:textId="68585195" w:rsidR="001D12AF" w:rsidRPr="000C43C5" w:rsidRDefault="005653B4" w:rsidP="005653B4">
      <w:pPr>
        <w:pStyle w:val="AParaNumbering"/>
        <w:numPr>
          <w:ilvl w:val="0"/>
          <w:numId w:val="0"/>
        </w:numPr>
        <w:spacing w:before="0" w:after="0" w:line="240" w:lineRule="auto"/>
        <w:ind w:left="425"/>
        <w:rPr>
          <w:lang w:val="fr-CA"/>
        </w:rPr>
      </w:pPr>
      <w:r w:rsidRPr="000C43C5">
        <w:rPr>
          <w:lang w:val="fr-CA"/>
        </w:rPr>
        <w:t>c) ordonner au juge de paix de présenter des excuses au plaignant ou à toute autre personne;</w:t>
      </w:r>
    </w:p>
    <w:p w14:paraId="280EF6B0" w14:textId="77777777" w:rsidR="005653B4" w:rsidRPr="000C43C5" w:rsidRDefault="005653B4" w:rsidP="005653B4">
      <w:pPr>
        <w:widowControl w:val="0"/>
        <w:tabs>
          <w:tab w:val="left" w:pos="-720"/>
          <w:tab w:val="left" w:pos="0"/>
          <w:tab w:val="left" w:pos="270"/>
        </w:tabs>
        <w:suppressAutoHyphens/>
        <w:ind w:left="425" w:right="-36"/>
        <w:jc w:val="both"/>
        <w:rPr>
          <w:rFonts w:ascii="Arial" w:hAnsi="Arial" w:cs="Arial"/>
          <w:sz w:val="22"/>
          <w:szCs w:val="22"/>
          <w:lang w:val="fr-CA"/>
        </w:rPr>
      </w:pPr>
      <w:r w:rsidRPr="000C43C5">
        <w:rPr>
          <w:rFonts w:ascii="Arial" w:hAnsi="Arial" w:cs="Arial"/>
          <w:sz w:val="22"/>
          <w:szCs w:val="22"/>
          <w:lang w:val="fr-CA"/>
        </w:rPr>
        <w:t>d) ordonner que le juge de paix prenne des dispositions précises, telles suivre une formation ou un traitement, comme condition pour continuer de siéger à titre de juge de paix;</w:t>
      </w:r>
    </w:p>
    <w:p w14:paraId="611A9753" w14:textId="77777777" w:rsidR="005653B4" w:rsidRPr="000C43C5" w:rsidRDefault="005653B4" w:rsidP="005653B4">
      <w:pPr>
        <w:widowControl w:val="0"/>
        <w:tabs>
          <w:tab w:val="left" w:pos="-720"/>
          <w:tab w:val="left" w:pos="0"/>
          <w:tab w:val="left" w:pos="270"/>
        </w:tabs>
        <w:suppressAutoHyphens/>
        <w:ind w:left="425" w:right="-36"/>
        <w:jc w:val="both"/>
        <w:rPr>
          <w:rFonts w:ascii="Arial" w:hAnsi="Arial" w:cs="Arial"/>
          <w:sz w:val="22"/>
          <w:szCs w:val="22"/>
          <w:lang w:val="fr-CA"/>
        </w:rPr>
      </w:pPr>
      <w:r w:rsidRPr="000C43C5">
        <w:rPr>
          <w:rFonts w:ascii="Arial" w:hAnsi="Arial" w:cs="Arial"/>
          <w:sz w:val="22"/>
          <w:szCs w:val="22"/>
          <w:lang w:val="fr-CA"/>
        </w:rPr>
        <w:t>e) suspendre le juge de paix, avec rémunération, pendant une période quelle qu’elle soit;</w:t>
      </w:r>
    </w:p>
    <w:p w14:paraId="1032E98A" w14:textId="542C3FBD" w:rsidR="001D12AF" w:rsidRPr="000C43C5" w:rsidRDefault="005653B4" w:rsidP="005653B4">
      <w:pPr>
        <w:pStyle w:val="ListParagraph"/>
        <w:ind w:left="425" w:right="571"/>
        <w:rPr>
          <w:rFonts w:ascii="Arial" w:hAnsi="Arial" w:cs="Arial"/>
          <w:lang w:val="fr-CA"/>
        </w:rPr>
      </w:pPr>
      <w:r w:rsidRPr="000C43C5">
        <w:rPr>
          <w:rFonts w:ascii="Arial" w:hAnsi="Arial" w:cs="Arial"/>
          <w:sz w:val="22"/>
          <w:szCs w:val="22"/>
          <w:lang w:val="fr-CA"/>
        </w:rPr>
        <w:t>f) suspendre le juge de paix, sans rémunération, mais avec avantages sociaux, pendant une période maximale de 30 jours.</w:t>
      </w:r>
    </w:p>
    <w:p w14:paraId="0C35FE5F" w14:textId="66C57BB8" w:rsidR="001D12AF" w:rsidRPr="000C43C5" w:rsidRDefault="005653B4" w:rsidP="005653B4">
      <w:pPr>
        <w:ind w:left="425" w:right="571"/>
        <w:jc w:val="both"/>
        <w:rPr>
          <w:rFonts w:ascii="Arial" w:hAnsi="Arial" w:cs="Arial"/>
          <w:lang w:val="fr-CA"/>
        </w:rPr>
      </w:pPr>
      <w:r w:rsidRPr="000C43C5">
        <w:rPr>
          <w:rFonts w:ascii="Arial" w:hAnsi="Arial" w:cs="Arial"/>
          <w:sz w:val="22"/>
          <w:szCs w:val="22"/>
          <w:lang w:val="fr-CA"/>
        </w:rPr>
        <w:t xml:space="preserve">g) recommander au procureur général la destitution du juge de paix en vertu de l’article </w:t>
      </w:r>
      <w:r w:rsidR="001D12AF" w:rsidRPr="000C43C5">
        <w:rPr>
          <w:rFonts w:ascii="Arial" w:hAnsi="Arial" w:cs="Arial"/>
          <w:lang w:val="fr-CA"/>
        </w:rPr>
        <w:t>11.2</w:t>
      </w:r>
      <w:r w:rsidR="00454567" w:rsidRPr="000C43C5">
        <w:rPr>
          <w:rFonts w:ascii="Arial" w:hAnsi="Arial" w:cs="Arial"/>
          <w:lang w:val="fr-CA"/>
        </w:rPr>
        <w:t>.</w:t>
      </w:r>
    </w:p>
    <w:p w14:paraId="0E6C2E93" w14:textId="77777777" w:rsidR="00F5199C" w:rsidRPr="000C43C5" w:rsidRDefault="00F5199C" w:rsidP="005653B4">
      <w:pPr>
        <w:ind w:left="425"/>
        <w:jc w:val="both"/>
        <w:rPr>
          <w:rFonts w:ascii="Arial" w:hAnsi="Arial" w:cs="Arial"/>
          <w:lang w:val="fr-CA"/>
        </w:rPr>
      </w:pPr>
    </w:p>
    <w:p w14:paraId="1398BF43" w14:textId="77777777" w:rsidR="0016058C" w:rsidRPr="000C43C5" w:rsidRDefault="0016058C" w:rsidP="0016058C">
      <w:pPr>
        <w:ind w:left="-142"/>
        <w:jc w:val="both"/>
        <w:rPr>
          <w:rFonts w:ascii="Arial" w:hAnsi="Arial" w:cs="Arial"/>
          <w:b/>
          <w:caps/>
          <w:lang w:val="fr-CA"/>
        </w:rPr>
      </w:pPr>
    </w:p>
    <w:p w14:paraId="67436962" w14:textId="3A2014B1" w:rsidR="005E7FDC" w:rsidRPr="000C43C5" w:rsidRDefault="005653B4" w:rsidP="0016058C">
      <w:pPr>
        <w:ind w:left="-142"/>
        <w:jc w:val="both"/>
        <w:rPr>
          <w:rFonts w:ascii="Arial" w:hAnsi="Arial" w:cs="Arial"/>
          <w:b/>
          <w:caps/>
          <w:lang w:val="fr-CA"/>
        </w:rPr>
      </w:pPr>
      <w:r w:rsidRPr="000C43C5">
        <w:rPr>
          <w:rFonts w:ascii="Arial" w:hAnsi="Arial" w:cs="Arial"/>
          <w:b/>
          <w:caps/>
          <w:lang w:val="fr-CA"/>
        </w:rPr>
        <w:t>ATTENTES D’UN OFFICIER DE JUSTICE</w:t>
      </w:r>
    </w:p>
    <w:p w14:paraId="202EC658" w14:textId="77777777" w:rsidR="005E7FDC" w:rsidRPr="000C43C5" w:rsidRDefault="005E7FDC" w:rsidP="00EF1974">
      <w:pPr>
        <w:jc w:val="both"/>
        <w:rPr>
          <w:rFonts w:ascii="Arial" w:hAnsi="Arial" w:cs="Arial"/>
          <w:b/>
          <w:lang w:val="fr-CA"/>
        </w:rPr>
      </w:pPr>
    </w:p>
    <w:p w14:paraId="3D7BED78" w14:textId="2C652913" w:rsidR="005E7FDC" w:rsidRPr="000C43C5" w:rsidRDefault="00247EBC" w:rsidP="00247EBC">
      <w:pPr>
        <w:pStyle w:val="AParaNumbering"/>
        <w:rPr>
          <w:lang w:val="fr-CA"/>
        </w:rPr>
      </w:pPr>
      <w:r w:rsidRPr="000C43C5">
        <w:rPr>
          <w:lang w:val="fr-CA"/>
        </w:rPr>
        <w:t xml:space="preserve">Le comité d’audition dans la décision </w:t>
      </w:r>
      <w:r w:rsidR="005E7FDC" w:rsidRPr="000C43C5">
        <w:rPr>
          <w:i/>
          <w:lang w:val="fr-CA"/>
        </w:rPr>
        <w:t xml:space="preserve">Re Massiah, </w:t>
      </w:r>
      <w:r w:rsidRPr="000C43C5">
        <w:rPr>
          <w:i/>
          <w:lang w:val="fr-CA"/>
        </w:rPr>
        <w:t>Motifs de décision</w:t>
      </w:r>
      <w:r w:rsidR="005E7FDC" w:rsidRPr="000C43C5">
        <w:rPr>
          <w:lang w:val="fr-CA"/>
        </w:rPr>
        <w:t xml:space="preserve"> (</w:t>
      </w:r>
      <w:r w:rsidRPr="000C43C5">
        <w:rPr>
          <w:lang w:val="fr-CA"/>
        </w:rPr>
        <w:t>CEJP</w:t>
      </w:r>
      <w:r w:rsidR="00454567" w:rsidRPr="000C43C5">
        <w:rPr>
          <w:lang w:val="fr-CA"/>
        </w:rPr>
        <w:t xml:space="preserve">, </w:t>
      </w:r>
      <w:r w:rsidRPr="000C43C5">
        <w:rPr>
          <w:lang w:val="fr-CA"/>
        </w:rPr>
        <w:t>12 janvier</w:t>
      </w:r>
      <w:r w:rsidR="005E7FDC" w:rsidRPr="000C43C5">
        <w:rPr>
          <w:lang w:val="fr-CA"/>
        </w:rPr>
        <w:t xml:space="preserve"> 2015) </w:t>
      </w:r>
      <w:r w:rsidRPr="000C43C5">
        <w:rPr>
          <w:lang w:val="fr-CA"/>
        </w:rPr>
        <w:t>énonce les attentes en ce qui a trait à la conduite d’un officier de justice, en renvoyant aux remarques de la Cour suprême du Canada dans l’affaire</w:t>
      </w:r>
      <w:r w:rsidR="00891D29" w:rsidRPr="000C43C5">
        <w:rPr>
          <w:lang w:val="fr-CA"/>
        </w:rPr>
        <w:t xml:space="preserve"> </w:t>
      </w:r>
      <w:r w:rsidR="00891D29" w:rsidRPr="000C43C5">
        <w:rPr>
          <w:i/>
          <w:lang w:val="fr-CA"/>
        </w:rPr>
        <w:t>Re Therrien</w:t>
      </w:r>
      <w:r w:rsidR="00891D29" w:rsidRPr="000C43C5">
        <w:rPr>
          <w:rStyle w:val="FootnoteReference"/>
          <w:i/>
          <w:lang w:val="fr-CA"/>
        </w:rPr>
        <w:footnoteReference w:id="3"/>
      </w:r>
      <w:r w:rsidRPr="000C43C5">
        <w:rPr>
          <w:i/>
          <w:lang w:val="fr-CA"/>
        </w:rPr>
        <w:t xml:space="preserve">, </w:t>
      </w:r>
      <w:r w:rsidRPr="000C43C5">
        <w:rPr>
          <w:lang w:val="fr-CA"/>
        </w:rPr>
        <w:t xml:space="preserve">figurant dans cette décision sous l’en-tête Le rôle du juge : « une place à part » </w:t>
      </w:r>
      <w:r w:rsidR="000D5BD3" w:rsidRPr="000C43C5">
        <w:rPr>
          <w:lang w:val="fr-CA"/>
        </w:rPr>
        <w:t>:</w:t>
      </w:r>
    </w:p>
    <w:p w14:paraId="6E600D16" w14:textId="45E799A0" w:rsidR="00D5311A" w:rsidRPr="000C43C5" w:rsidRDefault="00247EBC" w:rsidP="00716A10">
      <w:pPr>
        <w:pStyle w:val="AParaNumbering"/>
        <w:numPr>
          <w:ilvl w:val="0"/>
          <w:numId w:val="41"/>
        </w:numPr>
        <w:spacing w:before="0" w:after="0" w:line="240" w:lineRule="auto"/>
        <w:ind w:right="571"/>
        <w:rPr>
          <w:lang w:val="fr-CA"/>
        </w:rPr>
      </w:pPr>
      <w:r w:rsidRPr="000C43C5">
        <w:rPr>
          <w:lang w:val="fr-CA"/>
        </w:rPr>
        <w:t xml:space="preserve">En raison du rôle très particulier que jouent les officiers de justice dans la démocratie constitutionnelle, du pouvoir dont ils jouissent et de l’estime dans laquelle ils sont tenus, les juges et les juges de paix doivent se conduire d’une façon exemplaire </w:t>
      </w:r>
      <w:r w:rsidR="005E7FDC" w:rsidRPr="000C43C5">
        <w:rPr>
          <w:lang w:val="fr-CA"/>
        </w:rPr>
        <w:t>– no</w:t>
      </w:r>
      <w:r w:rsidR="00FD316F" w:rsidRPr="000C43C5">
        <w:rPr>
          <w:lang w:val="fr-CA"/>
        </w:rPr>
        <w:t>n seulement au tribunal, mais aussi en</w:t>
      </w:r>
      <w:r w:rsidR="00887FC6">
        <w:rPr>
          <w:lang w:val="fr-CA"/>
        </w:rPr>
        <w:t xml:space="preserve"> </w:t>
      </w:r>
      <w:r w:rsidR="00FD316F" w:rsidRPr="000C43C5">
        <w:rPr>
          <w:lang w:val="fr-CA"/>
        </w:rPr>
        <w:t>dehors du tribunal</w:t>
      </w:r>
      <w:r w:rsidR="005E7FDC" w:rsidRPr="000C43C5">
        <w:rPr>
          <w:lang w:val="fr-CA"/>
        </w:rPr>
        <w:t xml:space="preserve">. </w:t>
      </w:r>
      <w:r w:rsidR="00FD316F" w:rsidRPr="000C43C5">
        <w:rPr>
          <w:lang w:val="fr-CA"/>
        </w:rPr>
        <w:t>Comme l’a affirmé la Cour suprême dans l’arrêt</w:t>
      </w:r>
      <w:r w:rsidR="00D5311A" w:rsidRPr="000C43C5">
        <w:rPr>
          <w:lang w:val="fr-CA"/>
        </w:rPr>
        <w:t xml:space="preserve"> </w:t>
      </w:r>
      <w:r w:rsidR="00D5311A" w:rsidRPr="000C43C5">
        <w:rPr>
          <w:i/>
          <w:iCs/>
          <w:lang w:val="fr-CA"/>
        </w:rPr>
        <w:t>Therrien (Re</w:t>
      </w:r>
      <w:r w:rsidR="00D5311A" w:rsidRPr="000C43C5">
        <w:rPr>
          <w:lang w:val="fr-CA"/>
        </w:rPr>
        <w:t xml:space="preserve">), 2001 </w:t>
      </w:r>
      <w:r w:rsidR="00FD316F" w:rsidRPr="000C43C5">
        <w:rPr>
          <w:lang w:val="fr-CA"/>
        </w:rPr>
        <w:t>CSS</w:t>
      </w:r>
      <w:r w:rsidR="00D5311A" w:rsidRPr="000C43C5">
        <w:rPr>
          <w:lang w:val="fr-CA"/>
        </w:rPr>
        <w:t xml:space="preserve"> 35, [2001] 2 </w:t>
      </w:r>
      <w:r w:rsidR="00FD316F" w:rsidRPr="000C43C5">
        <w:rPr>
          <w:lang w:val="fr-CA"/>
        </w:rPr>
        <w:t>R</w:t>
      </w:r>
      <w:r w:rsidR="00D5311A" w:rsidRPr="000C43C5">
        <w:rPr>
          <w:lang w:val="fr-CA"/>
        </w:rPr>
        <w:t>.C.</w:t>
      </w:r>
      <w:r w:rsidR="00FD316F" w:rsidRPr="000C43C5">
        <w:rPr>
          <w:lang w:val="fr-CA"/>
        </w:rPr>
        <w:t>S</w:t>
      </w:r>
      <w:r w:rsidR="00D5311A" w:rsidRPr="000C43C5">
        <w:rPr>
          <w:lang w:val="fr-CA"/>
        </w:rPr>
        <w:t>. 3, a</w:t>
      </w:r>
      <w:r w:rsidR="00FD316F" w:rsidRPr="000C43C5">
        <w:rPr>
          <w:lang w:val="fr-CA"/>
        </w:rPr>
        <w:t>ux</w:t>
      </w:r>
      <w:r w:rsidR="00D5311A" w:rsidRPr="000C43C5">
        <w:rPr>
          <w:lang w:val="fr-CA"/>
        </w:rPr>
        <w:t xml:space="preserve"> paras. 110-11</w:t>
      </w:r>
      <w:r w:rsidR="006F3F3F" w:rsidRPr="000C43C5">
        <w:rPr>
          <w:lang w:val="fr-CA"/>
        </w:rPr>
        <w:t>1</w:t>
      </w:r>
      <w:r w:rsidR="00FD316F" w:rsidRPr="000C43C5">
        <w:rPr>
          <w:lang w:val="fr-CA"/>
        </w:rPr>
        <w:t xml:space="preserve"> </w:t>
      </w:r>
      <w:r w:rsidR="00D5311A" w:rsidRPr="000C43C5">
        <w:rPr>
          <w:lang w:val="fr-CA"/>
        </w:rPr>
        <w:t>:</w:t>
      </w:r>
    </w:p>
    <w:p w14:paraId="7C28A016" w14:textId="77777777" w:rsidR="0016058C" w:rsidRPr="000C43C5" w:rsidRDefault="0016058C" w:rsidP="00FC5E68">
      <w:pPr>
        <w:pBdr>
          <w:top w:val="nil"/>
          <w:left w:val="nil"/>
          <w:bottom w:val="nil"/>
          <w:right w:val="nil"/>
          <w:between w:val="nil"/>
          <w:bar w:val="nil"/>
        </w:pBdr>
        <w:tabs>
          <w:tab w:val="left" w:pos="2127"/>
        </w:tabs>
        <w:ind w:left="2268" w:right="1422"/>
        <w:jc w:val="both"/>
        <w:rPr>
          <w:rFonts w:ascii="Arial" w:eastAsia="Arial Unicode MS" w:hAnsi="Arial" w:cs="Arial"/>
          <w:color w:val="000000"/>
          <w:u w:color="000000"/>
          <w:bdr w:val="nil"/>
          <w:lang w:val="fr-CA"/>
        </w:rPr>
      </w:pPr>
    </w:p>
    <w:p w14:paraId="4EDDE61C" w14:textId="05415611" w:rsidR="0003146D" w:rsidRPr="000C43C5" w:rsidRDefault="0003146D" w:rsidP="0003146D">
      <w:pPr>
        <w:keepNext/>
        <w:autoSpaceDE w:val="0"/>
        <w:autoSpaceDN w:val="0"/>
        <w:ind w:left="1134" w:firstLine="992"/>
        <w:jc w:val="both"/>
        <w:rPr>
          <w:rFonts w:ascii="Arial" w:hAnsi="Arial" w:cs="Arial"/>
          <w:u w:val="single"/>
          <w:lang w:val="fr-CA"/>
        </w:rPr>
      </w:pPr>
      <w:r w:rsidRPr="000C43C5">
        <w:rPr>
          <w:rFonts w:ascii="Arial" w:hAnsi="Arial" w:cs="Arial"/>
          <w:lang w:val="fr-CA"/>
        </w:rPr>
        <w:t> </w:t>
      </w:r>
      <w:r w:rsidR="00FD316F" w:rsidRPr="000C43C5">
        <w:rPr>
          <w:rFonts w:ascii="Arial" w:hAnsi="Arial" w:cs="Arial"/>
          <w:u w:val="single"/>
          <w:lang w:val="fr-CA"/>
        </w:rPr>
        <w:t>Le rôle du juge : « une place à part »</w:t>
      </w:r>
    </w:p>
    <w:p w14:paraId="21A97B1D" w14:textId="77777777" w:rsidR="0003146D" w:rsidRPr="000C43C5" w:rsidRDefault="0003146D" w:rsidP="00FC5E68">
      <w:pPr>
        <w:pBdr>
          <w:top w:val="nil"/>
          <w:left w:val="nil"/>
          <w:bottom w:val="nil"/>
          <w:right w:val="nil"/>
          <w:between w:val="nil"/>
          <w:bar w:val="nil"/>
        </w:pBdr>
        <w:tabs>
          <w:tab w:val="left" w:pos="2127"/>
        </w:tabs>
        <w:ind w:left="2268" w:right="1422"/>
        <w:jc w:val="both"/>
        <w:rPr>
          <w:rFonts w:ascii="Arial" w:eastAsia="Arial Unicode MS" w:hAnsi="Arial" w:cs="Arial"/>
          <w:color w:val="000000"/>
          <w:u w:color="000000"/>
          <w:bdr w:val="nil"/>
          <w:lang w:val="fr-CA"/>
        </w:rPr>
      </w:pPr>
    </w:p>
    <w:p w14:paraId="20B5A7A3" w14:textId="7B4A7632" w:rsidR="00D5311A" w:rsidRPr="000C43C5" w:rsidRDefault="00D5311A" w:rsidP="00FC5E68">
      <w:pPr>
        <w:pBdr>
          <w:top w:val="nil"/>
          <w:left w:val="nil"/>
          <w:bottom w:val="nil"/>
          <w:right w:val="nil"/>
          <w:between w:val="nil"/>
          <w:bar w:val="nil"/>
        </w:pBdr>
        <w:tabs>
          <w:tab w:val="left" w:pos="2127"/>
        </w:tabs>
        <w:ind w:left="2268" w:right="1422"/>
        <w:jc w:val="both"/>
        <w:rPr>
          <w:rFonts w:ascii="Arial" w:eastAsia="Arial" w:hAnsi="Arial" w:cs="Arial"/>
          <w:i/>
          <w:iCs/>
          <w:color w:val="000000"/>
          <w:u w:color="000000"/>
          <w:bdr w:val="nil"/>
          <w:lang w:val="fr-CA"/>
        </w:rPr>
      </w:pPr>
      <w:r w:rsidRPr="000C43C5">
        <w:rPr>
          <w:rFonts w:ascii="Arial" w:eastAsia="Arial Unicode MS" w:hAnsi="Arial" w:cs="Arial"/>
          <w:color w:val="000000"/>
          <w:u w:color="000000"/>
          <w:bdr w:val="nil"/>
          <w:lang w:val="fr-CA"/>
        </w:rPr>
        <w:t xml:space="preserve">110. </w:t>
      </w:r>
      <w:r w:rsidR="00FD316F" w:rsidRPr="000C43C5">
        <w:rPr>
          <w:rFonts w:ascii="Arial" w:eastAsia="Arial Unicode MS" w:hAnsi="Arial" w:cs="Arial"/>
          <w:color w:val="000000"/>
          <w:u w:color="000000"/>
          <w:bdr w:val="nil"/>
          <w:lang w:val="fr-CA"/>
        </w:rPr>
        <w:t>En ce sens, les qualités personnelles, la conduite et l'image que le juge projette sont tributaires de celles de l'ensemble du système judiciaire et, par le fait même, de la confiance que le public place en celui-ci.</w:t>
      </w:r>
      <w:r w:rsidRPr="000C43C5">
        <w:rPr>
          <w:rFonts w:ascii="Arial" w:eastAsia="Arial Unicode MS" w:hAnsi="Arial" w:cs="Arial"/>
          <w:color w:val="000000"/>
          <w:u w:color="000000"/>
          <w:bdr w:val="nil"/>
          <w:lang w:val="fr-CA"/>
        </w:rPr>
        <w:t xml:space="preserve"> </w:t>
      </w:r>
      <w:r w:rsidR="00FD316F" w:rsidRPr="000C43C5">
        <w:rPr>
          <w:rFonts w:ascii="Arial" w:eastAsia="Arial Unicode MS" w:hAnsi="Arial" w:cs="Arial"/>
          <w:color w:val="000000"/>
          <w:u w:color="000000"/>
          <w:bdr w:val="nil"/>
          <w:lang w:val="fr-CA"/>
        </w:rPr>
        <w:t>Le maintien de cette confiance du public en son système de justice est garant de son efficacité et de son bon fonctionnement</w:t>
      </w:r>
      <w:r w:rsidRPr="000C43C5">
        <w:rPr>
          <w:rFonts w:ascii="Arial" w:eastAsia="Arial Unicode MS" w:hAnsi="Arial" w:cs="Arial"/>
          <w:color w:val="000000"/>
          <w:u w:color="000000"/>
          <w:bdr w:val="nil"/>
          <w:lang w:val="fr-CA"/>
        </w:rPr>
        <w:t xml:space="preserve">. </w:t>
      </w:r>
      <w:r w:rsidR="00FD316F" w:rsidRPr="000C43C5">
        <w:rPr>
          <w:rFonts w:ascii="Arial" w:eastAsia="Arial Unicode MS" w:hAnsi="Arial" w:cs="Arial"/>
          <w:color w:val="000000"/>
          <w:u w:color="000000"/>
          <w:bdr w:val="nil"/>
          <w:lang w:val="fr-CA"/>
        </w:rPr>
        <w:t>Bien plus, la confiance du public assure le bien-être général et la paix sociale en maintenant un État de droit</w:t>
      </w:r>
      <w:r w:rsidRPr="000C43C5">
        <w:rPr>
          <w:rFonts w:ascii="Arial" w:eastAsia="Arial Unicode MS" w:hAnsi="Arial" w:cs="Arial"/>
          <w:color w:val="000000"/>
          <w:u w:color="000000"/>
          <w:bdr w:val="nil"/>
          <w:lang w:val="fr-CA"/>
        </w:rPr>
        <w:t xml:space="preserve">. </w:t>
      </w:r>
      <w:r w:rsidR="00FD316F" w:rsidRPr="000C43C5">
        <w:rPr>
          <w:rFonts w:ascii="Arial" w:eastAsia="Arial Unicode MS" w:hAnsi="Arial" w:cs="Arial"/>
          <w:color w:val="000000"/>
          <w:u w:color="000000"/>
          <w:bdr w:val="nil"/>
          <w:lang w:val="fr-CA"/>
        </w:rPr>
        <w:t xml:space="preserve">Dans un ouvrage destiné à ses membres, le Conseil canadien de la magistrature explique </w:t>
      </w:r>
      <w:r w:rsidRPr="000C43C5">
        <w:rPr>
          <w:rFonts w:ascii="Arial" w:eastAsia="Arial Unicode MS" w:hAnsi="Arial" w:cs="Arial"/>
          <w:color w:val="000000"/>
          <w:u w:color="000000"/>
          <w:bdr w:val="nil"/>
          <w:lang w:val="fr-CA"/>
        </w:rPr>
        <w:t>:</w:t>
      </w:r>
    </w:p>
    <w:p w14:paraId="73ECE8C3" w14:textId="77777777" w:rsidR="00D5311A" w:rsidRPr="000C43C5" w:rsidRDefault="00D5311A" w:rsidP="006143F5">
      <w:pPr>
        <w:pBdr>
          <w:top w:val="nil"/>
          <w:left w:val="nil"/>
          <w:bottom w:val="nil"/>
          <w:right w:val="nil"/>
          <w:between w:val="nil"/>
          <w:bar w:val="nil"/>
        </w:pBdr>
        <w:tabs>
          <w:tab w:val="left" w:pos="1260"/>
          <w:tab w:val="left" w:pos="2127"/>
          <w:tab w:val="left" w:pos="7938"/>
        </w:tabs>
        <w:ind w:left="2268" w:right="720"/>
        <w:jc w:val="both"/>
        <w:rPr>
          <w:rFonts w:ascii="Arial" w:eastAsia="Arial" w:hAnsi="Arial" w:cs="Arial"/>
          <w:i/>
          <w:iCs/>
          <w:color w:val="000000"/>
          <w:u w:color="000000"/>
          <w:bdr w:val="nil"/>
          <w:lang w:val="fr-CA"/>
        </w:rPr>
      </w:pPr>
    </w:p>
    <w:p w14:paraId="62AA64CB" w14:textId="49731C3E" w:rsidR="00D5311A" w:rsidRPr="000C43C5" w:rsidRDefault="00FD316F" w:rsidP="0016058C">
      <w:pPr>
        <w:pBdr>
          <w:top w:val="nil"/>
          <w:left w:val="nil"/>
          <w:bottom w:val="nil"/>
          <w:right w:val="nil"/>
          <w:between w:val="nil"/>
          <w:bar w:val="nil"/>
        </w:pBdr>
        <w:ind w:left="2835" w:right="1990"/>
        <w:jc w:val="both"/>
        <w:rPr>
          <w:rFonts w:ascii="Arial" w:eastAsia="Arial" w:hAnsi="Arial" w:cs="Arial"/>
          <w:i/>
          <w:iCs/>
          <w:color w:val="000000"/>
          <w:u w:color="000000"/>
          <w:bdr w:val="nil"/>
          <w:lang w:val="fr-CA"/>
        </w:rPr>
      </w:pPr>
      <w:r w:rsidRPr="000C43C5">
        <w:rPr>
          <w:rFonts w:ascii="Arial" w:eastAsia="Arial Unicode MS" w:hAnsi="Arial" w:cs="Arial"/>
          <w:color w:val="000000"/>
          <w:u w:color="000000"/>
          <w:bdr w:val="nil"/>
          <w:lang w:val="fr-CA"/>
        </w:rPr>
        <w:t>La confiance et le respect que le public porte à la magistrature sont essentiels à l'efficacité de notre système de justice et, ultimement, à l'existence d'une démocratie fondée sur la primauté du droit.</w:t>
      </w:r>
      <w:r w:rsidR="00D5311A" w:rsidRPr="000C43C5">
        <w:rPr>
          <w:rFonts w:ascii="Arial" w:eastAsia="Arial Unicode MS" w:hAnsi="Arial" w:cs="Arial"/>
          <w:color w:val="000000"/>
          <w:u w:color="000000"/>
          <w:bdr w:val="nil"/>
          <w:lang w:val="fr-CA"/>
        </w:rPr>
        <w:t xml:space="preserve"> </w:t>
      </w:r>
      <w:r w:rsidRPr="000C43C5">
        <w:rPr>
          <w:rFonts w:ascii="Arial" w:eastAsia="Arial Unicode MS" w:hAnsi="Arial" w:cs="Arial"/>
          <w:color w:val="000000"/>
          <w:u w:color="000000"/>
          <w:bdr w:val="nil"/>
          <w:lang w:val="fr-CA"/>
        </w:rPr>
        <w:t>De nombreux facteurs peuvent ébranler la confiance et le respect du public à l'égard de la magistrature, notamment : des critiques injustifiées ou malavisées; de simples malentendus sur le rôle de la magistrature; ou encore toute conduite de juges, en cour ou hors cour, démontrant un manque d'intégrité</w:t>
      </w:r>
      <w:r w:rsidR="00D5311A" w:rsidRPr="000C43C5">
        <w:rPr>
          <w:rFonts w:ascii="Arial" w:eastAsia="Arial Unicode MS" w:hAnsi="Arial" w:cs="Arial"/>
          <w:color w:val="000000"/>
          <w:u w:color="000000"/>
          <w:bdr w:val="nil"/>
          <w:lang w:val="fr-CA"/>
        </w:rPr>
        <w:t xml:space="preserve">. </w:t>
      </w:r>
      <w:r w:rsidRPr="000C43C5">
        <w:rPr>
          <w:rFonts w:ascii="Arial" w:eastAsia="Arial Unicode MS" w:hAnsi="Arial" w:cs="Arial"/>
          <w:color w:val="000000"/>
          <w:u w:color="000000"/>
          <w:bdr w:val="nil"/>
          <w:lang w:val="fr-CA"/>
        </w:rPr>
        <w:t>Par conséquent, les juges doivent s'efforcer d'avoir une conduite qui leur mérite le respect du public et ils doivent cultiver une image d'intégrité, d'impartialité et de bon jugement</w:t>
      </w:r>
      <w:r w:rsidR="00D5311A" w:rsidRPr="000C43C5">
        <w:rPr>
          <w:rFonts w:ascii="Arial" w:eastAsia="Arial Unicode MS" w:hAnsi="Arial" w:cs="Arial"/>
          <w:color w:val="000000"/>
          <w:u w:color="000000"/>
          <w:bdr w:val="nil"/>
          <w:lang w:val="fr-CA"/>
        </w:rPr>
        <w:t>.</w:t>
      </w:r>
    </w:p>
    <w:p w14:paraId="3DE9A593" w14:textId="77777777" w:rsidR="00D5311A" w:rsidRPr="000C43C5" w:rsidRDefault="00D5311A" w:rsidP="006143F5">
      <w:pPr>
        <w:pBdr>
          <w:top w:val="nil"/>
          <w:left w:val="nil"/>
          <w:bottom w:val="nil"/>
          <w:right w:val="nil"/>
          <w:between w:val="nil"/>
          <w:bar w:val="nil"/>
        </w:pBdr>
        <w:ind w:left="2835" w:right="1989"/>
        <w:jc w:val="both"/>
        <w:rPr>
          <w:rFonts w:ascii="Arial" w:eastAsia="Arial Unicode MS" w:hAnsi="Arial" w:cs="Arial"/>
          <w:color w:val="000000"/>
          <w:u w:color="000000"/>
          <w:bdr w:val="nil"/>
          <w:lang w:val="fr-CA"/>
        </w:rPr>
      </w:pPr>
    </w:p>
    <w:p w14:paraId="4781CC79" w14:textId="21C6C942" w:rsidR="00D5311A" w:rsidRPr="000C43C5" w:rsidRDefault="00FD316F" w:rsidP="006143F5">
      <w:pPr>
        <w:pBdr>
          <w:top w:val="nil"/>
          <w:left w:val="nil"/>
          <w:bottom w:val="nil"/>
          <w:right w:val="nil"/>
          <w:between w:val="nil"/>
          <w:bar w:val="nil"/>
        </w:pBdr>
        <w:ind w:left="2835" w:right="1989"/>
        <w:jc w:val="both"/>
        <w:rPr>
          <w:rFonts w:ascii="Arial" w:eastAsia="Arial Unicode MS" w:hAnsi="Arial" w:cs="Arial"/>
          <w:color w:val="000000"/>
          <w:u w:color="000000"/>
          <w:bdr w:val="nil"/>
          <w:lang w:val="fr-CA"/>
        </w:rPr>
      </w:pPr>
      <w:r w:rsidRPr="000C43C5">
        <w:rPr>
          <w:rFonts w:ascii="Arial" w:eastAsia="Arial Unicode MS" w:hAnsi="Arial" w:cs="Arial"/>
          <w:color w:val="000000"/>
          <w:u w:color="000000"/>
          <w:bdr w:val="nil"/>
          <w:lang w:val="fr-CA"/>
        </w:rPr>
        <w:t>(Conseil canadien de la magistrature, Principes de déontologie judiciaire (1998), p. 14)</w:t>
      </w:r>
    </w:p>
    <w:p w14:paraId="5C939DE7" w14:textId="77777777" w:rsidR="0003146D" w:rsidRPr="000C43C5" w:rsidRDefault="0003146D" w:rsidP="006143F5">
      <w:pPr>
        <w:pBdr>
          <w:top w:val="nil"/>
          <w:left w:val="nil"/>
          <w:bottom w:val="nil"/>
          <w:right w:val="nil"/>
          <w:between w:val="nil"/>
          <w:bar w:val="nil"/>
        </w:pBdr>
        <w:ind w:left="2835" w:right="1989"/>
        <w:jc w:val="both"/>
        <w:rPr>
          <w:rFonts w:ascii="Arial" w:eastAsia="Arial" w:hAnsi="Arial" w:cs="Arial"/>
          <w:color w:val="000000"/>
          <w:u w:color="000000"/>
          <w:bdr w:val="nil"/>
          <w:lang w:val="fr-CA"/>
        </w:rPr>
      </w:pPr>
    </w:p>
    <w:p w14:paraId="3A0E8BF9" w14:textId="3B8005FE" w:rsidR="00D5311A" w:rsidRPr="000C43C5" w:rsidRDefault="00D5311A" w:rsidP="006143F5">
      <w:pPr>
        <w:pBdr>
          <w:top w:val="nil"/>
          <w:left w:val="nil"/>
          <w:bottom w:val="nil"/>
          <w:right w:val="nil"/>
          <w:between w:val="nil"/>
          <w:bar w:val="nil"/>
        </w:pBdr>
        <w:ind w:left="2268" w:right="1422"/>
        <w:jc w:val="both"/>
        <w:rPr>
          <w:rFonts w:ascii="Arial" w:eastAsia="Arial" w:hAnsi="Arial" w:cs="Arial"/>
          <w:color w:val="000000"/>
          <w:u w:color="000000"/>
          <w:bdr w:val="nil"/>
          <w:lang w:val="fr-CA"/>
        </w:rPr>
      </w:pPr>
      <w:r w:rsidRPr="000C43C5">
        <w:rPr>
          <w:rFonts w:ascii="Arial" w:eastAsia="Arial Unicode MS" w:hAnsi="Arial" w:cs="Arial"/>
          <w:color w:val="000000"/>
          <w:u w:color="000000"/>
          <w:bdr w:val="nil"/>
          <w:lang w:val="fr-CA"/>
        </w:rPr>
        <w:t xml:space="preserve">111. </w:t>
      </w:r>
      <w:r w:rsidR="00FD316F" w:rsidRPr="000C43C5">
        <w:rPr>
          <w:rFonts w:ascii="Arial" w:eastAsia="Arial Unicode MS" w:hAnsi="Arial" w:cs="Arial"/>
          <w:color w:val="000000"/>
          <w:u w:color="000000"/>
          <w:bdr w:val="nil"/>
          <w:lang w:val="fr-CA"/>
        </w:rPr>
        <w:t>La population exigera donc de celui qui exerce une fonction judiciaire une conduite quasi irréprochable</w:t>
      </w:r>
      <w:r w:rsidRPr="000C43C5">
        <w:rPr>
          <w:rFonts w:ascii="Arial" w:eastAsia="Arial Unicode MS" w:hAnsi="Arial" w:cs="Arial"/>
          <w:color w:val="000000"/>
          <w:u w:color="000000"/>
          <w:bdr w:val="nil"/>
          <w:lang w:val="fr-CA"/>
        </w:rPr>
        <w:t xml:space="preserve">. </w:t>
      </w:r>
      <w:r w:rsidR="00FD316F" w:rsidRPr="000C43C5">
        <w:rPr>
          <w:rFonts w:ascii="Arial" w:eastAsia="Arial Unicode MS" w:hAnsi="Arial" w:cs="Arial"/>
          <w:color w:val="000000"/>
          <w:u w:color="000000"/>
          <w:bdr w:val="nil"/>
          <w:lang w:val="fr-CA"/>
        </w:rPr>
        <w:t>À tout le moins exigera-t-on qu'il paraisse avoir un tel comportement.</w:t>
      </w:r>
      <w:r w:rsidRPr="000C43C5">
        <w:rPr>
          <w:rFonts w:ascii="Arial" w:eastAsia="Arial Unicode MS" w:hAnsi="Arial" w:cs="Arial"/>
          <w:color w:val="000000"/>
          <w:u w:color="000000"/>
          <w:bdr w:val="nil"/>
          <w:lang w:val="fr-CA"/>
        </w:rPr>
        <w:t xml:space="preserve"> </w:t>
      </w:r>
      <w:r w:rsidR="00FD316F" w:rsidRPr="000C43C5">
        <w:rPr>
          <w:rFonts w:ascii="Arial" w:eastAsia="Arial Unicode MS" w:hAnsi="Arial" w:cs="Arial"/>
          <w:color w:val="000000"/>
          <w:u w:color="000000"/>
          <w:bdr w:val="nil"/>
          <w:lang w:val="fr-CA"/>
        </w:rPr>
        <w:t>Il devra être et donner l'apparence d'être un exemple d'impartialité, d'indépendance et d'intégrité.</w:t>
      </w:r>
      <w:r w:rsidRPr="000C43C5">
        <w:rPr>
          <w:rFonts w:ascii="Arial" w:eastAsia="Arial Unicode MS" w:hAnsi="Arial" w:cs="Arial"/>
          <w:color w:val="000000"/>
          <w:u w:color="000000"/>
          <w:bdr w:val="nil"/>
          <w:lang w:val="fr-CA"/>
        </w:rPr>
        <w:t xml:space="preserve"> </w:t>
      </w:r>
      <w:r w:rsidR="00FD316F" w:rsidRPr="000C43C5">
        <w:rPr>
          <w:rFonts w:ascii="Arial" w:eastAsia="Arial Unicode MS" w:hAnsi="Arial" w:cs="Arial"/>
          <w:color w:val="000000"/>
          <w:u w:color="000000"/>
          <w:bdr w:val="nil"/>
          <w:lang w:val="fr-CA"/>
        </w:rPr>
        <w:t>Les exigences à son endroit se situent à un niveau bien supérieur à celui de ses concitoyens</w:t>
      </w:r>
      <w:r w:rsidRPr="000C43C5">
        <w:rPr>
          <w:rFonts w:ascii="Arial" w:eastAsia="Arial Unicode MS" w:hAnsi="Arial" w:cs="Arial"/>
          <w:color w:val="000000"/>
          <w:u w:color="000000"/>
          <w:bdr w:val="nil"/>
          <w:lang w:val="fr-CA"/>
        </w:rPr>
        <w:t>.</w:t>
      </w:r>
    </w:p>
    <w:p w14:paraId="5B1CA732" w14:textId="0D8A1627" w:rsidR="00D5311A" w:rsidRPr="000C43C5" w:rsidRDefault="000337B5" w:rsidP="006143F5">
      <w:pPr>
        <w:pBdr>
          <w:top w:val="nil"/>
          <w:left w:val="nil"/>
          <w:bottom w:val="nil"/>
          <w:right w:val="nil"/>
          <w:between w:val="nil"/>
          <w:bar w:val="nil"/>
        </w:pBdr>
        <w:ind w:left="720" w:firstLine="3675"/>
        <w:jc w:val="both"/>
        <w:rPr>
          <w:rFonts w:ascii="Arial" w:eastAsia="Arial" w:hAnsi="Arial" w:cs="Arial"/>
          <w:color w:val="000000"/>
          <w:u w:color="000000"/>
          <w:bdr w:val="nil"/>
          <w:lang w:val="fr-CA"/>
        </w:rPr>
      </w:pPr>
      <w:r w:rsidRPr="000C43C5">
        <w:rPr>
          <w:rFonts w:ascii="Arial" w:eastAsia="Arial" w:hAnsi="Arial" w:cs="Arial"/>
          <w:color w:val="000000"/>
          <w:u w:color="000000"/>
          <w:bdr w:val="nil"/>
          <w:lang w:val="fr-CA"/>
        </w:rPr>
        <w:t>….</w:t>
      </w:r>
    </w:p>
    <w:p w14:paraId="72E08073" w14:textId="0CC1A6D0" w:rsidR="00D5311A" w:rsidRPr="000C43C5" w:rsidRDefault="00E90DA6" w:rsidP="00BF514D">
      <w:pPr>
        <w:pStyle w:val="AParaNumbering"/>
        <w:numPr>
          <w:ilvl w:val="0"/>
          <w:numId w:val="0"/>
        </w:numPr>
        <w:ind w:left="1134"/>
        <w:rPr>
          <w:rFonts w:eastAsia="Arial Unicode MS"/>
          <w:u w:color="000000"/>
          <w:bdr w:val="nil"/>
          <w:lang w:val="fr-CA"/>
        </w:rPr>
      </w:pPr>
      <w:r w:rsidRPr="000C43C5">
        <w:rPr>
          <w:rFonts w:eastAsia="Arial Unicode MS"/>
          <w:u w:color="000000"/>
          <w:bdr w:val="nil"/>
          <w:lang w:val="fr-CA"/>
        </w:rPr>
        <w:t xml:space="preserve">17. </w:t>
      </w:r>
      <w:r w:rsidR="009B0B2E" w:rsidRPr="000C43C5">
        <w:rPr>
          <w:rFonts w:eastAsia="Arial Unicode MS"/>
          <w:u w:color="000000"/>
          <w:bdr w:val="nil"/>
          <w:lang w:val="fr-CA"/>
        </w:rPr>
        <w:tab/>
      </w:r>
      <w:r w:rsidR="00572692" w:rsidRPr="000C43C5">
        <w:rPr>
          <w:rFonts w:eastAsia="Arial Unicode MS"/>
          <w:u w:color="000000"/>
          <w:bdr w:val="nil"/>
          <w:lang w:val="fr-CA"/>
        </w:rPr>
        <w:t xml:space="preserve">Il n’y a pas de différence entre les normes de conduite applicables aux juges et celles applicables aux juges de paix de la Cour de justice de l’Ontario. Ils sont tous des </w:t>
      </w:r>
      <w:r w:rsidR="009F2818">
        <w:rPr>
          <w:rFonts w:eastAsia="Arial Unicode MS"/>
          <w:u w:color="000000"/>
          <w:bdr w:val="nil"/>
          <w:lang w:val="fr-CA"/>
        </w:rPr>
        <w:t>fonctionnaires judiciaires</w:t>
      </w:r>
      <w:r w:rsidR="00572692" w:rsidRPr="000C43C5">
        <w:rPr>
          <w:rFonts w:eastAsia="Arial Unicode MS"/>
          <w:u w:color="000000"/>
          <w:bdr w:val="nil"/>
          <w:lang w:val="fr-CA"/>
        </w:rPr>
        <w:t xml:space="preserve"> </w:t>
      </w:r>
      <w:r w:rsidR="009F2818">
        <w:rPr>
          <w:rFonts w:eastAsia="Arial Unicode MS"/>
          <w:u w:color="000000"/>
          <w:bdr w:val="nil"/>
          <w:lang w:val="fr-CA"/>
        </w:rPr>
        <w:t xml:space="preserve">et officiers de justice </w:t>
      </w:r>
      <w:r w:rsidR="00572692" w:rsidRPr="000C43C5">
        <w:rPr>
          <w:rFonts w:eastAsia="Arial Unicode MS"/>
          <w:u w:color="000000"/>
          <w:bdr w:val="nil"/>
          <w:lang w:val="fr-CA"/>
        </w:rPr>
        <w:t xml:space="preserve">de la Cour </w:t>
      </w:r>
      <w:r w:rsidR="00D5311A" w:rsidRPr="000C43C5">
        <w:rPr>
          <w:rFonts w:eastAsia="Arial Unicode MS"/>
          <w:u w:color="000000"/>
          <w:bdr w:val="nil"/>
          <w:lang w:val="fr-CA"/>
        </w:rPr>
        <w:t>:</w:t>
      </w:r>
    </w:p>
    <w:p w14:paraId="613EAEBE" w14:textId="29285D8C" w:rsidR="00D5311A" w:rsidRPr="000C43C5" w:rsidRDefault="00FD316F" w:rsidP="00DC650B">
      <w:pPr>
        <w:pBdr>
          <w:top w:val="nil"/>
          <w:left w:val="nil"/>
          <w:bottom w:val="nil"/>
          <w:right w:val="nil"/>
          <w:between w:val="nil"/>
          <w:bar w:val="nil"/>
        </w:pBdr>
        <w:ind w:left="1843" w:right="856"/>
        <w:jc w:val="both"/>
        <w:rPr>
          <w:rFonts w:ascii="Arial" w:eastAsia="Arial Unicode MS" w:hAnsi="Arial" w:cs="Arial"/>
          <w:color w:val="000000"/>
          <w:u w:color="000000"/>
          <w:bdr w:val="nil"/>
          <w:lang w:val="fr-CA"/>
        </w:rPr>
      </w:pPr>
      <w:r w:rsidRPr="000C43C5">
        <w:rPr>
          <w:rFonts w:ascii="Arial" w:eastAsia="Arial Unicode MS" w:hAnsi="Arial" w:cs="Arial"/>
          <w:color w:val="000000"/>
          <w:u w:color="000000"/>
          <w:bdr w:val="nil"/>
          <w:lang w:val="fr-CA"/>
        </w:rPr>
        <w:t xml:space="preserve">Un juge de paix de l’Ontario est un fonctionnaire judiciaire nommé conformément à la </w:t>
      </w:r>
      <w:r w:rsidRPr="000C43C5">
        <w:rPr>
          <w:rFonts w:ascii="Arial" w:eastAsia="Arial Unicode MS" w:hAnsi="Arial" w:cs="Arial"/>
          <w:i/>
          <w:color w:val="000000"/>
          <w:u w:color="000000"/>
          <w:bdr w:val="nil"/>
          <w:lang w:val="fr-CA"/>
        </w:rPr>
        <w:t>Loi sur les juges de paix</w:t>
      </w:r>
      <w:r w:rsidRPr="000C43C5">
        <w:rPr>
          <w:rFonts w:ascii="Arial" w:eastAsia="Arial Unicode MS" w:hAnsi="Arial" w:cs="Arial"/>
          <w:color w:val="000000"/>
          <w:u w:color="000000"/>
          <w:bdr w:val="nil"/>
          <w:lang w:val="fr-CA"/>
        </w:rPr>
        <w:t xml:space="preserve">, L.R.O. 1990, ch. J.4. La Loi confère aux juges de paix la compétence judiciaire dans tout l’Ontario, elle établit le cadre dans lequel ils sont nommés et doivent remplir leurs fonctions, et fixe les </w:t>
      </w:r>
      <w:r w:rsidRPr="000C43C5">
        <w:rPr>
          <w:rFonts w:ascii="Arial" w:eastAsia="Arial Unicode MS" w:hAnsi="Arial" w:cs="Arial"/>
          <w:color w:val="000000"/>
          <w:u w:color="000000"/>
          <w:bdr w:val="nil"/>
          <w:lang w:val="fr-CA"/>
        </w:rPr>
        <w:lastRenderedPageBreak/>
        <w:t>conditions dans lesquelles ils doivent s’acquitter de leurs responsabilités</w:t>
      </w:r>
      <w:r w:rsidR="00D5311A" w:rsidRPr="000C43C5">
        <w:rPr>
          <w:rFonts w:ascii="Arial" w:eastAsia="Arial Unicode MS" w:hAnsi="Arial" w:cs="Arial"/>
          <w:color w:val="000000"/>
          <w:u w:color="000000"/>
          <w:bdr w:val="nil"/>
          <w:lang w:val="fr-CA"/>
        </w:rPr>
        <w:t>...</w:t>
      </w:r>
      <w:r w:rsidRPr="000C43C5">
        <w:rPr>
          <w:lang w:val="fr-CA"/>
        </w:rPr>
        <w:t xml:space="preserve"> </w:t>
      </w:r>
      <w:r w:rsidRPr="000C43C5">
        <w:rPr>
          <w:rFonts w:ascii="Arial" w:eastAsia="Arial Unicode MS" w:hAnsi="Arial" w:cs="Arial"/>
          <w:color w:val="000000"/>
          <w:u w:color="000000"/>
          <w:bdr w:val="nil"/>
          <w:lang w:val="fr-CA"/>
        </w:rPr>
        <w:t xml:space="preserve">Les pouvoirs et fonctions d’un juge de paix sont énoncés dans les textes de loi et la jurisprudence. Deux des lois de l’Ontario les plus importantes habilitant les juges de paix sont le </w:t>
      </w:r>
      <w:r w:rsidRPr="000C43C5">
        <w:rPr>
          <w:rFonts w:ascii="Arial" w:eastAsia="Arial Unicode MS" w:hAnsi="Arial" w:cs="Arial"/>
          <w:i/>
          <w:color w:val="000000"/>
          <w:u w:color="000000"/>
          <w:bdr w:val="nil"/>
          <w:lang w:val="fr-CA"/>
        </w:rPr>
        <w:t>Code criminel</w:t>
      </w:r>
      <w:r w:rsidRPr="000C43C5">
        <w:rPr>
          <w:rFonts w:ascii="Arial" w:eastAsia="Arial Unicode MS" w:hAnsi="Arial" w:cs="Arial"/>
          <w:color w:val="000000"/>
          <w:u w:color="000000"/>
          <w:bdr w:val="nil"/>
          <w:lang w:val="fr-CA"/>
        </w:rPr>
        <w:t xml:space="preserve"> et la </w:t>
      </w:r>
      <w:r w:rsidRPr="000C43C5">
        <w:rPr>
          <w:rFonts w:ascii="Arial" w:eastAsia="Arial Unicode MS" w:hAnsi="Arial" w:cs="Arial"/>
          <w:i/>
          <w:color w:val="000000"/>
          <w:u w:color="000000"/>
          <w:bdr w:val="nil"/>
          <w:lang w:val="fr-CA"/>
        </w:rPr>
        <w:t>Loi sur les infractions provinciales</w:t>
      </w:r>
      <w:r w:rsidRPr="000C43C5">
        <w:rPr>
          <w:rFonts w:ascii="Arial" w:eastAsia="Arial Unicode MS" w:hAnsi="Arial" w:cs="Arial"/>
          <w:color w:val="000000"/>
          <w:u w:color="000000"/>
          <w:bdr w:val="nil"/>
          <w:lang w:val="fr-CA"/>
        </w:rPr>
        <w:t>; toutefois de nombreux autres lois et règlements fédéraux et provinciaux reconnaissent l’autorité légale et/ou la compétence des juges de paix. Leurs deux principaux domaines de compétence sont le droit criminel et le droit réglementaire (infractions provinciales).</w:t>
      </w:r>
    </w:p>
    <w:p w14:paraId="7609C9C5" w14:textId="77777777" w:rsidR="008F18D1" w:rsidRPr="000C43C5" w:rsidRDefault="008F18D1" w:rsidP="00DC650B">
      <w:pPr>
        <w:pBdr>
          <w:top w:val="nil"/>
          <w:left w:val="nil"/>
          <w:bottom w:val="nil"/>
          <w:right w:val="nil"/>
          <w:between w:val="nil"/>
          <w:bar w:val="nil"/>
        </w:pBdr>
        <w:ind w:left="1843" w:right="856"/>
        <w:jc w:val="both"/>
        <w:rPr>
          <w:rFonts w:ascii="Arial" w:eastAsia="Arial" w:hAnsi="Arial" w:cs="Arial"/>
          <w:color w:val="000000"/>
          <w:u w:color="000000"/>
          <w:bdr w:val="nil"/>
          <w:lang w:val="fr-CA"/>
        </w:rPr>
      </w:pPr>
    </w:p>
    <w:p w14:paraId="1E99DC7E" w14:textId="78CF0667" w:rsidR="005E7FDC" w:rsidRPr="000C43C5" w:rsidRDefault="00497715" w:rsidP="00E90DA6">
      <w:pPr>
        <w:pStyle w:val="BodyB"/>
        <w:ind w:left="1843" w:right="855"/>
        <w:jc w:val="both"/>
        <w:rPr>
          <w:rFonts w:ascii="Arial" w:hAnsi="Arial" w:cs="Arial"/>
          <w:lang w:val="fr-CA"/>
        </w:rPr>
      </w:pPr>
      <w:r w:rsidRPr="000C43C5">
        <w:rPr>
          <w:rFonts w:ascii="Arial" w:hAnsi="Arial" w:cs="Arial"/>
          <w:color w:val="auto"/>
          <w:lang w:val="fr-CA" w:eastAsia="en-US"/>
        </w:rPr>
        <w:t>Comité consultatif sur la nomination des juges de paix</w:t>
      </w:r>
      <w:r w:rsidR="00D5311A" w:rsidRPr="000C43C5">
        <w:rPr>
          <w:rFonts w:ascii="Arial" w:hAnsi="Arial" w:cs="Arial"/>
          <w:color w:val="auto"/>
          <w:lang w:val="fr-CA" w:eastAsia="en-US"/>
        </w:rPr>
        <w:t xml:space="preserve">, </w:t>
      </w:r>
      <w:r w:rsidRPr="000C43C5">
        <w:rPr>
          <w:rFonts w:ascii="Arial" w:hAnsi="Arial" w:cs="Arial"/>
          <w:color w:val="auto"/>
          <w:lang w:val="fr-CA" w:eastAsia="en-US"/>
        </w:rPr>
        <w:t>http://www.ontariocourts.ca/ocj/fr/jpaac/fonction/</w:t>
      </w:r>
    </w:p>
    <w:p w14:paraId="0ECABB7D" w14:textId="77777777" w:rsidR="00F5199C" w:rsidRPr="000C43C5" w:rsidRDefault="00F5199C" w:rsidP="00EF1974">
      <w:pPr>
        <w:ind w:left="720"/>
        <w:jc w:val="both"/>
        <w:rPr>
          <w:rFonts w:ascii="Arial" w:hAnsi="Arial" w:cs="Arial"/>
          <w:lang w:val="fr-CA"/>
        </w:rPr>
      </w:pPr>
    </w:p>
    <w:p w14:paraId="3AD6B98A" w14:textId="5D2A9294" w:rsidR="009B663F" w:rsidRPr="000C43C5" w:rsidRDefault="0016058C" w:rsidP="00BF514D">
      <w:pPr>
        <w:pStyle w:val="AParaNumbering"/>
        <w:numPr>
          <w:ilvl w:val="1"/>
          <w:numId w:val="42"/>
        </w:numPr>
        <w:rPr>
          <w:lang w:val="fr-CA"/>
        </w:rPr>
      </w:pPr>
      <w:r w:rsidRPr="000C43C5">
        <w:rPr>
          <w:rFonts w:cs="Times New Roman"/>
          <w:lang w:val="fr-CA" w:eastAsia="en-CA"/>
        </w:rPr>
        <w:t> </w:t>
      </w:r>
      <w:r w:rsidR="00497715" w:rsidRPr="000C43C5">
        <w:rPr>
          <w:rFonts w:cs="Times New Roman"/>
          <w:lang w:val="fr-CA" w:eastAsia="en-CA"/>
        </w:rPr>
        <w:t xml:space="preserve">Dans le </w:t>
      </w:r>
      <w:r w:rsidR="00497715" w:rsidRPr="000C43C5">
        <w:rPr>
          <w:rFonts w:cs="Times New Roman"/>
          <w:i/>
          <w:lang w:val="fr-CA" w:eastAsia="en-CA"/>
        </w:rPr>
        <w:t>Compte-rendu d’une enquête judiciaire concernant : Son Honneur</w:t>
      </w:r>
      <w:r w:rsidR="00497715" w:rsidRPr="000C43C5">
        <w:rPr>
          <w:rFonts w:cs="Times New Roman"/>
          <w:lang w:val="fr-CA" w:eastAsia="en-CA"/>
        </w:rPr>
        <w:t xml:space="preserve"> </w:t>
      </w:r>
      <w:r w:rsidR="009B663F" w:rsidRPr="000C43C5">
        <w:rPr>
          <w:i/>
          <w:iCs/>
          <w:lang w:val="fr-CA"/>
        </w:rPr>
        <w:t>Benjamin Sinai</w:t>
      </w:r>
      <w:r w:rsidR="009B663F" w:rsidRPr="000C43C5">
        <w:rPr>
          <w:lang w:val="fr-CA"/>
        </w:rPr>
        <w:t xml:space="preserve">, </w:t>
      </w:r>
      <w:r w:rsidR="00497715" w:rsidRPr="000C43C5">
        <w:rPr>
          <w:i/>
          <w:lang w:val="fr-CA"/>
        </w:rPr>
        <w:t>un juge de paix</w:t>
      </w:r>
      <w:r w:rsidR="008A271D" w:rsidRPr="000C43C5">
        <w:rPr>
          <w:lang w:val="fr-CA"/>
        </w:rPr>
        <w:t xml:space="preserve">, </w:t>
      </w:r>
      <w:r w:rsidR="00497715" w:rsidRPr="000C43C5">
        <w:rPr>
          <w:lang w:val="fr-CA"/>
        </w:rPr>
        <w:t xml:space="preserve">publié le 7 mars </w:t>
      </w:r>
      <w:r w:rsidR="009B663F" w:rsidRPr="000C43C5">
        <w:rPr>
          <w:lang w:val="fr-CA"/>
        </w:rPr>
        <w:t xml:space="preserve">2008, </w:t>
      </w:r>
      <w:r w:rsidR="00497715" w:rsidRPr="000C43C5">
        <w:rPr>
          <w:lang w:val="fr-CA"/>
        </w:rPr>
        <w:t xml:space="preserve">le commissaire a fait les commentaires suivants au sujet du rôle important des juges de paix par rapport à la perception publique du système judiciaire </w:t>
      </w:r>
      <w:r w:rsidR="009B663F" w:rsidRPr="000C43C5">
        <w:rPr>
          <w:lang w:val="fr-CA"/>
        </w:rPr>
        <w:t>:</w:t>
      </w:r>
    </w:p>
    <w:p w14:paraId="2CDC1911" w14:textId="07DCB433" w:rsidR="009B663F" w:rsidRPr="000C43C5" w:rsidRDefault="00497715" w:rsidP="009B663F">
      <w:pPr>
        <w:pStyle w:val="BodyB"/>
        <w:tabs>
          <w:tab w:val="left" w:pos="8833"/>
        </w:tabs>
        <w:ind w:left="1080" w:right="402"/>
        <w:jc w:val="both"/>
        <w:rPr>
          <w:rFonts w:ascii="Arial" w:eastAsia="Arial" w:hAnsi="Arial" w:cs="Arial"/>
          <w:lang w:val="fr-CA"/>
        </w:rPr>
      </w:pPr>
      <w:r w:rsidRPr="000C43C5">
        <w:rPr>
          <w:rFonts w:ascii="Arial" w:hAnsi="Arial" w:cs="Arial"/>
          <w:lang w:val="fr-CA"/>
        </w:rPr>
        <w:t>Il est clair que les juges de paix sont des officiers de justice très importants. Même s'ils ne sont pas tenus de recevoir une formation juridique formelle avant leur nomination, leurs décisions au sujet du cautionnement, de la délivrance de mandats de perquisition et de cas d'infractions provinciales influent sérieusement sur la liberté et la vie privée de ceux qui comparaissent devant eux. En fait, pour la grande majorité des citoyens qui auront affaire au système judiciaire, leur comparution devant un juge de paix constitue leur premier et seul contact</w:t>
      </w:r>
      <w:r w:rsidR="009B663F" w:rsidRPr="000C43C5">
        <w:rPr>
          <w:rFonts w:ascii="Arial" w:hAnsi="Arial" w:cs="Arial"/>
          <w:lang w:val="fr-CA"/>
        </w:rPr>
        <w:t>.</w:t>
      </w:r>
    </w:p>
    <w:p w14:paraId="12BA6DAE" w14:textId="77777777" w:rsidR="009B663F" w:rsidRPr="000C43C5" w:rsidRDefault="009B663F" w:rsidP="009B663F">
      <w:pPr>
        <w:pStyle w:val="BodyB"/>
        <w:tabs>
          <w:tab w:val="left" w:pos="540"/>
          <w:tab w:val="left" w:pos="720"/>
          <w:tab w:val="left" w:pos="1080"/>
          <w:tab w:val="left" w:pos="8833"/>
        </w:tabs>
        <w:ind w:left="720" w:right="402" w:hanging="720"/>
        <w:jc w:val="both"/>
        <w:rPr>
          <w:rFonts w:ascii="Arial" w:eastAsia="Arial" w:hAnsi="Arial" w:cs="Arial"/>
          <w:lang w:val="fr-CA"/>
        </w:rPr>
      </w:pPr>
    </w:p>
    <w:p w14:paraId="150E7126" w14:textId="5AB287F1" w:rsidR="009B663F" w:rsidRPr="000C43C5" w:rsidRDefault="00497715" w:rsidP="009B663F">
      <w:pPr>
        <w:pStyle w:val="BodyB"/>
        <w:tabs>
          <w:tab w:val="left" w:pos="8833"/>
        </w:tabs>
        <w:ind w:left="1080" w:right="402"/>
        <w:jc w:val="both"/>
        <w:rPr>
          <w:rFonts w:ascii="Arial" w:eastAsia="Arial" w:hAnsi="Arial" w:cs="Arial"/>
          <w:lang w:val="fr-CA"/>
        </w:rPr>
      </w:pPr>
      <w:r w:rsidRPr="000C43C5">
        <w:rPr>
          <w:rFonts w:ascii="Arial" w:hAnsi="Arial" w:cs="Arial"/>
          <w:lang w:val="fr-CA"/>
        </w:rPr>
        <w:t xml:space="preserve">Comme l'affirme le juge Hogan à la </w:t>
      </w:r>
      <w:r w:rsidRPr="000C43C5">
        <w:rPr>
          <w:rFonts w:ascii="Arial" w:hAnsi="Arial" w:cs="Arial"/>
          <w:i/>
          <w:lang w:val="fr-CA"/>
        </w:rPr>
        <w:t>Commission d'enquête sur la conduite de Son Honneur le juge de paix Leonard Blackburn</w:t>
      </w:r>
      <w:r w:rsidRPr="000C43C5">
        <w:rPr>
          <w:rFonts w:ascii="Arial" w:hAnsi="Arial" w:cs="Arial"/>
          <w:lang w:val="fr-CA"/>
        </w:rPr>
        <w:t xml:space="preserve"> </w:t>
      </w:r>
      <w:r w:rsidR="009B663F" w:rsidRPr="000C43C5">
        <w:rPr>
          <w:rFonts w:ascii="Arial" w:hAnsi="Arial" w:cs="Arial"/>
          <w:lang w:val="fr-CA"/>
        </w:rPr>
        <w:t>:</w:t>
      </w:r>
    </w:p>
    <w:p w14:paraId="66177679" w14:textId="77777777" w:rsidR="009B663F" w:rsidRPr="000C43C5" w:rsidRDefault="009B663F" w:rsidP="009B663F">
      <w:pPr>
        <w:pStyle w:val="BodyB"/>
        <w:tabs>
          <w:tab w:val="left" w:pos="540"/>
          <w:tab w:val="left" w:pos="1080"/>
          <w:tab w:val="left" w:pos="1701"/>
        </w:tabs>
        <w:ind w:left="1560" w:right="720" w:firstLine="141"/>
        <w:jc w:val="both"/>
        <w:rPr>
          <w:rFonts w:ascii="Arial" w:eastAsia="Arial" w:hAnsi="Arial" w:cs="Arial"/>
          <w:lang w:val="fr-CA"/>
        </w:rPr>
      </w:pPr>
    </w:p>
    <w:p w14:paraId="4BCC1426" w14:textId="38041CE6" w:rsidR="00497715" w:rsidRPr="000C43C5" w:rsidRDefault="00497715" w:rsidP="00497715">
      <w:pPr>
        <w:pStyle w:val="BodyB"/>
        <w:tabs>
          <w:tab w:val="left" w:pos="8505"/>
        </w:tabs>
        <w:ind w:left="1701" w:right="828"/>
        <w:jc w:val="both"/>
        <w:rPr>
          <w:rFonts w:ascii="Arial" w:hAnsi="Arial" w:cs="Arial"/>
          <w:lang w:val="fr-CA"/>
        </w:rPr>
      </w:pPr>
    </w:p>
    <w:p w14:paraId="2D28FE96" w14:textId="687AA5E6" w:rsidR="009B663F" w:rsidRPr="000C43C5" w:rsidRDefault="00497715" w:rsidP="00497715">
      <w:pPr>
        <w:pStyle w:val="BodyB"/>
        <w:tabs>
          <w:tab w:val="left" w:pos="8505"/>
        </w:tabs>
        <w:ind w:left="1701" w:right="828"/>
        <w:jc w:val="both"/>
        <w:rPr>
          <w:rFonts w:ascii="Arial" w:eastAsia="Arial" w:hAnsi="Arial" w:cs="Arial"/>
          <w:lang w:val="fr-CA"/>
        </w:rPr>
      </w:pPr>
      <w:r w:rsidRPr="000C43C5">
        <w:rPr>
          <w:rFonts w:ascii="Arial" w:hAnsi="Arial" w:cs="Arial"/>
          <w:lang w:val="fr-CA"/>
        </w:rPr>
        <w:t>« Ce sont les juges de paix qui président dans des affaires telles que le permis de stationnement, les contraventions pour excès de vitesse, les cas d'infractions aux arrêtés municipaux et les infractions provinciales. Ce sont le type de problèmes au jour le jour auxquels se heurtent la plupart des gens. Il est par conséquent fort probable qu'une majorité de citoyens se feront une opinion de notre système de justice en fonction de l'expérience qu'ils auront eue avec un juge de paix. »</w:t>
      </w:r>
      <w:r w:rsidR="009F2818" w:rsidRPr="009F2818">
        <w:rPr>
          <w:rFonts w:ascii="Arial" w:hAnsi="Arial" w:cs="Arial"/>
          <w:lang w:val="fr-CA"/>
        </w:rPr>
        <w:t xml:space="preserve"> </w:t>
      </w:r>
      <w:r w:rsidR="009F2818" w:rsidRPr="000C43C5">
        <w:rPr>
          <w:rFonts w:ascii="Arial" w:hAnsi="Arial" w:cs="Arial"/>
          <w:lang w:val="fr-CA"/>
        </w:rPr>
        <w:t>[TRADUCTION]</w:t>
      </w:r>
    </w:p>
    <w:p w14:paraId="18BB9949" w14:textId="77777777" w:rsidR="009B663F" w:rsidRPr="000C43C5" w:rsidRDefault="009B663F" w:rsidP="009B663F">
      <w:pPr>
        <w:pStyle w:val="ListParagraph"/>
        <w:rPr>
          <w:rFonts w:ascii="Arial" w:hAnsi="Arial" w:cs="Arial"/>
          <w:lang w:val="fr-CA"/>
        </w:rPr>
      </w:pPr>
    </w:p>
    <w:p w14:paraId="6FF4425C" w14:textId="60FD7BC5" w:rsidR="009B663F" w:rsidRPr="000C43C5" w:rsidRDefault="005E3434" w:rsidP="00BF514D">
      <w:pPr>
        <w:pStyle w:val="AParaNumbering"/>
        <w:rPr>
          <w:b/>
          <w:lang w:val="fr-CA"/>
        </w:rPr>
      </w:pPr>
      <w:r w:rsidRPr="000C43C5">
        <w:rPr>
          <w:lang w:val="fr-CA"/>
        </w:rPr>
        <w:lastRenderedPageBreak/>
        <w:t xml:space="preserve">Comme indiqué ci-dessus, de par la nature de leur travail </w:t>
      </w:r>
      <w:r w:rsidR="009B663F" w:rsidRPr="000C43C5">
        <w:rPr>
          <w:lang w:val="fr-CA"/>
        </w:rPr>
        <w:t>(</w:t>
      </w:r>
      <w:r w:rsidRPr="000C43C5">
        <w:rPr>
          <w:lang w:val="fr-CA"/>
        </w:rPr>
        <w:t xml:space="preserve">enquêtes sur le cautionnement, instructions en vertu de la </w:t>
      </w:r>
      <w:r w:rsidRPr="000C43C5">
        <w:rPr>
          <w:i/>
          <w:lang w:val="fr-CA"/>
        </w:rPr>
        <w:t>Loi sur les infractions provinciales</w:t>
      </w:r>
      <w:r w:rsidRPr="000C43C5">
        <w:rPr>
          <w:lang w:val="fr-CA"/>
        </w:rPr>
        <w:t xml:space="preserve">, tribunaux de première comparution, mandats, etc.), les juges de paix sont le point de contact le plus fréquent entre les justiciables et le système de justice. En fait, pour la grande majorité des gens qui ont des contacts avec le système judiciaire, les juges de paix sont souvent leur premier et seul contact. Ainsi, les </w:t>
      </w:r>
      <w:r w:rsidR="00123151" w:rsidRPr="000C43C5">
        <w:rPr>
          <w:lang w:val="fr-CA"/>
        </w:rPr>
        <w:t>actes d’un juge de paix déte</w:t>
      </w:r>
      <w:r w:rsidR="00887FC6">
        <w:rPr>
          <w:lang w:val="fr-CA"/>
        </w:rPr>
        <w:t>r</w:t>
      </w:r>
      <w:r w:rsidR="00123151" w:rsidRPr="000C43C5">
        <w:rPr>
          <w:lang w:val="fr-CA"/>
        </w:rPr>
        <w:t>minent la perception de l’administration de la justice par le public</w:t>
      </w:r>
      <w:r w:rsidR="009B663F" w:rsidRPr="000C43C5">
        <w:rPr>
          <w:lang w:val="fr-CA"/>
        </w:rPr>
        <w:t xml:space="preserve">. </w:t>
      </w:r>
    </w:p>
    <w:p w14:paraId="70BE2D76" w14:textId="77777777" w:rsidR="009034E0" w:rsidRPr="000C43C5" w:rsidRDefault="009034E0" w:rsidP="005E7FDC">
      <w:pPr>
        <w:widowControl w:val="0"/>
        <w:jc w:val="both"/>
        <w:rPr>
          <w:rFonts w:ascii="Arial" w:hAnsi="Arial" w:cs="Arial"/>
          <w:b/>
          <w:caps/>
          <w:lang w:val="fr-CA"/>
        </w:rPr>
      </w:pPr>
    </w:p>
    <w:p w14:paraId="644C447F" w14:textId="41793A8E" w:rsidR="00F5199C" w:rsidRPr="000C43C5" w:rsidRDefault="00F5199C" w:rsidP="005E7FDC">
      <w:pPr>
        <w:widowControl w:val="0"/>
        <w:jc w:val="both"/>
        <w:rPr>
          <w:rFonts w:ascii="Arial" w:hAnsi="Arial" w:cs="Arial"/>
          <w:b/>
          <w:caps/>
          <w:lang w:val="fr-CA"/>
        </w:rPr>
      </w:pPr>
      <w:r w:rsidRPr="000C43C5">
        <w:rPr>
          <w:rFonts w:ascii="Arial" w:hAnsi="Arial" w:cs="Arial"/>
          <w:b/>
          <w:caps/>
          <w:lang w:val="fr-CA"/>
        </w:rPr>
        <w:t>Princip</w:t>
      </w:r>
      <w:r w:rsidR="005E3434" w:rsidRPr="000C43C5">
        <w:rPr>
          <w:rFonts w:ascii="Arial" w:hAnsi="Arial" w:cs="Arial"/>
          <w:b/>
          <w:caps/>
          <w:lang w:val="fr-CA"/>
        </w:rPr>
        <w:t>E</w:t>
      </w:r>
      <w:r w:rsidRPr="000C43C5">
        <w:rPr>
          <w:rFonts w:ascii="Arial" w:hAnsi="Arial" w:cs="Arial"/>
          <w:b/>
          <w:caps/>
          <w:lang w:val="fr-CA"/>
        </w:rPr>
        <w:t xml:space="preserve">s </w:t>
      </w:r>
      <w:r w:rsidR="005E3434" w:rsidRPr="000C43C5">
        <w:rPr>
          <w:rFonts w:ascii="Arial" w:hAnsi="Arial" w:cs="Arial"/>
          <w:b/>
          <w:caps/>
          <w:lang w:val="fr-CA"/>
        </w:rPr>
        <w:t>DE LA CHARGE JUDICIAIRE</w:t>
      </w:r>
      <w:r w:rsidR="002315C6" w:rsidRPr="000C43C5">
        <w:rPr>
          <w:rFonts w:ascii="Arial" w:hAnsi="Arial" w:cs="Arial"/>
          <w:b/>
          <w:caps/>
          <w:lang w:val="fr-CA"/>
        </w:rPr>
        <w:t xml:space="preserve"> </w:t>
      </w:r>
    </w:p>
    <w:p w14:paraId="5CEC99CC" w14:textId="77777777" w:rsidR="00546804" w:rsidRPr="000C43C5" w:rsidRDefault="00546804" w:rsidP="005E7FDC">
      <w:pPr>
        <w:pStyle w:val="ListParagraph"/>
        <w:widowControl w:val="0"/>
        <w:ind w:left="360"/>
        <w:jc w:val="both"/>
        <w:rPr>
          <w:rFonts w:ascii="Arial" w:hAnsi="Arial" w:cs="Arial"/>
          <w:lang w:val="fr-CA"/>
        </w:rPr>
      </w:pPr>
    </w:p>
    <w:p w14:paraId="7BD502E5" w14:textId="7FAB0052" w:rsidR="00F12199" w:rsidRPr="000C43C5" w:rsidRDefault="008A4FF1" w:rsidP="00BF514D">
      <w:pPr>
        <w:pStyle w:val="AParaNumbering"/>
        <w:rPr>
          <w:lang w:val="fr-CA"/>
        </w:rPr>
      </w:pPr>
      <w:r w:rsidRPr="000C43C5">
        <w:rPr>
          <w:lang w:val="fr-CA"/>
        </w:rPr>
        <w:t xml:space="preserve">Le Conseil d’évaluation des juges de paix a approuvé les </w:t>
      </w:r>
      <w:r w:rsidRPr="000C43C5">
        <w:rPr>
          <w:i/>
          <w:lang w:val="fr-CA"/>
        </w:rPr>
        <w:t>Principes de la charge judiciaire</w:t>
      </w:r>
      <w:r w:rsidRPr="000C43C5">
        <w:rPr>
          <w:lang w:val="fr-CA"/>
        </w:rPr>
        <w:t xml:space="preserve"> des juges de paix de la Cour de justice de l’Ontario (les « Principes »), le 7 décembre </w:t>
      </w:r>
      <w:r w:rsidR="00F12199" w:rsidRPr="000C43C5">
        <w:rPr>
          <w:lang w:val="fr-CA"/>
        </w:rPr>
        <w:t xml:space="preserve">2007. </w:t>
      </w:r>
      <w:r w:rsidRPr="000C43C5">
        <w:rPr>
          <w:lang w:val="fr-CA"/>
        </w:rPr>
        <w:t>Le préambule des Principes stipule ce qui suit </w:t>
      </w:r>
      <w:r w:rsidR="00F12199" w:rsidRPr="000C43C5">
        <w:rPr>
          <w:lang w:val="fr-CA"/>
        </w:rPr>
        <w:t>:</w:t>
      </w:r>
    </w:p>
    <w:p w14:paraId="57BD8C8A" w14:textId="70A2F289" w:rsidR="00E86A8B" w:rsidRPr="000C43C5" w:rsidRDefault="008A4FF1" w:rsidP="00F12199">
      <w:pPr>
        <w:pStyle w:val="ListParagraph"/>
        <w:widowControl w:val="0"/>
        <w:ind w:left="851" w:right="571"/>
        <w:jc w:val="both"/>
        <w:rPr>
          <w:rFonts w:ascii="Arial" w:hAnsi="Arial" w:cs="Arial"/>
          <w:lang w:val="fr-CA"/>
        </w:rPr>
      </w:pPr>
      <w:r w:rsidRPr="000C43C5">
        <w:rPr>
          <w:rFonts w:ascii="Arial" w:hAnsi="Arial" w:cs="Arial"/>
          <w:lang w:val="fr-CA"/>
        </w:rPr>
        <w:t>Les juges de paix de la Cour de justice de l’Ontario reconnaissent qu’il leur incombe d’adopter, de maintenir et d’encourager une conduite et un professionnalisme irréprochables de manière à préserver l’indépendance et l’intégrité de leur charge judiciaire ainsi que la confiance accordée par la société aux hommes et aux femmes qui ont accepté les responsabilités liées à la charge judiciaire</w:t>
      </w:r>
      <w:r w:rsidR="00F12199" w:rsidRPr="000C43C5">
        <w:rPr>
          <w:rFonts w:ascii="Arial" w:hAnsi="Arial" w:cs="Arial"/>
          <w:lang w:val="fr-CA"/>
        </w:rPr>
        <w:t>.</w:t>
      </w:r>
    </w:p>
    <w:p w14:paraId="1DC580F9" w14:textId="77777777" w:rsidR="00E86A8B" w:rsidRPr="000C43C5" w:rsidRDefault="00E86A8B" w:rsidP="00F12199">
      <w:pPr>
        <w:pStyle w:val="ListParagraph"/>
        <w:widowControl w:val="0"/>
        <w:ind w:left="851" w:right="571"/>
        <w:jc w:val="both"/>
        <w:rPr>
          <w:rFonts w:ascii="Arial" w:hAnsi="Arial" w:cs="Arial"/>
          <w:lang w:val="fr-CA"/>
        </w:rPr>
      </w:pPr>
    </w:p>
    <w:p w14:paraId="78D1B9D3" w14:textId="35E178B8" w:rsidR="002315C6" w:rsidRPr="000C43C5" w:rsidRDefault="008A4FF1" w:rsidP="007C613B">
      <w:pPr>
        <w:pStyle w:val="AParaNumbering"/>
        <w:widowControl w:val="0"/>
        <w:spacing w:before="0" w:after="0" w:line="240" w:lineRule="auto"/>
        <w:rPr>
          <w:lang w:val="fr-CA"/>
        </w:rPr>
      </w:pPr>
      <w:r w:rsidRPr="000C43C5">
        <w:rPr>
          <w:lang w:val="fr-CA"/>
        </w:rPr>
        <w:t>Les Principes prévoient aussi :</w:t>
      </w:r>
    </w:p>
    <w:p w14:paraId="3B07E6A5" w14:textId="77777777" w:rsidR="007C613B" w:rsidRPr="000C43C5" w:rsidRDefault="007C613B" w:rsidP="007C613B">
      <w:pPr>
        <w:pStyle w:val="AParaNumbering"/>
        <w:widowControl w:val="0"/>
        <w:numPr>
          <w:ilvl w:val="0"/>
          <w:numId w:val="0"/>
        </w:numPr>
        <w:spacing w:before="0" w:after="0" w:line="240" w:lineRule="auto"/>
        <w:rPr>
          <w:lang w:val="fr-CA"/>
        </w:rPr>
      </w:pPr>
    </w:p>
    <w:p w14:paraId="534CE7EC" w14:textId="26C74613" w:rsidR="00F5199C" w:rsidRPr="000C43C5" w:rsidRDefault="008A4FF1" w:rsidP="008A4FF1">
      <w:pPr>
        <w:pStyle w:val="ListParagraph"/>
        <w:widowControl w:val="0"/>
        <w:numPr>
          <w:ilvl w:val="1"/>
          <w:numId w:val="4"/>
        </w:numPr>
        <w:ind w:left="1418" w:right="571" w:hanging="567"/>
        <w:contextualSpacing/>
        <w:jc w:val="both"/>
        <w:rPr>
          <w:rFonts w:ascii="Arial" w:hAnsi="Arial" w:cs="Arial"/>
          <w:lang w:val="fr-CA"/>
        </w:rPr>
      </w:pPr>
      <w:r w:rsidRPr="000C43C5">
        <w:rPr>
          <w:rFonts w:ascii="Arial" w:hAnsi="Arial" w:cs="Arial"/>
          <w:lang w:val="fr-CA"/>
        </w:rPr>
        <w:t>Les juges de paix doivent être impartiaux et objectifs dans l’exercice de leurs fonctions judiciaires</w:t>
      </w:r>
      <w:r w:rsidR="001D12AF" w:rsidRPr="000C43C5">
        <w:rPr>
          <w:rFonts w:ascii="Arial" w:hAnsi="Arial" w:cs="Arial"/>
          <w:lang w:val="fr-CA"/>
        </w:rPr>
        <w:t>.</w:t>
      </w:r>
    </w:p>
    <w:p w14:paraId="486A2E7D" w14:textId="77777777" w:rsidR="001D12AF" w:rsidRPr="000C43C5" w:rsidRDefault="001D12AF" w:rsidP="008A4FF1">
      <w:pPr>
        <w:pStyle w:val="ListParagraph"/>
        <w:widowControl w:val="0"/>
        <w:ind w:left="1418" w:right="571" w:hanging="567"/>
        <w:contextualSpacing/>
        <w:jc w:val="both"/>
        <w:rPr>
          <w:rFonts w:ascii="Arial" w:hAnsi="Arial" w:cs="Arial"/>
          <w:lang w:val="fr-CA"/>
        </w:rPr>
      </w:pPr>
    </w:p>
    <w:p w14:paraId="2C863E83" w14:textId="26866C9D" w:rsidR="00F5199C" w:rsidRPr="000C43C5" w:rsidRDefault="008A4FF1" w:rsidP="008A4FF1">
      <w:pPr>
        <w:pStyle w:val="ListParagraph"/>
        <w:widowControl w:val="0"/>
        <w:numPr>
          <w:ilvl w:val="1"/>
          <w:numId w:val="4"/>
        </w:numPr>
        <w:ind w:left="1418" w:right="571" w:hanging="567"/>
        <w:contextualSpacing/>
        <w:jc w:val="both"/>
        <w:rPr>
          <w:rFonts w:ascii="Arial" w:hAnsi="Arial" w:cs="Arial"/>
          <w:lang w:val="fr-CA"/>
        </w:rPr>
      </w:pPr>
      <w:r w:rsidRPr="000C43C5">
        <w:rPr>
          <w:rFonts w:ascii="Arial" w:hAnsi="Arial" w:cs="Arial"/>
          <w:lang w:val="fr-CA"/>
        </w:rPr>
        <w:t>Les juges de paix ont l’obligation de respecter la loi.</w:t>
      </w:r>
      <w:r w:rsidR="001D12AF" w:rsidRPr="000C43C5">
        <w:rPr>
          <w:rFonts w:ascii="Arial" w:hAnsi="Arial" w:cs="Arial"/>
          <w:lang w:val="fr-CA"/>
        </w:rPr>
        <w:t>.</w:t>
      </w:r>
    </w:p>
    <w:p w14:paraId="4FFBB17D" w14:textId="77777777" w:rsidR="007C613B" w:rsidRPr="000C43C5" w:rsidRDefault="007C613B" w:rsidP="007C613B">
      <w:pPr>
        <w:pStyle w:val="ListParagraph"/>
        <w:rPr>
          <w:rFonts w:ascii="Arial" w:hAnsi="Arial" w:cs="Arial"/>
          <w:lang w:val="fr-CA"/>
        </w:rPr>
      </w:pPr>
    </w:p>
    <w:p w14:paraId="3518FDE9" w14:textId="2377BC41" w:rsidR="00F5199C" w:rsidRPr="000C43C5" w:rsidRDefault="00F5199C" w:rsidP="0003146D">
      <w:pPr>
        <w:widowControl w:val="0"/>
        <w:ind w:left="1418" w:right="571" w:hanging="567"/>
        <w:jc w:val="both"/>
        <w:rPr>
          <w:rFonts w:ascii="Arial" w:hAnsi="Arial" w:cs="Arial"/>
          <w:lang w:val="fr-CA"/>
        </w:rPr>
      </w:pPr>
      <w:r w:rsidRPr="000C43C5">
        <w:rPr>
          <w:rFonts w:ascii="Arial" w:hAnsi="Arial" w:cs="Arial"/>
          <w:lang w:val="fr-CA"/>
        </w:rPr>
        <w:t>2.2</w:t>
      </w:r>
      <w:r w:rsidRPr="000C43C5">
        <w:rPr>
          <w:rFonts w:ascii="Arial" w:hAnsi="Arial" w:cs="Arial"/>
          <w:lang w:val="fr-CA"/>
        </w:rPr>
        <w:tab/>
      </w:r>
      <w:r w:rsidR="008A4FF1" w:rsidRPr="000C43C5">
        <w:rPr>
          <w:rFonts w:ascii="Arial" w:hAnsi="Arial" w:cs="Arial"/>
          <w:lang w:val="fr-CA"/>
        </w:rPr>
        <w:t>Les juges de paix devraient diriger les affaires du tribunal avec une diligence raisonnable et trancher avec promptitude et efficience les affaires qui leurs sont soumises en tenant toujours compte des intérêts de la justice et des droits des parties devant le tribunal</w:t>
      </w:r>
      <w:r w:rsidRPr="000C43C5">
        <w:rPr>
          <w:rFonts w:ascii="Arial" w:hAnsi="Arial" w:cs="Arial"/>
          <w:lang w:val="fr-CA"/>
        </w:rPr>
        <w:t>.</w:t>
      </w:r>
    </w:p>
    <w:p w14:paraId="1AD190B7" w14:textId="77777777" w:rsidR="005E7FDC" w:rsidRPr="000C43C5" w:rsidRDefault="005E7FDC" w:rsidP="005E7FDC">
      <w:pPr>
        <w:ind w:right="571"/>
        <w:jc w:val="both"/>
        <w:rPr>
          <w:rFonts w:ascii="Arial" w:hAnsi="Arial" w:cs="Arial"/>
          <w:lang w:val="fr-CA"/>
        </w:rPr>
      </w:pPr>
    </w:p>
    <w:p w14:paraId="47EAC2A3" w14:textId="394F5CFC" w:rsidR="007C613B" w:rsidRPr="000C43C5" w:rsidRDefault="008A4FF1" w:rsidP="007C613B">
      <w:pPr>
        <w:pStyle w:val="AParaNumbering"/>
        <w:widowControl w:val="0"/>
        <w:rPr>
          <w:b/>
          <w:lang w:val="fr-CA"/>
        </w:rPr>
      </w:pPr>
      <w:r w:rsidRPr="000C43C5">
        <w:rPr>
          <w:lang w:val="fr-CA"/>
        </w:rPr>
        <w:t xml:space="preserve">Comme l’a expliqué le Conseil canadien de la magistrature dans son Rapport au </w:t>
      </w:r>
      <w:r w:rsidRPr="000C43C5">
        <w:rPr>
          <w:lang w:val="fr-CA"/>
        </w:rPr>
        <w:lastRenderedPageBreak/>
        <w:t>ministre de la Justice en ce qui concerne la conduite du juge </w:t>
      </w:r>
      <w:r w:rsidR="00F12199" w:rsidRPr="000C43C5">
        <w:rPr>
          <w:lang w:val="fr-CA"/>
        </w:rPr>
        <w:t>P.</w:t>
      </w:r>
      <w:r w:rsidRPr="000C43C5">
        <w:rPr>
          <w:lang w:val="fr-CA"/>
        </w:rPr>
        <w:t> </w:t>
      </w:r>
      <w:r w:rsidR="00F12199" w:rsidRPr="000C43C5">
        <w:rPr>
          <w:lang w:val="fr-CA"/>
        </w:rPr>
        <w:t>Theodore</w:t>
      </w:r>
      <w:r w:rsidRPr="000C43C5">
        <w:rPr>
          <w:lang w:val="fr-CA"/>
        </w:rPr>
        <w:t> </w:t>
      </w:r>
      <w:r w:rsidR="00F12199" w:rsidRPr="000C43C5">
        <w:rPr>
          <w:lang w:val="fr-CA"/>
        </w:rPr>
        <w:t xml:space="preserve">Matlow </w:t>
      </w:r>
      <w:r w:rsidRPr="000C43C5">
        <w:rPr>
          <w:lang w:val="fr-CA"/>
        </w:rPr>
        <w:t>de la Cour supérieure de justice</w:t>
      </w:r>
      <w:r w:rsidR="00FC5E68" w:rsidRPr="000C43C5">
        <w:rPr>
          <w:rStyle w:val="FootnoteReference"/>
          <w:lang w:val="fr-CA"/>
        </w:rPr>
        <w:footnoteReference w:id="4"/>
      </w:r>
      <w:r w:rsidR="00F12199" w:rsidRPr="000C43C5">
        <w:rPr>
          <w:lang w:val="fr-CA"/>
        </w:rPr>
        <w:t xml:space="preserve">, </w:t>
      </w:r>
      <w:r w:rsidRPr="000C43C5">
        <w:rPr>
          <w:lang w:val="fr-CA"/>
        </w:rPr>
        <w:t>au Canada, les principes de déontologie</w:t>
      </w:r>
      <w:r w:rsidR="00E45333" w:rsidRPr="000C43C5">
        <w:rPr>
          <w:lang w:val="fr-CA"/>
        </w:rPr>
        <w:t xml:space="preserve"> destinés à la magistrature établissent un cadre général de valeurs et de considérations qui seront nécessairement pertinentes dans l’évaluation d’allégations d’inconduite contre un fonctionnaire judiciaire</w:t>
      </w:r>
      <w:r w:rsidR="00F12199" w:rsidRPr="000C43C5">
        <w:rPr>
          <w:lang w:val="fr-CA"/>
        </w:rPr>
        <w:t>.</w:t>
      </w:r>
      <w:r w:rsidR="00E45333" w:rsidRPr="000C43C5">
        <w:rPr>
          <w:lang w:val="fr-CA"/>
        </w:rPr>
        <w:t xml:space="preserve"> Le fait que la conduite présumée soit incompatible ou contraire aux principes de déontologie est un facteur à prendre en considération dans l’évaluation de la question de savoir si la conduite présumée constitue une conduite punissable</w:t>
      </w:r>
      <w:r w:rsidR="00965174" w:rsidRPr="000C43C5">
        <w:rPr>
          <w:lang w:val="fr-CA"/>
        </w:rPr>
        <w:t xml:space="preserve">. </w:t>
      </w:r>
    </w:p>
    <w:p w14:paraId="7E8FA71B" w14:textId="1043965B" w:rsidR="00F12199" w:rsidRPr="000C43C5" w:rsidRDefault="00123151" w:rsidP="007C613B">
      <w:pPr>
        <w:pStyle w:val="AParaNumbering"/>
        <w:numPr>
          <w:ilvl w:val="0"/>
          <w:numId w:val="0"/>
        </w:numPr>
        <w:spacing w:before="0" w:after="0" w:line="240" w:lineRule="auto"/>
        <w:rPr>
          <w:b/>
          <w:lang w:val="fr-CA"/>
        </w:rPr>
      </w:pPr>
      <w:r w:rsidRPr="000C43C5">
        <w:rPr>
          <w:b/>
          <w:lang w:val="fr-CA"/>
        </w:rPr>
        <w:t>LA LOI</w:t>
      </w:r>
    </w:p>
    <w:p w14:paraId="4C1AE8D8" w14:textId="77777777" w:rsidR="007C613B" w:rsidRPr="000C43C5" w:rsidRDefault="007C613B" w:rsidP="007C613B">
      <w:pPr>
        <w:jc w:val="both"/>
        <w:rPr>
          <w:rFonts w:ascii="Arial" w:hAnsi="Arial" w:cs="Arial"/>
          <w:b/>
          <w:lang w:val="fr-CA"/>
        </w:rPr>
      </w:pPr>
    </w:p>
    <w:p w14:paraId="7CD9CE51" w14:textId="7621C8A3" w:rsidR="005E7FDC" w:rsidRPr="000C43C5" w:rsidRDefault="00E45333" w:rsidP="007C613B">
      <w:pPr>
        <w:jc w:val="both"/>
        <w:rPr>
          <w:rFonts w:ascii="Arial" w:hAnsi="Arial" w:cs="Arial"/>
          <w:b/>
          <w:lang w:val="fr-CA"/>
        </w:rPr>
      </w:pPr>
      <w:r w:rsidRPr="000C43C5">
        <w:rPr>
          <w:rFonts w:ascii="Arial" w:hAnsi="Arial" w:cs="Arial"/>
          <w:b/>
          <w:lang w:val="fr-CA"/>
        </w:rPr>
        <w:t>Norme de preuve</w:t>
      </w:r>
    </w:p>
    <w:p w14:paraId="4ACD0158" w14:textId="77777777" w:rsidR="005E7FDC" w:rsidRPr="000C43C5" w:rsidRDefault="005E7FDC" w:rsidP="005E7FDC">
      <w:pPr>
        <w:pStyle w:val="ListParagraph"/>
        <w:jc w:val="both"/>
        <w:rPr>
          <w:rFonts w:ascii="Arial" w:hAnsi="Arial" w:cs="Arial"/>
          <w:b/>
          <w:lang w:val="fr-CA"/>
        </w:rPr>
      </w:pPr>
    </w:p>
    <w:p w14:paraId="35B979FE" w14:textId="443B4564" w:rsidR="005E7FDC" w:rsidRPr="000C43C5" w:rsidRDefault="00E45333" w:rsidP="00E45333">
      <w:pPr>
        <w:pStyle w:val="AParaNumbering"/>
        <w:rPr>
          <w:lang w:val="fr-CA"/>
        </w:rPr>
      </w:pPr>
      <w:r w:rsidRPr="000C43C5">
        <w:rPr>
          <w:lang w:val="fr-CA"/>
        </w:rPr>
        <w:t>Le comité d’audition doit être convaincu qu’il existe une preuve claire et convaincante établissant l’inconduite judiciaire selon la prépondérance des probabilités</w:t>
      </w:r>
      <w:r w:rsidR="005E7FDC" w:rsidRPr="000C43C5">
        <w:rPr>
          <w:lang w:val="fr-CA"/>
        </w:rPr>
        <w:t>.</w:t>
      </w:r>
    </w:p>
    <w:p w14:paraId="780B298C" w14:textId="497B4967" w:rsidR="005E7FDC" w:rsidRPr="000C43C5" w:rsidRDefault="00E45333" w:rsidP="005E7FDC">
      <w:pPr>
        <w:jc w:val="both"/>
        <w:rPr>
          <w:rFonts w:ascii="Arial" w:hAnsi="Arial" w:cs="Arial"/>
          <w:b/>
          <w:lang w:val="fr-CA"/>
        </w:rPr>
      </w:pPr>
      <w:r w:rsidRPr="000C43C5">
        <w:rPr>
          <w:rFonts w:ascii="Arial" w:hAnsi="Arial" w:cs="Arial"/>
          <w:b/>
          <w:lang w:val="fr-CA"/>
        </w:rPr>
        <w:t>Inconduite judiciaire</w:t>
      </w:r>
    </w:p>
    <w:p w14:paraId="5F45E528" w14:textId="77777777" w:rsidR="005E7FDC" w:rsidRPr="000C43C5" w:rsidRDefault="005E7FDC" w:rsidP="005E7FDC">
      <w:pPr>
        <w:jc w:val="both"/>
        <w:rPr>
          <w:rFonts w:ascii="Arial" w:hAnsi="Arial" w:cs="Arial"/>
          <w:b/>
          <w:lang w:val="fr-CA"/>
        </w:rPr>
      </w:pPr>
    </w:p>
    <w:p w14:paraId="17750EC5" w14:textId="03547E88" w:rsidR="005E7FDC" w:rsidRPr="000C43C5" w:rsidRDefault="00E45333" w:rsidP="00E45333">
      <w:pPr>
        <w:pStyle w:val="AParaNumbering"/>
        <w:rPr>
          <w:rStyle w:val="Emphasis"/>
          <w:i w:val="0"/>
          <w:lang w:val="fr-CA"/>
        </w:rPr>
      </w:pPr>
      <w:r w:rsidRPr="000C43C5">
        <w:rPr>
          <w:rStyle w:val="Emphasis"/>
          <w:i w:val="0"/>
          <w:lang w:val="fr-CA"/>
        </w:rPr>
        <w:t xml:space="preserve">Les termes « inconduite judiciaire » et « faire droit à une plainte » ne sont pas définis dans la Loi. Cependant, toutes les parties ont convenu que les décisions du Conseil canadien de la magistrature, du Conseil de la magistrature de l'Ontario et du Conseil d’évaluation des juges de paix </w:t>
      </w:r>
      <w:r w:rsidR="00615EDA" w:rsidRPr="000C43C5">
        <w:rPr>
          <w:rStyle w:val="Emphasis"/>
          <w:i w:val="0"/>
          <w:lang w:val="fr-CA"/>
        </w:rPr>
        <w:t>déterminant</w:t>
      </w:r>
      <w:r w:rsidRPr="000C43C5">
        <w:rPr>
          <w:rStyle w:val="Emphasis"/>
          <w:i w:val="0"/>
          <w:lang w:val="fr-CA"/>
        </w:rPr>
        <w:t xml:space="preserve"> si un juge a commis une inconduite judiciaire ou non sont pertinentes pour les critères que nous devons appliquer afin de déterminer s’il faut faire droit à une plainte </w:t>
      </w:r>
      <w:r w:rsidR="005E7FDC" w:rsidRPr="000C43C5">
        <w:rPr>
          <w:rStyle w:val="Emphasis"/>
          <w:i w:val="0"/>
          <w:lang w:val="fr-CA"/>
        </w:rPr>
        <w:t>(</w:t>
      </w:r>
      <w:r w:rsidRPr="000C43C5">
        <w:rPr>
          <w:rStyle w:val="Emphasis"/>
          <w:i w:val="0"/>
          <w:lang w:val="fr-CA"/>
        </w:rPr>
        <w:t>aux termes du paragraphe </w:t>
      </w:r>
      <w:r w:rsidR="005E7FDC" w:rsidRPr="000C43C5">
        <w:rPr>
          <w:rStyle w:val="Emphasis"/>
          <w:i w:val="0"/>
          <w:lang w:val="fr-CA"/>
        </w:rPr>
        <w:t>11.1</w:t>
      </w:r>
      <w:r w:rsidRPr="000C43C5">
        <w:rPr>
          <w:rStyle w:val="Emphasis"/>
          <w:i w:val="0"/>
          <w:lang w:val="fr-CA"/>
        </w:rPr>
        <w:t> </w:t>
      </w:r>
      <w:r w:rsidR="005E7FDC" w:rsidRPr="000C43C5">
        <w:rPr>
          <w:rStyle w:val="Emphasis"/>
          <w:i w:val="0"/>
          <w:lang w:val="fr-CA"/>
        </w:rPr>
        <w:t xml:space="preserve">(10) </w:t>
      </w:r>
      <w:r w:rsidRPr="000C43C5">
        <w:rPr>
          <w:rStyle w:val="Emphasis"/>
          <w:i w:val="0"/>
          <w:lang w:val="fr-CA"/>
        </w:rPr>
        <w:t>de la Loi</w:t>
      </w:r>
      <w:r w:rsidR="005E7FDC" w:rsidRPr="000C43C5">
        <w:rPr>
          <w:rStyle w:val="Emphasis"/>
          <w:i w:val="0"/>
          <w:lang w:val="fr-CA"/>
        </w:rPr>
        <w:t xml:space="preserve">) </w:t>
      </w:r>
      <w:r w:rsidRPr="000C43C5">
        <w:rPr>
          <w:rStyle w:val="Emphasis"/>
          <w:i w:val="0"/>
          <w:lang w:val="fr-CA"/>
        </w:rPr>
        <w:t xml:space="preserve">et, dans l’affirmative, s’il faut appliquer une ou plusieurs des mesures prévues par ce paragraphe </w:t>
      </w:r>
      <w:r w:rsidR="00615EDA" w:rsidRPr="000C43C5">
        <w:rPr>
          <w:rStyle w:val="Emphasis"/>
          <w:i w:val="0"/>
          <w:lang w:val="fr-CA"/>
        </w:rPr>
        <w:t xml:space="preserve">qui reflètent les mêmes mesures à la disposition du Conseil de la </w:t>
      </w:r>
      <w:r w:rsidR="00615EDA" w:rsidRPr="000C43C5">
        <w:rPr>
          <w:rStyle w:val="Emphasis"/>
          <w:i w:val="0"/>
          <w:lang w:val="fr-CA"/>
        </w:rPr>
        <w:lastRenderedPageBreak/>
        <w:t>magistrature de l'Ontario en vertu du paragraphe</w:t>
      </w:r>
      <w:r w:rsidR="005E7FDC" w:rsidRPr="000C43C5">
        <w:rPr>
          <w:rStyle w:val="Emphasis"/>
          <w:i w:val="0"/>
          <w:lang w:val="fr-CA"/>
        </w:rPr>
        <w:t xml:space="preserve"> 51.6</w:t>
      </w:r>
      <w:r w:rsidR="00615EDA" w:rsidRPr="000C43C5">
        <w:rPr>
          <w:rStyle w:val="Emphasis"/>
          <w:i w:val="0"/>
          <w:lang w:val="fr-CA"/>
        </w:rPr>
        <w:t> </w:t>
      </w:r>
      <w:r w:rsidR="005E7FDC" w:rsidRPr="000C43C5">
        <w:rPr>
          <w:rStyle w:val="Emphasis"/>
          <w:i w:val="0"/>
          <w:lang w:val="fr-CA"/>
        </w:rPr>
        <w:t xml:space="preserve">(11) </w:t>
      </w:r>
      <w:r w:rsidR="00615EDA" w:rsidRPr="000C43C5">
        <w:rPr>
          <w:rStyle w:val="Emphasis"/>
          <w:i w:val="0"/>
          <w:lang w:val="fr-CA"/>
        </w:rPr>
        <w:t xml:space="preserve">de la </w:t>
      </w:r>
      <w:r w:rsidR="00615EDA" w:rsidRPr="000C43C5">
        <w:rPr>
          <w:rStyle w:val="Emphasis"/>
          <w:lang w:val="fr-CA"/>
        </w:rPr>
        <w:t>Loi sur les tribunaux judiciaires</w:t>
      </w:r>
      <w:r w:rsidR="00615EDA" w:rsidRPr="000C43C5">
        <w:rPr>
          <w:rStyle w:val="Emphasis"/>
          <w:i w:val="0"/>
          <w:lang w:val="fr-CA"/>
        </w:rPr>
        <w:t>, L.R.O</w:t>
      </w:r>
      <w:r w:rsidR="005E7FDC" w:rsidRPr="000C43C5">
        <w:rPr>
          <w:rStyle w:val="Emphasis"/>
          <w:i w:val="0"/>
          <w:lang w:val="fr-CA"/>
        </w:rPr>
        <w:t>. 1990</w:t>
      </w:r>
      <w:r w:rsidR="00615EDA" w:rsidRPr="000C43C5">
        <w:rPr>
          <w:rStyle w:val="Emphasis"/>
          <w:i w:val="0"/>
          <w:lang w:val="fr-CA"/>
        </w:rPr>
        <w:t>,</w:t>
      </w:r>
      <w:r w:rsidR="005E7FDC" w:rsidRPr="000C43C5">
        <w:rPr>
          <w:rStyle w:val="Emphasis"/>
          <w:i w:val="0"/>
          <w:lang w:val="fr-CA"/>
        </w:rPr>
        <w:t xml:space="preserve"> </w:t>
      </w:r>
      <w:r w:rsidR="00A93EE0" w:rsidRPr="000C43C5">
        <w:rPr>
          <w:rStyle w:val="Emphasis"/>
          <w:i w:val="0"/>
          <w:lang w:val="fr-CA"/>
        </w:rPr>
        <w:t>c</w:t>
      </w:r>
      <w:r w:rsidR="00615EDA" w:rsidRPr="000C43C5">
        <w:rPr>
          <w:rStyle w:val="Emphasis"/>
          <w:i w:val="0"/>
          <w:lang w:val="fr-CA"/>
        </w:rPr>
        <w:t>h</w:t>
      </w:r>
      <w:r w:rsidR="005E7FDC" w:rsidRPr="000C43C5">
        <w:rPr>
          <w:rStyle w:val="Emphasis"/>
          <w:i w:val="0"/>
          <w:lang w:val="fr-CA"/>
        </w:rPr>
        <w:t>.</w:t>
      </w:r>
      <w:r w:rsidR="00615EDA" w:rsidRPr="000C43C5">
        <w:rPr>
          <w:rStyle w:val="Emphasis"/>
          <w:i w:val="0"/>
          <w:lang w:val="fr-CA"/>
        </w:rPr>
        <w:t xml:space="preserve"> </w:t>
      </w:r>
      <w:r w:rsidR="005E7FDC" w:rsidRPr="000C43C5">
        <w:rPr>
          <w:rStyle w:val="Emphasis"/>
          <w:i w:val="0"/>
          <w:lang w:val="fr-CA"/>
        </w:rPr>
        <w:t>43</w:t>
      </w:r>
      <w:r w:rsidR="00CC0EA1" w:rsidRPr="000C43C5">
        <w:rPr>
          <w:rStyle w:val="Emphasis"/>
          <w:i w:val="0"/>
          <w:lang w:val="fr-CA"/>
        </w:rPr>
        <w:t>.</w:t>
      </w:r>
      <w:r w:rsidR="005E7FDC" w:rsidRPr="000C43C5">
        <w:rPr>
          <w:rStyle w:val="Emphasis"/>
          <w:i w:val="0"/>
          <w:lang w:val="fr-CA"/>
        </w:rPr>
        <w:t xml:space="preserve"> </w:t>
      </w:r>
    </w:p>
    <w:p w14:paraId="0552D398" w14:textId="0480B8A7" w:rsidR="00F12199" w:rsidRPr="000C43C5" w:rsidRDefault="00615EDA" w:rsidP="00870C5F">
      <w:pPr>
        <w:pStyle w:val="AParaNumbering"/>
        <w:spacing w:before="0" w:after="0" w:line="240" w:lineRule="auto"/>
        <w:rPr>
          <w:lang w:val="fr-CA"/>
        </w:rPr>
      </w:pPr>
      <w:r w:rsidRPr="000C43C5">
        <w:rPr>
          <w:lang w:val="fr-CA"/>
        </w:rPr>
        <w:t xml:space="preserve">Dans la décision </w:t>
      </w:r>
      <w:r w:rsidR="00F12199" w:rsidRPr="000C43C5">
        <w:rPr>
          <w:i/>
          <w:lang w:val="fr-CA"/>
        </w:rPr>
        <w:t>Re</w:t>
      </w:r>
      <w:r w:rsidR="00F12199" w:rsidRPr="000C43C5">
        <w:rPr>
          <w:lang w:val="fr-CA"/>
        </w:rPr>
        <w:t xml:space="preserve"> </w:t>
      </w:r>
      <w:r w:rsidR="00F12199" w:rsidRPr="000C43C5">
        <w:rPr>
          <w:i/>
          <w:lang w:val="fr-CA"/>
        </w:rPr>
        <w:t>Baldwin</w:t>
      </w:r>
      <w:r w:rsidR="00F12199" w:rsidRPr="000C43C5">
        <w:rPr>
          <w:lang w:val="fr-CA"/>
        </w:rPr>
        <w:t xml:space="preserve">, </w:t>
      </w:r>
      <w:r w:rsidRPr="000C43C5">
        <w:rPr>
          <w:lang w:val="fr-CA"/>
        </w:rPr>
        <w:t xml:space="preserve">le comité d’audition a étudié la question en litige comme ceci </w:t>
      </w:r>
      <w:r w:rsidR="00F12199" w:rsidRPr="000C43C5">
        <w:rPr>
          <w:lang w:val="fr-CA"/>
        </w:rPr>
        <w:t>:</w:t>
      </w:r>
    </w:p>
    <w:p w14:paraId="0F5DF0C3" w14:textId="77777777" w:rsidR="00870C5F" w:rsidRPr="000C43C5" w:rsidRDefault="00870C5F" w:rsidP="00870C5F">
      <w:pPr>
        <w:pStyle w:val="AParaNumbering"/>
        <w:numPr>
          <w:ilvl w:val="0"/>
          <w:numId w:val="0"/>
        </w:numPr>
        <w:spacing w:before="0" w:after="0" w:line="240" w:lineRule="auto"/>
        <w:rPr>
          <w:lang w:val="fr-CA"/>
        </w:rPr>
      </w:pPr>
    </w:p>
    <w:p w14:paraId="3E9783EA" w14:textId="126FF240" w:rsidR="009517E8" w:rsidRPr="000C43C5" w:rsidRDefault="00615EDA" w:rsidP="00870C5F">
      <w:pPr>
        <w:pStyle w:val="AParaNumbering"/>
        <w:numPr>
          <w:ilvl w:val="0"/>
          <w:numId w:val="0"/>
        </w:numPr>
        <w:spacing w:before="0" w:after="0" w:line="240" w:lineRule="auto"/>
        <w:ind w:left="1134"/>
        <w:rPr>
          <w:lang w:val="fr-CA"/>
        </w:rPr>
      </w:pPr>
      <w:r w:rsidRPr="000C43C5">
        <w:rPr>
          <w:lang w:val="fr-CA"/>
        </w:rPr>
        <w:t>Dans l’arrêt</w:t>
      </w:r>
      <w:r w:rsidR="00F12199" w:rsidRPr="000C43C5">
        <w:rPr>
          <w:lang w:val="fr-CA"/>
        </w:rPr>
        <w:t xml:space="preserve"> </w:t>
      </w:r>
      <w:r w:rsidR="00F12199" w:rsidRPr="000C43C5">
        <w:rPr>
          <w:i/>
          <w:lang w:val="fr-CA"/>
        </w:rPr>
        <w:t xml:space="preserve">Moreau-Bérubé </w:t>
      </w:r>
      <w:r w:rsidRPr="000C43C5">
        <w:rPr>
          <w:i/>
          <w:lang w:val="fr-CA"/>
        </w:rPr>
        <w:t>c.</w:t>
      </w:r>
      <w:r w:rsidR="00F12199" w:rsidRPr="000C43C5">
        <w:rPr>
          <w:i/>
          <w:lang w:val="fr-CA"/>
        </w:rPr>
        <w:t xml:space="preserve"> New Brunswick</w:t>
      </w:r>
      <w:r w:rsidR="00F12199" w:rsidRPr="000C43C5">
        <w:rPr>
          <w:lang w:val="fr-CA"/>
        </w:rPr>
        <w:t xml:space="preserve"> (Judicial Council), </w:t>
      </w:r>
      <w:r w:rsidRPr="000C43C5">
        <w:rPr>
          <w:lang w:val="fr-CA"/>
        </w:rPr>
        <w:t>la Cour suprême a analysé les tensions qui s'exercent entre indépendance et obligation de rendre compte.</w:t>
      </w:r>
      <w:r w:rsidR="00F12199" w:rsidRPr="000C43C5">
        <w:rPr>
          <w:lang w:val="fr-CA"/>
        </w:rPr>
        <w:t xml:space="preserve"> </w:t>
      </w:r>
      <w:r w:rsidRPr="000C43C5">
        <w:rPr>
          <w:lang w:val="fr-CA"/>
        </w:rPr>
        <w:t>Les juges doivent être tenus de rendre compte de leur conduite judiciaire et extrajudiciaire.</w:t>
      </w:r>
      <w:r w:rsidR="00F12199" w:rsidRPr="000C43C5">
        <w:rPr>
          <w:lang w:val="fr-CA"/>
        </w:rPr>
        <w:t xml:space="preserve"> </w:t>
      </w:r>
      <w:r w:rsidRPr="000C43C5">
        <w:rPr>
          <w:lang w:val="fr-CA"/>
        </w:rPr>
        <w:t xml:space="preserve">Le public doit faire confiance au système judiciaire et être convaincu de la capacité des juges </w:t>
      </w:r>
      <w:r w:rsidR="001B79B1" w:rsidRPr="000C43C5">
        <w:rPr>
          <w:lang w:val="fr-CA"/>
        </w:rPr>
        <w:t xml:space="preserve">d’accomplir les fonctions de leur charge de </w:t>
      </w:r>
      <w:r w:rsidRPr="000C43C5">
        <w:rPr>
          <w:lang w:val="fr-CA"/>
        </w:rPr>
        <w:t xml:space="preserve">façon impartiale et indépendante et avec intégrité.  </w:t>
      </w:r>
      <w:r w:rsidR="001B79B1" w:rsidRPr="000C43C5">
        <w:rPr>
          <w:lang w:val="fr-CA"/>
        </w:rPr>
        <w:t>Lorsque la confiance du public est minée par la conduite d’un juge, il doit y avoir un processus pour remédier au préjudice qui a été occasionné par cette conduite</w:t>
      </w:r>
      <w:r w:rsidR="009517E8" w:rsidRPr="000C43C5">
        <w:rPr>
          <w:lang w:val="fr-CA"/>
        </w:rPr>
        <w:t>.</w:t>
      </w:r>
      <w:r w:rsidR="001E2DD1" w:rsidRPr="000C43C5">
        <w:rPr>
          <w:lang w:val="fr-CA"/>
        </w:rPr>
        <w:t>…</w:t>
      </w:r>
    </w:p>
    <w:p w14:paraId="3F638F5E" w14:textId="77777777" w:rsidR="007C613B" w:rsidRPr="000C43C5" w:rsidRDefault="007C613B" w:rsidP="00870C5F">
      <w:pPr>
        <w:pStyle w:val="AParaNumbering"/>
        <w:numPr>
          <w:ilvl w:val="0"/>
          <w:numId w:val="0"/>
        </w:numPr>
        <w:spacing w:before="0" w:after="0" w:line="240" w:lineRule="auto"/>
        <w:ind w:left="1134"/>
        <w:rPr>
          <w:lang w:val="fr-CA"/>
        </w:rPr>
      </w:pPr>
    </w:p>
    <w:p w14:paraId="56642B33" w14:textId="7B70A645" w:rsidR="00F12199" w:rsidRPr="000C43C5" w:rsidRDefault="001B79B1" w:rsidP="007C613B">
      <w:pPr>
        <w:pStyle w:val="AParaNumbering"/>
        <w:numPr>
          <w:ilvl w:val="0"/>
          <w:numId w:val="0"/>
        </w:numPr>
        <w:spacing w:before="0" w:after="0" w:line="240" w:lineRule="auto"/>
        <w:ind w:left="1134"/>
        <w:rPr>
          <w:sz w:val="20"/>
          <w:lang w:val="fr-CA"/>
        </w:rPr>
      </w:pPr>
      <w:r w:rsidRPr="000C43C5">
        <w:rPr>
          <w:lang w:val="fr-CA"/>
        </w:rPr>
        <w:t xml:space="preserve">Paraphrasant le test prévu par la Cour suprême dans </w:t>
      </w:r>
      <w:r w:rsidRPr="000C43C5">
        <w:rPr>
          <w:i/>
          <w:lang w:val="fr-CA"/>
        </w:rPr>
        <w:t>Therrien et Moreau-Berube</w:t>
      </w:r>
      <w:r w:rsidRPr="000C43C5">
        <w:rPr>
          <w:lang w:val="fr-CA"/>
        </w:rPr>
        <w:t>, la question examinée en vertu du paragraphe 51.6( 11) est de déterminer si la conduite qui est reprochée est si gravement contraire à l’impartialité, l’intégrité et l’indépendance de la magistrature qu’elle a miné la confiance du public dans la capacité du juge d’accomplir les fonctions de sa charge ou l’administration de la justice de manière générale et qu’il est nécessaire au Conseil de la magistrature de prendre l’une des mesures prévues à l’article pour rétablir cette confiance</w:t>
      </w:r>
      <w:r w:rsidR="00F12199" w:rsidRPr="000C43C5">
        <w:rPr>
          <w:lang w:val="fr-CA"/>
        </w:rPr>
        <w:t>.</w:t>
      </w:r>
    </w:p>
    <w:p w14:paraId="5BDA38DD" w14:textId="7928EBB7" w:rsidR="00F12199" w:rsidRPr="000C43C5" w:rsidRDefault="00F12199" w:rsidP="007C613B">
      <w:pPr>
        <w:pStyle w:val="AParaNumbering"/>
        <w:numPr>
          <w:ilvl w:val="0"/>
          <w:numId w:val="0"/>
        </w:numPr>
        <w:spacing w:before="0" w:after="0" w:line="240" w:lineRule="auto"/>
        <w:ind w:left="1134"/>
        <w:rPr>
          <w:lang w:val="fr-CA"/>
        </w:rPr>
      </w:pPr>
      <w:r w:rsidRPr="000C43C5">
        <w:rPr>
          <w:i/>
          <w:lang w:val="fr-CA"/>
        </w:rPr>
        <w:t>Re: Baldwin</w:t>
      </w:r>
      <w:r w:rsidRPr="000C43C5">
        <w:rPr>
          <w:lang w:val="fr-CA"/>
        </w:rPr>
        <w:t xml:space="preserve"> (</w:t>
      </w:r>
      <w:r w:rsidR="00BF514D" w:rsidRPr="000C43C5">
        <w:rPr>
          <w:lang w:val="fr-CA"/>
        </w:rPr>
        <w:t xml:space="preserve">OJC, </w:t>
      </w:r>
      <w:r w:rsidRPr="000C43C5">
        <w:rPr>
          <w:lang w:val="fr-CA"/>
        </w:rPr>
        <w:t>2002)</w:t>
      </w:r>
      <w:r w:rsidR="001B79B1" w:rsidRPr="000C43C5">
        <w:rPr>
          <w:lang w:val="fr-CA"/>
        </w:rPr>
        <w:t>,</w:t>
      </w:r>
      <w:r w:rsidRPr="000C43C5">
        <w:rPr>
          <w:lang w:val="fr-CA"/>
        </w:rPr>
        <w:t xml:space="preserve"> p. 6</w:t>
      </w:r>
    </w:p>
    <w:p w14:paraId="708E817A" w14:textId="77777777" w:rsidR="008F18D1" w:rsidRPr="000C43C5" w:rsidRDefault="008F18D1" w:rsidP="007C613B">
      <w:pPr>
        <w:pStyle w:val="AParaNumbering"/>
        <w:numPr>
          <w:ilvl w:val="0"/>
          <w:numId w:val="0"/>
        </w:numPr>
        <w:spacing w:before="0" w:after="0" w:line="240" w:lineRule="auto"/>
        <w:ind w:left="1134"/>
        <w:rPr>
          <w:lang w:val="fr-CA"/>
        </w:rPr>
      </w:pPr>
    </w:p>
    <w:p w14:paraId="51D7CF8D" w14:textId="125A177D" w:rsidR="005E7FDC" w:rsidRPr="000C43C5" w:rsidRDefault="001B79B1" w:rsidP="00870C5F">
      <w:pPr>
        <w:pStyle w:val="AParaNumbering"/>
        <w:spacing w:after="120"/>
        <w:rPr>
          <w:lang w:val="fr-CA"/>
        </w:rPr>
      </w:pPr>
      <w:r w:rsidRPr="000C43C5">
        <w:rPr>
          <w:lang w:val="fr-CA"/>
        </w:rPr>
        <w:t xml:space="preserve">Dans la décision </w:t>
      </w:r>
      <w:r w:rsidR="005E7FDC" w:rsidRPr="000C43C5">
        <w:rPr>
          <w:i/>
          <w:lang w:val="fr-CA"/>
        </w:rPr>
        <w:t>Re Douglas</w:t>
      </w:r>
      <w:r w:rsidR="005E7FDC" w:rsidRPr="000C43C5">
        <w:rPr>
          <w:lang w:val="fr-CA"/>
        </w:rPr>
        <w:t xml:space="preserve"> (OJC, 2006),</w:t>
      </w:r>
      <w:r w:rsidR="001F13D9" w:rsidRPr="000C43C5">
        <w:rPr>
          <w:lang w:val="fr-CA"/>
        </w:rPr>
        <w:t xml:space="preserve"> </w:t>
      </w:r>
      <w:r w:rsidRPr="000C43C5">
        <w:rPr>
          <w:lang w:val="fr-CA"/>
        </w:rPr>
        <w:t xml:space="preserve">une audience disciplinaire judiciaire devant un comité d’audition du Conseil de la magistrature de l’Ontario, le comité </w:t>
      </w:r>
      <w:r w:rsidR="00A35291">
        <w:rPr>
          <w:lang w:val="fr-CA"/>
        </w:rPr>
        <w:t xml:space="preserve">d’audition </w:t>
      </w:r>
      <w:r w:rsidRPr="000C43C5">
        <w:rPr>
          <w:lang w:val="fr-CA"/>
        </w:rPr>
        <w:t xml:space="preserve">a écrit, aux paragraphes </w:t>
      </w:r>
      <w:r w:rsidR="005E7FDC" w:rsidRPr="000C43C5">
        <w:rPr>
          <w:lang w:val="fr-CA"/>
        </w:rPr>
        <w:t>8-9</w:t>
      </w:r>
      <w:r w:rsidRPr="000C43C5">
        <w:rPr>
          <w:lang w:val="fr-CA"/>
        </w:rPr>
        <w:t> </w:t>
      </w:r>
      <w:r w:rsidR="005E7FDC" w:rsidRPr="000C43C5">
        <w:rPr>
          <w:lang w:val="fr-CA"/>
        </w:rPr>
        <w:t>:</w:t>
      </w:r>
      <w:r w:rsidR="00AF02DF" w:rsidRPr="000C43C5">
        <w:rPr>
          <w:lang w:val="fr-CA"/>
        </w:rPr>
        <w:t xml:space="preserve"> </w:t>
      </w:r>
    </w:p>
    <w:p w14:paraId="3DFC4A68" w14:textId="0C26FF57" w:rsidR="005C7A84" w:rsidRPr="000C43C5" w:rsidRDefault="005C7A84" w:rsidP="006143F5">
      <w:pPr>
        <w:ind w:left="1440" w:right="571"/>
        <w:jc w:val="both"/>
        <w:rPr>
          <w:rFonts w:ascii="Arial" w:hAnsi="Arial" w:cs="Arial"/>
          <w:lang w:val="fr-CA"/>
        </w:rPr>
      </w:pPr>
      <w:r w:rsidRPr="000C43C5">
        <w:rPr>
          <w:rFonts w:ascii="Arial" w:hAnsi="Arial" w:cs="Arial"/>
          <w:lang w:val="fr-CA"/>
        </w:rPr>
        <w:t xml:space="preserve">[8] </w:t>
      </w:r>
      <w:r w:rsidR="001B79B1" w:rsidRPr="000C43C5">
        <w:rPr>
          <w:rFonts w:ascii="Arial" w:hAnsi="Arial" w:cs="Arial"/>
          <w:lang w:val="fr-CA"/>
        </w:rPr>
        <w:t xml:space="preserve">Selon les arrêts </w:t>
      </w:r>
      <w:r w:rsidR="001B79B1" w:rsidRPr="000C43C5">
        <w:rPr>
          <w:rFonts w:ascii="Arial" w:hAnsi="Arial" w:cs="Arial"/>
          <w:i/>
          <w:lang w:val="fr-CA"/>
        </w:rPr>
        <w:t>Re : Baldwin</w:t>
      </w:r>
      <w:r w:rsidR="001B79B1" w:rsidRPr="000C43C5">
        <w:rPr>
          <w:rFonts w:ascii="Arial" w:hAnsi="Arial" w:cs="Arial"/>
          <w:lang w:val="fr-CA"/>
        </w:rPr>
        <w:t xml:space="preserve"> et </w:t>
      </w:r>
      <w:r w:rsidR="001B79B1" w:rsidRPr="000C43C5">
        <w:rPr>
          <w:rFonts w:ascii="Arial" w:hAnsi="Arial" w:cs="Arial"/>
          <w:i/>
          <w:lang w:val="fr-CA"/>
        </w:rPr>
        <w:t>Re : Evans</w:t>
      </w:r>
      <w:r w:rsidR="001B79B1" w:rsidRPr="000C43C5">
        <w:rPr>
          <w:rFonts w:ascii="Arial" w:hAnsi="Arial" w:cs="Arial"/>
          <w:lang w:val="fr-CA"/>
        </w:rPr>
        <w:t xml:space="preserve">, le test de l’inconduite judiciaire réunit deux critères interreliés : 1) confiance du public; 2) impartialité, intégrité et indépendance du juge ou du système de justice. Le premier critère exige que le comité d’examen considère non seulement la conduite en cause, mais également l’apparence que revêt cette conduite aux yeux de la population. Tel que l’énonce l’arrêt Therrien, la population exigera à tout le moins d’un juge qu’il donne l’apparence de l’impartialité, de l’indépendance et de l’intégrité. On voit donc que le maintien de la confiance que le public place en le juge personnellement et en son système de justice </w:t>
      </w:r>
      <w:r w:rsidR="00952D4D">
        <w:rPr>
          <w:rFonts w:ascii="Arial" w:hAnsi="Arial" w:cs="Arial"/>
          <w:lang w:val="fr-CA"/>
        </w:rPr>
        <w:t>est</w:t>
      </w:r>
      <w:r w:rsidR="001B79B1" w:rsidRPr="000C43C5">
        <w:rPr>
          <w:rFonts w:ascii="Arial" w:hAnsi="Arial" w:cs="Arial"/>
          <w:lang w:val="fr-CA"/>
        </w:rPr>
        <w:t xml:space="preserve"> </w:t>
      </w:r>
      <w:r w:rsidR="00952D4D">
        <w:rPr>
          <w:rFonts w:ascii="Arial" w:hAnsi="Arial" w:cs="Arial"/>
          <w:lang w:val="fr-CA"/>
        </w:rPr>
        <w:t>une</w:t>
      </w:r>
      <w:r w:rsidR="001B79B1" w:rsidRPr="000C43C5">
        <w:rPr>
          <w:rFonts w:ascii="Arial" w:hAnsi="Arial" w:cs="Arial"/>
          <w:lang w:val="fr-CA"/>
        </w:rPr>
        <w:t xml:space="preserve"> considération centrale pour l’évaluation de la conduite reprochée. De plus, cette </w:t>
      </w:r>
      <w:r w:rsidR="001B79B1" w:rsidRPr="000C43C5">
        <w:rPr>
          <w:rFonts w:ascii="Arial" w:hAnsi="Arial" w:cs="Arial"/>
          <w:lang w:val="fr-CA"/>
        </w:rPr>
        <w:lastRenderedPageBreak/>
        <w:t>conduite doit être telle qu’elle compromet l’impartialité, l’indépendance et l’intégrité de l’appareil judiciaire ou du système de justice</w:t>
      </w:r>
      <w:r w:rsidRPr="000C43C5">
        <w:rPr>
          <w:rFonts w:ascii="Arial" w:hAnsi="Arial" w:cs="Arial"/>
          <w:lang w:val="fr-CA"/>
        </w:rPr>
        <w:t>.</w:t>
      </w:r>
    </w:p>
    <w:p w14:paraId="319E8FA9" w14:textId="77777777" w:rsidR="005C7A84" w:rsidRPr="000C43C5" w:rsidRDefault="005C7A84" w:rsidP="006143F5">
      <w:pPr>
        <w:ind w:left="1440" w:right="571"/>
        <w:jc w:val="both"/>
        <w:rPr>
          <w:rFonts w:ascii="Arial" w:hAnsi="Arial" w:cs="Arial"/>
          <w:lang w:val="fr-CA"/>
        </w:rPr>
      </w:pPr>
    </w:p>
    <w:p w14:paraId="12BF3FA4" w14:textId="637CECDA" w:rsidR="005C7A84" w:rsidRPr="000C43C5" w:rsidRDefault="005C7A84" w:rsidP="006143F5">
      <w:pPr>
        <w:ind w:left="1440" w:right="571"/>
        <w:jc w:val="both"/>
        <w:rPr>
          <w:rFonts w:ascii="Arial" w:hAnsi="Arial" w:cs="Arial"/>
          <w:lang w:val="fr-CA"/>
        </w:rPr>
      </w:pPr>
      <w:r w:rsidRPr="000C43C5">
        <w:rPr>
          <w:rFonts w:ascii="Arial" w:hAnsi="Arial" w:cs="Arial"/>
          <w:lang w:val="fr-CA"/>
        </w:rPr>
        <w:t xml:space="preserve">[9] </w:t>
      </w:r>
      <w:r w:rsidR="001B79B1" w:rsidRPr="000C43C5">
        <w:rPr>
          <w:rFonts w:ascii="Arial" w:hAnsi="Arial" w:cs="Arial"/>
          <w:lang w:val="fr-CA"/>
        </w:rPr>
        <w:t>Par conséquent, les juges doivent agir de façon impartiale et indépendante et en présenter l’apparence. Ils doivent être dotés d’intégrité personnelle ou le sembler. Si un juge se conduit d’une manière affichant un manque de l’un ou l’autre de ces attributs, il sera susceptible de se faire reprocher une inconduite judiciaire</w:t>
      </w:r>
      <w:r w:rsidRPr="000C43C5">
        <w:rPr>
          <w:rFonts w:ascii="Arial" w:hAnsi="Arial" w:cs="Arial"/>
          <w:lang w:val="fr-CA"/>
        </w:rPr>
        <w:t>.</w:t>
      </w:r>
    </w:p>
    <w:p w14:paraId="5E8A985F" w14:textId="77777777" w:rsidR="006143F5" w:rsidRPr="000C43C5" w:rsidRDefault="006143F5" w:rsidP="006143F5">
      <w:pPr>
        <w:ind w:right="571"/>
        <w:jc w:val="both"/>
        <w:rPr>
          <w:rFonts w:ascii="Arial" w:hAnsi="Arial" w:cs="Arial"/>
          <w:lang w:val="fr-CA"/>
        </w:rPr>
      </w:pPr>
    </w:p>
    <w:p w14:paraId="0381B3A9" w14:textId="718A1D5B" w:rsidR="00D5734B" w:rsidRPr="000C43C5" w:rsidRDefault="002F3725" w:rsidP="00BF514D">
      <w:pPr>
        <w:pStyle w:val="AParaNumbering"/>
        <w:rPr>
          <w:rFonts w:eastAsia="Arial Unicode MS"/>
          <w:u w:color="000000"/>
          <w:bdr w:val="nil"/>
          <w:lang w:val="fr-CA"/>
        </w:rPr>
      </w:pPr>
      <w:r w:rsidRPr="000C43C5">
        <w:rPr>
          <w:lang w:val="fr-CA"/>
        </w:rPr>
        <w:t xml:space="preserve">Les comités d’audition établis par le Conseil de la magistrature de l’Ontario ont adopté les principes énoncés dans l’arrêt </w:t>
      </w:r>
      <w:r w:rsidR="0003146D" w:rsidRPr="000C43C5">
        <w:rPr>
          <w:i/>
          <w:lang w:val="fr-CA"/>
        </w:rPr>
        <w:t xml:space="preserve">Re </w:t>
      </w:r>
      <w:r w:rsidR="00D5734B" w:rsidRPr="000C43C5">
        <w:rPr>
          <w:i/>
          <w:lang w:val="fr-CA"/>
        </w:rPr>
        <w:t>Therrien</w:t>
      </w:r>
      <w:r w:rsidR="00D5734B" w:rsidRPr="000C43C5">
        <w:rPr>
          <w:lang w:val="fr-CA"/>
        </w:rPr>
        <w:t xml:space="preserve"> </w:t>
      </w:r>
      <w:r w:rsidRPr="000C43C5">
        <w:rPr>
          <w:lang w:val="fr-CA"/>
        </w:rPr>
        <w:t xml:space="preserve">pour évaluer si un juge de la Cour de justice de l’Ontario a commis une inconduite judiciaire. Les mêmes critères ont été adoptés et appliqués par des comités d’audition du Conseil d’évaluation des juges de paix </w:t>
      </w:r>
      <w:r w:rsidR="009B0B2E" w:rsidRPr="000C43C5">
        <w:rPr>
          <w:lang w:val="fr-CA"/>
        </w:rPr>
        <w:t xml:space="preserve">: </w:t>
      </w:r>
      <w:r w:rsidR="00D5734B" w:rsidRPr="000C43C5">
        <w:rPr>
          <w:rFonts w:eastAsia="Arial Unicode MS"/>
          <w:i/>
          <w:u w:color="000000"/>
          <w:bdr w:val="nil"/>
          <w:lang w:val="fr-CA"/>
        </w:rPr>
        <w:t>Decision on Disposition Re Barroilhet</w:t>
      </w:r>
      <w:r w:rsidR="00D5734B" w:rsidRPr="000C43C5">
        <w:rPr>
          <w:rFonts w:eastAsia="Arial Unicode MS"/>
          <w:u w:color="000000"/>
          <w:bdr w:val="nil"/>
          <w:lang w:val="fr-CA"/>
        </w:rPr>
        <w:t xml:space="preserve"> (</w:t>
      </w:r>
      <w:r w:rsidRPr="000C43C5">
        <w:rPr>
          <w:rFonts w:eastAsia="Arial Unicode MS"/>
          <w:u w:color="000000"/>
          <w:bdr w:val="nil"/>
          <w:lang w:val="fr-CA"/>
        </w:rPr>
        <w:t>CEJP</w:t>
      </w:r>
      <w:r w:rsidR="00D5734B" w:rsidRPr="000C43C5">
        <w:rPr>
          <w:rFonts w:eastAsia="Arial Unicode MS"/>
          <w:u w:color="000000"/>
          <w:bdr w:val="nil"/>
          <w:lang w:val="fr-CA"/>
        </w:rPr>
        <w:t xml:space="preserve">, 2009); </w:t>
      </w:r>
      <w:r w:rsidRPr="000C43C5">
        <w:rPr>
          <w:rFonts w:eastAsia="Arial Unicode MS"/>
          <w:i/>
          <w:u w:color="000000"/>
          <w:bdr w:val="nil"/>
          <w:lang w:val="fr-CA"/>
        </w:rPr>
        <w:t xml:space="preserve">Motifs de décision - </w:t>
      </w:r>
      <w:r w:rsidR="00D5734B" w:rsidRPr="000C43C5">
        <w:rPr>
          <w:rFonts w:eastAsia="Arial Unicode MS"/>
          <w:i/>
          <w:u w:color="000000"/>
          <w:bdr w:val="nil"/>
          <w:lang w:val="fr-CA"/>
        </w:rPr>
        <w:t>Re Foulds</w:t>
      </w:r>
      <w:r w:rsidR="00D5734B" w:rsidRPr="000C43C5">
        <w:rPr>
          <w:rFonts w:eastAsia="Arial Unicode MS"/>
          <w:u w:color="000000"/>
          <w:bdr w:val="nil"/>
          <w:lang w:val="fr-CA"/>
        </w:rPr>
        <w:t xml:space="preserve"> (</w:t>
      </w:r>
      <w:r w:rsidRPr="000C43C5">
        <w:rPr>
          <w:rFonts w:eastAsia="Arial Unicode MS"/>
          <w:u w:color="000000"/>
          <w:bdr w:val="nil"/>
          <w:lang w:val="fr-CA"/>
        </w:rPr>
        <w:t>CEJP</w:t>
      </w:r>
      <w:r w:rsidR="00D5734B" w:rsidRPr="000C43C5">
        <w:rPr>
          <w:rFonts w:eastAsia="Arial Unicode MS"/>
          <w:u w:color="000000"/>
          <w:bdr w:val="nil"/>
          <w:lang w:val="fr-CA"/>
        </w:rPr>
        <w:t xml:space="preserve">, 2013); </w:t>
      </w:r>
      <w:r w:rsidRPr="000C43C5">
        <w:rPr>
          <w:rFonts w:eastAsia="Arial Unicode MS"/>
          <w:i/>
          <w:u w:color="000000"/>
          <w:bdr w:val="nil"/>
          <w:lang w:val="fr-CA"/>
        </w:rPr>
        <w:t xml:space="preserve">Motifs de décision - </w:t>
      </w:r>
      <w:r w:rsidR="00D5734B" w:rsidRPr="000C43C5">
        <w:rPr>
          <w:rFonts w:eastAsia="Arial Unicode MS"/>
          <w:i/>
          <w:u w:color="000000"/>
          <w:bdr w:val="nil"/>
          <w:lang w:val="fr-CA"/>
        </w:rPr>
        <w:t>Re Phillips</w:t>
      </w:r>
      <w:r w:rsidR="00D5734B" w:rsidRPr="000C43C5">
        <w:rPr>
          <w:rFonts w:eastAsia="Arial Unicode MS"/>
          <w:u w:color="000000"/>
          <w:bdr w:val="nil"/>
          <w:lang w:val="fr-CA"/>
        </w:rPr>
        <w:t xml:space="preserve"> (</w:t>
      </w:r>
      <w:r w:rsidRPr="000C43C5">
        <w:rPr>
          <w:rFonts w:eastAsia="Arial Unicode MS"/>
          <w:u w:color="000000"/>
          <w:bdr w:val="nil"/>
          <w:lang w:val="fr-CA"/>
        </w:rPr>
        <w:t>CEJP</w:t>
      </w:r>
      <w:r w:rsidR="00D5734B" w:rsidRPr="000C43C5">
        <w:rPr>
          <w:rFonts w:eastAsia="Arial Unicode MS"/>
          <w:u w:color="000000"/>
          <w:bdr w:val="nil"/>
          <w:lang w:val="fr-CA"/>
        </w:rPr>
        <w:t xml:space="preserve">, 2013); </w:t>
      </w:r>
      <w:r w:rsidRPr="000C43C5">
        <w:rPr>
          <w:rFonts w:eastAsia="Arial Unicode MS"/>
          <w:i/>
          <w:u w:color="000000"/>
          <w:bdr w:val="nil"/>
          <w:lang w:val="fr-CA"/>
        </w:rPr>
        <w:t xml:space="preserve">Motifs de décision - </w:t>
      </w:r>
      <w:r w:rsidR="00D5734B" w:rsidRPr="000C43C5">
        <w:rPr>
          <w:rFonts w:eastAsia="Arial Unicode MS"/>
          <w:i/>
          <w:u w:color="000000"/>
          <w:bdr w:val="nil"/>
          <w:lang w:val="fr-CA"/>
        </w:rPr>
        <w:t>Re Johnston</w:t>
      </w:r>
      <w:r w:rsidR="00D5734B" w:rsidRPr="000C43C5">
        <w:rPr>
          <w:rFonts w:eastAsia="Arial Unicode MS"/>
          <w:u w:color="000000"/>
          <w:bdr w:val="nil"/>
          <w:lang w:val="fr-CA"/>
        </w:rPr>
        <w:t xml:space="preserve"> (</w:t>
      </w:r>
      <w:r w:rsidRPr="000C43C5">
        <w:rPr>
          <w:rFonts w:eastAsia="Arial Unicode MS"/>
          <w:u w:color="000000"/>
          <w:bdr w:val="nil"/>
          <w:lang w:val="fr-CA"/>
        </w:rPr>
        <w:t>CEJP</w:t>
      </w:r>
      <w:r w:rsidR="00D5734B" w:rsidRPr="000C43C5">
        <w:rPr>
          <w:rFonts w:eastAsia="Arial Unicode MS"/>
          <w:u w:color="000000"/>
          <w:bdr w:val="nil"/>
          <w:lang w:val="fr-CA"/>
        </w:rPr>
        <w:t>, 2014)</w:t>
      </w:r>
      <w:r w:rsidR="000842DF" w:rsidRPr="000C43C5">
        <w:rPr>
          <w:rFonts w:eastAsia="Arial Unicode MS"/>
          <w:u w:color="000000"/>
          <w:bdr w:val="nil"/>
          <w:lang w:val="fr-CA"/>
        </w:rPr>
        <w:t xml:space="preserve">; </w:t>
      </w:r>
      <w:r w:rsidRPr="000C43C5">
        <w:rPr>
          <w:rFonts w:eastAsia="Arial Unicode MS"/>
          <w:i/>
          <w:u w:color="000000"/>
          <w:bdr w:val="nil"/>
          <w:lang w:val="fr-CA"/>
        </w:rPr>
        <w:t>Motifs de décision - R</w:t>
      </w:r>
      <w:r w:rsidR="000842DF" w:rsidRPr="000C43C5">
        <w:rPr>
          <w:rFonts w:eastAsia="Arial Unicode MS"/>
          <w:i/>
          <w:u w:color="000000"/>
          <w:bdr w:val="nil"/>
          <w:lang w:val="fr-CA"/>
        </w:rPr>
        <w:t>e Massiah</w:t>
      </w:r>
      <w:r w:rsidR="000842DF" w:rsidRPr="000C43C5">
        <w:rPr>
          <w:rFonts w:eastAsia="Arial Unicode MS"/>
          <w:u w:color="000000"/>
          <w:bdr w:val="nil"/>
          <w:lang w:val="fr-CA"/>
        </w:rPr>
        <w:t xml:space="preserve"> (</w:t>
      </w:r>
      <w:r w:rsidRPr="000C43C5">
        <w:rPr>
          <w:rFonts w:eastAsia="Arial Unicode MS"/>
          <w:u w:color="000000"/>
          <w:bdr w:val="nil"/>
          <w:lang w:val="fr-CA"/>
        </w:rPr>
        <w:t>CEJP</w:t>
      </w:r>
      <w:r w:rsidR="008A271D" w:rsidRPr="000C43C5">
        <w:rPr>
          <w:rFonts w:eastAsia="Arial Unicode MS"/>
          <w:u w:color="000000"/>
          <w:bdr w:val="nil"/>
          <w:lang w:val="fr-CA"/>
        </w:rPr>
        <w:t xml:space="preserve">, </w:t>
      </w:r>
      <w:r w:rsidR="000842DF" w:rsidRPr="000C43C5">
        <w:rPr>
          <w:rFonts w:eastAsia="Arial Unicode MS"/>
          <w:u w:color="000000"/>
          <w:bdr w:val="nil"/>
          <w:lang w:val="fr-CA"/>
        </w:rPr>
        <w:t>2015)</w:t>
      </w:r>
      <w:r w:rsidR="00CC0EA1" w:rsidRPr="000C43C5">
        <w:rPr>
          <w:rFonts w:eastAsia="Arial Unicode MS"/>
          <w:u w:color="000000"/>
          <w:bdr w:val="nil"/>
          <w:lang w:val="fr-CA"/>
        </w:rPr>
        <w:t>.</w:t>
      </w:r>
    </w:p>
    <w:p w14:paraId="3FD9FC6B" w14:textId="2543BEF3" w:rsidR="005E7FDC" w:rsidRPr="000C43C5" w:rsidRDefault="002F3725" w:rsidP="00BF514D">
      <w:pPr>
        <w:pStyle w:val="AParaNumbering"/>
        <w:rPr>
          <w:lang w:val="fr-CA"/>
        </w:rPr>
      </w:pPr>
      <w:r w:rsidRPr="000C43C5">
        <w:rPr>
          <w:lang w:val="fr-CA"/>
        </w:rPr>
        <w:t xml:space="preserve">La confiance du public dans le système judiciaire est un principe fondamental dans le contexte de l’examen d’une inconduite judiciaire. Le rôle important de la confiance du public a été relevé par la Cour suprême du Canada dans l’arrêt </w:t>
      </w:r>
      <w:r w:rsidR="005E7FDC" w:rsidRPr="000C43C5">
        <w:rPr>
          <w:i/>
          <w:lang w:val="fr-CA"/>
        </w:rPr>
        <w:t>Re Therrien</w:t>
      </w:r>
      <w:r w:rsidRPr="000C43C5">
        <w:rPr>
          <w:lang w:val="fr-CA"/>
        </w:rPr>
        <w:t>, [2001] 2 RCS</w:t>
      </w:r>
      <w:r w:rsidR="000842DF" w:rsidRPr="000C43C5">
        <w:rPr>
          <w:lang w:val="fr-CA"/>
        </w:rPr>
        <w:t xml:space="preserve"> </w:t>
      </w:r>
      <w:r w:rsidR="005E7FDC" w:rsidRPr="000C43C5">
        <w:rPr>
          <w:lang w:val="fr-CA"/>
        </w:rPr>
        <w:t>3 (</w:t>
      </w:r>
      <w:r w:rsidRPr="000C43C5">
        <w:rPr>
          <w:lang w:val="fr-CA"/>
        </w:rPr>
        <w:t>CSC</w:t>
      </w:r>
      <w:r w:rsidR="005E7FDC" w:rsidRPr="000C43C5">
        <w:rPr>
          <w:lang w:val="fr-CA"/>
        </w:rPr>
        <w:t>)</w:t>
      </w:r>
      <w:r w:rsidRPr="000C43C5">
        <w:rPr>
          <w:lang w:val="fr-CA"/>
        </w:rPr>
        <w:t>, aux</w:t>
      </w:r>
      <w:r w:rsidR="005E7FDC" w:rsidRPr="000C43C5">
        <w:rPr>
          <w:lang w:val="fr-CA"/>
        </w:rPr>
        <w:t xml:space="preserve"> para</w:t>
      </w:r>
      <w:r w:rsidRPr="000C43C5">
        <w:rPr>
          <w:lang w:val="fr-CA"/>
        </w:rPr>
        <w:t xml:space="preserve">graphes </w:t>
      </w:r>
      <w:r w:rsidR="00A35291">
        <w:rPr>
          <w:lang w:val="fr-CA"/>
        </w:rPr>
        <w:t>1</w:t>
      </w:r>
      <w:r w:rsidR="005E7FDC" w:rsidRPr="000C43C5">
        <w:rPr>
          <w:lang w:val="fr-CA"/>
        </w:rPr>
        <w:t xml:space="preserve">08-112; </w:t>
      </w:r>
      <w:r w:rsidRPr="000C43C5">
        <w:rPr>
          <w:lang w:val="fr-CA"/>
        </w:rPr>
        <w:t xml:space="preserve">et par la Cour d’appel du Québec, dans l’affaire </w:t>
      </w:r>
      <w:r w:rsidR="005E7FDC" w:rsidRPr="000C43C5">
        <w:rPr>
          <w:i/>
          <w:lang w:val="fr-CA"/>
        </w:rPr>
        <w:t>Ruffo</w:t>
      </w:r>
      <w:r w:rsidR="00365C6E" w:rsidRPr="000C43C5">
        <w:rPr>
          <w:i/>
          <w:lang w:val="fr-CA"/>
        </w:rPr>
        <w:t xml:space="preserve"> (Re)</w:t>
      </w:r>
      <w:r w:rsidR="005E7FDC" w:rsidRPr="000C43C5">
        <w:rPr>
          <w:lang w:val="fr-CA"/>
        </w:rPr>
        <w:t xml:space="preserve"> [2005] Q.J. No. 17953.</w:t>
      </w:r>
    </w:p>
    <w:p w14:paraId="13346763" w14:textId="77777777" w:rsidR="008A271D" w:rsidRPr="000C43C5" w:rsidRDefault="008A271D">
      <w:pPr>
        <w:rPr>
          <w:rFonts w:ascii="Arial" w:hAnsi="Arial" w:cs="Arial"/>
          <w:b/>
          <w:caps/>
          <w:lang w:val="fr-CA"/>
        </w:rPr>
      </w:pPr>
      <w:r w:rsidRPr="000C43C5">
        <w:rPr>
          <w:rFonts w:ascii="Arial" w:hAnsi="Arial" w:cs="Arial"/>
          <w:b/>
          <w:caps/>
          <w:lang w:val="fr-CA"/>
        </w:rPr>
        <w:br w:type="page"/>
      </w:r>
    </w:p>
    <w:p w14:paraId="55AC9389" w14:textId="7A1400B8" w:rsidR="00F5199C" w:rsidRPr="000C43C5" w:rsidRDefault="002F3725" w:rsidP="00EF1974">
      <w:pPr>
        <w:jc w:val="both"/>
        <w:rPr>
          <w:rFonts w:ascii="Arial" w:hAnsi="Arial" w:cs="Arial"/>
          <w:b/>
          <w:caps/>
          <w:lang w:val="fr-CA"/>
        </w:rPr>
      </w:pPr>
      <w:r w:rsidRPr="000C43C5">
        <w:rPr>
          <w:rFonts w:ascii="Arial" w:hAnsi="Arial" w:cs="Arial"/>
          <w:b/>
          <w:caps/>
          <w:lang w:val="fr-CA"/>
        </w:rPr>
        <w:lastRenderedPageBreak/>
        <w:t xml:space="preserve">CONSTATATIONS DE FAIT ET CONCLUSIONS </w:t>
      </w:r>
    </w:p>
    <w:p w14:paraId="58A4CF93" w14:textId="77777777" w:rsidR="00F5199C" w:rsidRPr="000C43C5" w:rsidRDefault="00F5199C" w:rsidP="00EF1974">
      <w:pPr>
        <w:jc w:val="both"/>
        <w:rPr>
          <w:rFonts w:ascii="Arial" w:hAnsi="Arial" w:cs="Arial"/>
          <w:b/>
          <w:lang w:val="fr-CA"/>
        </w:rPr>
      </w:pPr>
    </w:p>
    <w:p w14:paraId="4E1093C4" w14:textId="51A7152C" w:rsidR="00E417EA" w:rsidRPr="000C43C5" w:rsidRDefault="003E7543" w:rsidP="003E7543">
      <w:pPr>
        <w:pStyle w:val="AParaNumbering"/>
        <w:rPr>
          <w:b/>
          <w:lang w:val="fr-CA"/>
        </w:rPr>
      </w:pPr>
      <w:r w:rsidRPr="000C43C5">
        <w:rPr>
          <w:lang w:val="fr-CA"/>
        </w:rPr>
        <w:t xml:space="preserve">Après avoir écouté attentivement l’enregistrement audio amélioré de l’instance du 16 octobre </w:t>
      </w:r>
      <w:r w:rsidR="00E417EA" w:rsidRPr="000C43C5">
        <w:rPr>
          <w:lang w:val="fr-CA"/>
        </w:rPr>
        <w:t xml:space="preserve">2013 </w:t>
      </w:r>
      <w:r w:rsidRPr="000C43C5">
        <w:rPr>
          <w:lang w:val="fr-CA"/>
        </w:rPr>
        <w:t>devant le juge de paix, le comité d’audition a conclu qu</w:t>
      </w:r>
      <w:r w:rsidR="00A35291">
        <w:rPr>
          <w:lang w:val="fr-CA"/>
        </w:rPr>
        <w:t xml:space="preserve">e le </w:t>
      </w:r>
      <w:r w:rsidR="00A35291" w:rsidRPr="000C43C5">
        <w:rPr>
          <w:lang w:val="fr-CA"/>
        </w:rPr>
        <w:t>contexte</w:t>
      </w:r>
      <w:r w:rsidR="00A35291">
        <w:rPr>
          <w:lang w:val="fr-CA"/>
        </w:rPr>
        <w:t xml:space="preserve"> dans lequel </w:t>
      </w:r>
      <w:r w:rsidRPr="000C43C5">
        <w:rPr>
          <w:lang w:val="fr-CA"/>
        </w:rPr>
        <w:t>le juge de paix a prononcé les mots « tant pis »</w:t>
      </w:r>
      <w:r w:rsidR="00A35291">
        <w:rPr>
          <w:lang w:val="fr-CA"/>
        </w:rPr>
        <w:t xml:space="preserve"> n’était pas clair</w:t>
      </w:r>
      <w:r w:rsidR="00E417EA" w:rsidRPr="000C43C5">
        <w:rPr>
          <w:lang w:val="fr-CA"/>
        </w:rPr>
        <w:t xml:space="preserve">. </w:t>
      </w:r>
      <w:r w:rsidRPr="000C43C5">
        <w:rPr>
          <w:lang w:val="fr-CA"/>
        </w:rPr>
        <w:t>Il y avait des bruits de fond indiscernables et le comité d’audition n’a pas été convaincu</w:t>
      </w:r>
      <w:r w:rsidR="00A35291">
        <w:rPr>
          <w:lang w:val="fr-CA"/>
        </w:rPr>
        <w:t>,</w:t>
      </w:r>
      <w:r w:rsidRPr="000C43C5">
        <w:rPr>
          <w:lang w:val="fr-CA"/>
        </w:rPr>
        <w:t xml:space="preserve"> selon la prépondérance des probabilités</w:t>
      </w:r>
      <w:r w:rsidR="00A35291">
        <w:rPr>
          <w:lang w:val="fr-CA"/>
        </w:rPr>
        <w:t>,</w:t>
      </w:r>
      <w:r w:rsidRPr="000C43C5">
        <w:rPr>
          <w:lang w:val="fr-CA"/>
        </w:rPr>
        <w:t xml:space="preserve"> que le juge de paix a fait cette remarque en réponse au commentaire de la greffière qu’elle ne savait pas ce que l’accusé </w:t>
      </w:r>
      <w:r w:rsidR="00A35291">
        <w:rPr>
          <w:lang w:val="fr-CA"/>
        </w:rPr>
        <w:t>pensait</w:t>
      </w:r>
      <w:r w:rsidRPr="000C43C5">
        <w:rPr>
          <w:lang w:val="fr-CA"/>
        </w:rPr>
        <w:t xml:space="preserve">. </w:t>
      </w:r>
    </w:p>
    <w:p w14:paraId="6CDDEF39" w14:textId="337C51A8" w:rsidR="001C1541" w:rsidRPr="000C43C5" w:rsidRDefault="003E7543" w:rsidP="00BF514D">
      <w:pPr>
        <w:pStyle w:val="AParaNumbering"/>
        <w:rPr>
          <w:lang w:val="fr-CA"/>
        </w:rPr>
      </w:pPr>
      <w:r w:rsidRPr="000C43C5">
        <w:rPr>
          <w:lang w:val="fr-CA"/>
        </w:rPr>
        <w:t xml:space="preserve">Dans l’ensemble, le juge de paix </w:t>
      </w:r>
      <w:r w:rsidR="00F5199C" w:rsidRPr="000C43C5">
        <w:rPr>
          <w:lang w:val="fr-CA"/>
        </w:rPr>
        <w:t xml:space="preserve">Welsh </w:t>
      </w:r>
      <w:r w:rsidR="009931AB" w:rsidRPr="000C43C5">
        <w:rPr>
          <w:lang w:val="fr-CA"/>
        </w:rPr>
        <w:t xml:space="preserve">ne conteste pas les faits. Il convient qu’il a changé la date d’audience qui avait été fixée au tribunal pour </w:t>
      </w:r>
      <w:r w:rsidR="00AF02DF" w:rsidRPr="000C43C5">
        <w:rPr>
          <w:lang w:val="fr-CA"/>
        </w:rPr>
        <w:t>M. Silverthorne</w:t>
      </w:r>
      <w:r w:rsidR="009931AB" w:rsidRPr="000C43C5">
        <w:rPr>
          <w:lang w:val="fr-CA"/>
        </w:rPr>
        <w:t xml:space="preserve"> et qu’il l’a fait après la fin de l’audience. En outre, </w:t>
      </w:r>
      <w:r w:rsidR="00FC4E61" w:rsidRPr="000C43C5">
        <w:rPr>
          <w:lang w:val="fr-CA"/>
        </w:rPr>
        <w:t xml:space="preserve">le juge de paix admet qu’il l’a fait sans avis à l’accusé ou à son avocat. Le juge de paix avoue qu’aucune disposition n’a été prise pour aviser l’avocat de </w:t>
      </w:r>
      <w:r w:rsidR="00AF02DF" w:rsidRPr="000C43C5">
        <w:rPr>
          <w:lang w:val="fr-CA"/>
        </w:rPr>
        <w:t xml:space="preserve">M. Silverthorne </w:t>
      </w:r>
      <w:r w:rsidR="00FC4E61" w:rsidRPr="000C43C5">
        <w:rPr>
          <w:lang w:val="fr-CA"/>
        </w:rPr>
        <w:t>ou M</w:t>
      </w:r>
      <w:r w:rsidR="00AF02DF" w:rsidRPr="000C43C5">
        <w:rPr>
          <w:lang w:val="fr-CA"/>
        </w:rPr>
        <w:t xml:space="preserve">. Silverthorne </w:t>
      </w:r>
      <w:r w:rsidR="00FC4E61" w:rsidRPr="000C43C5">
        <w:rPr>
          <w:lang w:val="fr-CA"/>
        </w:rPr>
        <w:t xml:space="preserve">lui-même de la nouvelle date de renvoi. En raison de la conduite du juge de paix, le 30 octobre </w:t>
      </w:r>
      <w:r w:rsidR="001C1541" w:rsidRPr="00A35291">
        <w:rPr>
          <w:lang w:val="fr-CA"/>
        </w:rPr>
        <w:t>2013</w:t>
      </w:r>
      <w:r w:rsidR="00FC4E61" w:rsidRPr="00A35291">
        <w:rPr>
          <w:lang w:val="fr-CA"/>
        </w:rPr>
        <w:t>,</w:t>
      </w:r>
      <w:r w:rsidR="00FC4E61" w:rsidRPr="000C43C5">
        <w:rPr>
          <w:lang w:val="fr-CA"/>
        </w:rPr>
        <w:t xml:space="preserve"> lorsque le juge de paix qui préside a appelé le dossier S</w:t>
      </w:r>
      <w:r w:rsidR="001C1541" w:rsidRPr="000C43C5">
        <w:rPr>
          <w:lang w:val="fr-CA"/>
        </w:rPr>
        <w:t>ilverthorne</w:t>
      </w:r>
      <w:r w:rsidR="001C1541" w:rsidRPr="000C43C5">
        <w:rPr>
          <w:i/>
          <w:lang w:val="fr-CA"/>
        </w:rPr>
        <w:t xml:space="preserve"> </w:t>
      </w:r>
      <w:r w:rsidR="00FC4E61" w:rsidRPr="000C43C5">
        <w:rPr>
          <w:lang w:val="fr-CA"/>
        </w:rPr>
        <w:t xml:space="preserve">et que personne ne s’est présenté devant lui, il a délivré un mandat d’arrestation à l’encontre de </w:t>
      </w:r>
      <w:r w:rsidR="001C1541" w:rsidRPr="000C43C5">
        <w:rPr>
          <w:lang w:val="fr-CA"/>
        </w:rPr>
        <w:t>M. Silverthorne.</w:t>
      </w:r>
    </w:p>
    <w:p w14:paraId="1B66C32E" w14:textId="4F1E69BF" w:rsidR="00014451" w:rsidRPr="000C43C5" w:rsidRDefault="00602D3C" w:rsidP="00BF514D">
      <w:pPr>
        <w:pStyle w:val="AParaNumbering"/>
        <w:rPr>
          <w:lang w:val="fr-CA"/>
        </w:rPr>
      </w:pPr>
      <w:r w:rsidRPr="000C43C5">
        <w:rPr>
          <w:lang w:val="fr-CA"/>
        </w:rPr>
        <w:t xml:space="preserve">Il n’y a aucune preuve qui indique que le juge de paix </w:t>
      </w:r>
      <w:r w:rsidR="00A022D0" w:rsidRPr="000C43C5">
        <w:rPr>
          <w:lang w:val="fr-CA"/>
        </w:rPr>
        <w:t>Welsh</w:t>
      </w:r>
      <w:r w:rsidR="00014451" w:rsidRPr="000C43C5">
        <w:rPr>
          <w:lang w:val="fr-CA"/>
        </w:rPr>
        <w:t xml:space="preserve"> </w:t>
      </w:r>
      <w:r w:rsidRPr="000C43C5">
        <w:rPr>
          <w:lang w:val="fr-CA"/>
        </w:rPr>
        <w:t xml:space="preserve">avait l’intention de causer du tort à </w:t>
      </w:r>
      <w:r w:rsidR="00014451" w:rsidRPr="000C43C5">
        <w:rPr>
          <w:lang w:val="fr-CA"/>
        </w:rPr>
        <w:t>M. Silverthorne</w:t>
      </w:r>
      <w:r w:rsidRPr="000C43C5">
        <w:rPr>
          <w:lang w:val="fr-CA"/>
        </w:rPr>
        <w:t xml:space="preserve"> lorsqu’il a unilatéralement changé la date de renvoi, qu’il l’a fait par malveillance ou en vue d’un gain personnel. Le comité d’audition accepte l’argument selon lequel le juge de paix a oublié son intention d’aviser l’avocat du changement de date et que la journée en salle d’audience avait très chargée et épuisante. Il est naturel pour un être humain d’être fatigué, dépassé par les événements ou distrait dans ce genre de circonstances</w:t>
      </w:r>
      <w:r w:rsidR="006D6079" w:rsidRPr="000C43C5">
        <w:rPr>
          <w:lang w:val="fr-CA"/>
        </w:rPr>
        <w:t>.</w:t>
      </w:r>
    </w:p>
    <w:p w14:paraId="5CD8B78C" w14:textId="14C4FE8D" w:rsidR="006D6079" w:rsidRPr="000C43C5" w:rsidRDefault="008B662E" w:rsidP="00BF514D">
      <w:pPr>
        <w:pStyle w:val="AParaNumbering"/>
        <w:rPr>
          <w:lang w:val="fr-CA"/>
        </w:rPr>
      </w:pPr>
      <w:r w:rsidRPr="000C43C5">
        <w:rPr>
          <w:lang w:val="fr-CA"/>
        </w:rPr>
        <w:lastRenderedPageBreak/>
        <w:t xml:space="preserve">Toutefois, il est perturbant de voir que le juge de paix </w:t>
      </w:r>
      <w:r w:rsidR="00AF4735" w:rsidRPr="000C43C5">
        <w:rPr>
          <w:lang w:val="fr-CA"/>
        </w:rPr>
        <w:t>Welsh</w:t>
      </w:r>
      <w:r w:rsidR="00C800C8" w:rsidRPr="000C43C5">
        <w:rPr>
          <w:lang w:val="fr-CA"/>
        </w:rPr>
        <w:t xml:space="preserve">, </w:t>
      </w:r>
      <w:r w:rsidRPr="000C43C5">
        <w:rPr>
          <w:lang w:val="fr-CA"/>
        </w:rPr>
        <w:t>un fonctionnaire judiciaire chevronné et compétent, suiv</w:t>
      </w:r>
      <w:r w:rsidR="00A35291">
        <w:rPr>
          <w:lang w:val="fr-CA"/>
        </w:rPr>
        <w:t>ait</w:t>
      </w:r>
      <w:r w:rsidRPr="000C43C5">
        <w:rPr>
          <w:lang w:val="fr-CA"/>
        </w:rPr>
        <w:t xml:space="preserve"> une « pratique courante », en ce qui concerne les renvois, qui mena</w:t>
      </w:r>
      <w:r w:rsidR="00A35291">
        <w:rPr>
          <w:lang w:val="fr-CA"/>
        </w:rPr>
        <w:t>çait</w:t>
      </w:r>
      <w:r w:rsidRPr="000C43C5">
        <w:rPr>
          <w:lang w:val="fr-CA"/>
        </w:rPr>
        <w:t xml:space="preserve"> la liberté des accusés. Apporter des changements à une dénonciation qui n’est plus devant le tribunal, c’est-à-dire sans avoir compétence pour le faire, et en plus sans en aviser l’accusé ou l’avocat, constitue une procédure inappropriée, qui n’est pas </w:t>
      </w:r>
      <w:r w:rsidR="00A35291">
        <w:rPr>
          <w:lang w:val="fr-CA"/>
        </w:rPr>
        <w:t>atténuée</w:t>
      </w:r>
      <w:r w:rsidRPr="000C43C5">
        <w:rPr>
          <w:lang w:val="fr-CA"/>
        </w:rPr>
        <w:t xml:space="preserve"> par le fait d’aviser l’avocat des changements apportés après </w:t>
      </w:r>
      <w:r w:rsidR="00A35291">
        <w:rPr>
          <w:lang w:val="fr-CA"/>
        </w:rPr>
        <w:t>coup</w:t>
      </w:r>
      <w:r w:rsidRPr="000C43C5">
        <w:rPr>
          <w:lang w:val="fr-CA"/>
        </w:rPr>
        <w:t xml:space="preserve"> et hors du tribunal</w:t>
      </w:r>
      <w:r w:rsidR="002F0C9D" w:rsidRPr="000C43C5">
        <w:rPr>
          <w:lang w:val="fr-CA"/>
        </w:rPr>
        <w:t>.</w:t>
      </w:r>
      <w:r w:rsidR="00C800C8" w:rsidRPr="000C43C5">
        <w:rPr>
          <w:lang w:val="fr-CA"/>
        </w:rPr>
        <w:t xml:space="preserve"> </w:t>
      </w:r>
    </w:p>
    <w:p w14:paraId="66EA1200" w14:textId="64661BF8" w:rsidR="003F7304" w:rsidRPr="000C43C5" w:rsidRDefault="008B662E" w:rsidP="00BF514D">
      <w:pPr>
        <w:pStyle w:val="AParaNumbering"/>
        <w:rPr>
          <w:lang w:val="fr-CA"/>
        </w:rPr>
      </w:pPr>
      <w:r w:rsidRPr="000C43C5">
        <w:rPr>
          <w:lang w:val="fr-CA"/>
        </w:rPr>
        <w:t>Le comité d’audition relève que le système de justice est fondé sur le principe de la « publicité des débats », qui exige transparence et responsabilité dans l’administration de la justice</w:t>
      </w:r>
      <w:r w:rsidR="00A35291">
        <w:rPr>
          <w:lang w:val="fr-CA"/>
        </w:rPr>
        <w:t>,</w:t>
      </w:r>
      <w:r w:rsidRPr="000C43C5">
        <w:rPr>
          <w:lang w:val="fr-CA"/>
        </w:rPr>
        <w:t xml:space="preserve"> afin de favoriser la confiance du public envers l’administration de la justice. Des communications au sujet de dates d’audience doivent avoir lieu dans la salle d’audience, où le public et les parties savent ce qui est échangé entre le fonctionnaire judiciaire et une partie ou un accusé, et où cette personne bénéficie des protections auxquelles elle devrait avoir droit. En l’espèce, la pratique inappropriée du juge de paix et son défaut de suivre une procédure adéquate ont abouti à une lourde privation de liberté pour M</w:t>
      </w:r>
      <w:r w:rsidR="003F7304" w:rsidRPr="000C43C5">
        <w:rPr>
          <w:lang w:val="fr-CA"/>
        </w:rPr>
        <w:t>. Silverthorne</w:t>
      </w:r>
      <w:r w:rsidR="00CC0EA1" w:rsidRPr="000C43C5">
        <w:rPr>
          <w:lang w:val="fr-CA"/>
        </w:rPr>
        <w:t>:</w:t>
      </w:r>
      <w:r w:rsidR="007C7012" w:rsidRPr="000C43C5">
        <w:rPr>
          <w:lang w:val="fr-CA"/>
        </w:rPr>
        <w:t xml:space="preserve"> 24 </w:t>
      </w:r>
      <w:r w:rsidRPr="000C43C5">
        <w:rPr>
          <w:lang w:val="fr-CA"/>
        </w:rPr>
        <w:t>jours</w:t>
      </w:r>
      <w:r w:rsidR="003F7304" w:rsidRPr="000C43C5">
        <w:rPr>
          <w:lang w:val="fr-CA"/>
        </w:rPr>
        <w:t>.</w:t>
      </w:r>
    </w:p>
    <w:p w14:paraId="7FAFC476" w14:textId="4C2ED990" w:rsidR="00E01FB1" w:rsidRPr="000C43C5" w:rsidRDefault="008B662E" w:rsidP="00BF514D">
      <w:pPr>
        <w:pStyle w:val="AParaNumbering"/>
        <w:rPr>
          <w:lang w:val="fr-CA"/>
        </w:rPr>
      </w:pPr>
      <w:r w:rsidRPr="000C43C5">
        <w:rPr>
          <w:lang w:val="fr-CA"/>
        </w:rPr>
        <w:t xml:space="preserve">Le juge de paix plaide qu’il a commis une erreur regrettable, mais humaine, en raison des pressions qu’il </w:t>
      </w:r>
      <w:r w:rsidR="00A35291">
        <w:rPr>
          <w:lang w:val="fr-CA"/>
        </w:rPr>
        <w:t>subissait</w:t>
      </w:r>
      <w:r w:rsidRPr="000C43C5">
        <w:rPr>
          <w:lang w:val="fr-CA"/>
        </w:rPr>
        <w:t xml:space="preserve"> le jour en question et du poids de ses </w:t>
      </w:r>
      <w:r w:rsidR="00A35291">
        <w:rPr>
          <w:lang w:val="fr-CA"/>
        </w:rPr>
        <w:t>problèmes</w:t>
      </w:r>
      <w:r w:rsidRPr="000C43C5">
        <w:rPr>
          <w:lang w:val="fr-CA"/>
        </w:rPr>
        <w:t xml:space="preserve"> personnels qui pesait sur lui à cett</w:t>
      </w:r>
      <w:r w:rsidR="00007A11" w:rsidRPr="000C43C5">
        <w:rPr>
          <w:lang w:val="fr-CA"/>
        </w:rPr>
        <w:t xml:space="preserve">e époque. En outre, il fait valoir un facteur atténuant, à savoir le fait que sa pratique habituelle de faire un suivi auprès de l’avocat dans ce genre de circonstances aurait permis d’éviter l’erreur de délivrer un mandat d’arrestation et, par conséquent, le tort que cela a causé à </w:t>
      </w:r>
      <w:r w:rsidR="00E01FB1" w:rsidRPr="000C43C5">
        <w:rPr>
          <w:lang w:val="fr-CA"/>
        </w:rPr>
        <w:t>M. Silverthorne.</w:t>
      </w:r>
    </w:p>
    <w:p w14:paraId="07E9112E" w14:textId="5CCBA69E" w:rsidR="000123B8" w:rsidRPr="000C43C5" w:rsidRDefault="00C463C0" w:rsidP="00BF514D">
      <w:pPr>
        <w:pStyle w:val="AParaNumbering"/>
        <w:rPr>
          <w:lang w:val="fr-CA"/>
        </w:rPr>
      </w:pPr>
      <w:r w:rsidRPr="000C43C5">
        <w:rPr>
          <w:lang w:val="fr-CA"/>
        </w:rPr>
        <w:lastRenderedPageBreak/>
        <w:t xml:space="preserve">L’avocate chargée de la présentation adopte une position différente. Il est utile de souligner que le rôle de l’avocate chargée de la présentation à cette audience est semblable à celui d’un </w:t>
      </w:r>
      <w:r w:rsidR="00E86D29" w:rsidRPr="000C43C5">
        <w:rPr>
          <w:i/>
          <w:lang w:val="fr-CA"/>
        </w:rPr>
        <w:t>amicus curiae.</w:t>
      </w:r>
      <w:r w:rsidR="00E86D29" w:rsidRPr="000C43C5">
        <w:rPr>
          <w:lang w:val="fr-CA"/>
        </w:rPr>
        <w:t xml:space="preserve"> </w:t>
      </w:r>
      <w:r w:rsidRPr="000C43C5">
        <w:rPr>
          <w:lang w:val="fr-CA"/>
        </w:rPr>
        <w:t>Conformément au Document de procédures du Conseil d’évaluation</w:t>
      </w:r>
      <w:r w:rsidR="006A0D26" w:rsidRPr="000C43C5">
        <w:rPr>
          <w:lang w:val="fr-CA"/>
        </w:rPr>
        <w:t>,</w:t>
      </w:r>
      <w:r w:rsidR="00E86D29" w:rsidRPr="000C43C5">
        <w:rPr>
          <w:lang w:val="fr-CA"/>
        </w:rPr>
        <w:t xml:space="preserve"> </w:t>
      </w:r>
      <w:r w:rsidRPr="000C43C5">
        <w:rPr>
          <w:lang w:val="fr-CA"/>
        </w:rPr>
        <w:t>le rôle de l’avocate chargée de la présentation est d’agir indépendamment du comité d’audition et de lui présenter l’exposé des faits à l’encontre du juge de paix en veillant à ce que la plainte portée contre le juge de paix soit évaluée de façon ration</w:t>
      </w:r>
      <w:r w:rsidR="00952D4D">
        <w:rPr>
          <w:lang w:val="fr-CA"/>
        </w:rPr>
        <w:t>n</w:t>
      </w:r>
      <w:r w:rsidRPr="000C43C5">
        <w:rPr>
          <w:lang w:val="fr-CA"/>
        </w:rPr>
        <w:t>elle et objective afin de parvenir à une décision juste</w:t>
      </w:r>
      <w:r w:rsidR="00E86D29" w:rsidRPr="000C43C5">
        <w:rPr>
          <w:lang w:val="fr-CA"/>
        </w:rPr>
        <w:t xml:space="preserve">. </w:t>
      </w:r>
      <w:r w:rsidRPr="000C43C5">
        <w:rPr>
          <w:lang w:val="fr-CA"/>
        </w:rPr>
        <w:t>Le mandat de l’avocate chargée de la présentation n’est pas d’essayer d’obtenir une décision particulière à l’encontre du juge de paix</w:t>
      </w:r>
      <w:r w:rsidR="00471680" w:rsidRPr="000C43C5">
        <w:rPr>
          <w:lang w:val="fr-CA"/>
        </w:rPr>
        <w:t>.</w:t>
      </w:r>
    </w:p>
    <w:p w14:paraId="494070B8" w14:textId="5A12EBDB" w:rsidR="007C7012" w:rsidRPr="000C43C5" w:rsidRDefault="0061371C" w:rsidP="00BF514D">
      <w:pPr>
        <w:pStyle w:val="AParaNumbering"/>
        <w:rPr>
          <w:lang w:val="fr-CA"/>
        </w:rPr>
      </w:pPr>
      <w:r w:rsidRPr="000C43C5">
        <w:rPr>
          <w:lang w:val="fr-CA"/>
        </w:rPr>
        <w:t xml:space="preserve">L’avocate chargée de la présentation soutient que la conduite du juge de paix témoigne d’un mépris total pour </w:t>
      </w:r>
      <w:r w:rsidR="00E01FB1" w:rsidRPr="000C43C5">
        <w:rPr>
          <w:lang w:val="fr-CA"/>
        </w:rPr>
        <w:t xml:space="preserve">M. Silverthorne; </w:t>
      </w:r>
      <w:r w:rsidRPr="000C43C5">
        <w:rPr>
          <w:lang w:val="fr-CA"/>
        </w:rPr>
        <w:t xml:space="preserve">bien qu’il s’agisse d’un simple cas de renvoi, la </w:t>
      </w:r>
      <w:r w:rsidR="00D93075" w:rsidRPr="000C43C5">
        <w:rPr>
          <w:lang w:val="fr-CA"/>
        </w:rPr>
        <w:t>démarche</w:t>
      </w:r>
      <w:r w:rsidRPr="000C43C5">
        <w:rPr>
          <w:lang w:val="fr-CA"/>
        </w:rPr>
        <w:t xml:space="preserve"> inappropriée qu’a adoptée le juge de paix a créé une obligation légale pour </w:t>
      </w:r>
      <w:r w:rsidR="00CC0EA1" w:rsidRPr="000C43C5">
        <w:rPr>
          <w:lang w:val="fr-CA"/>
        </w:rPr>
        <w:t xml:space="preserve">M. </w:t>
      </w:r>
      <w:r w:rsidR="00E01FB1" w:rsidRPr="000C43C5">
        <w:rPr>
          <w:lang w:val="fr-CA"/>
        </w:rPr>
        <w:t xml:space="preserve">Silverthorne </w:t>
      </w:r>
      <w:r w:rsidRPr="000C43C5">
        <w:rPr>
          <w:lang w:val="fr-CA"/>
        </w:rPr>
        <w:t>sans qu’il en ait été avisé</w:t>
      </w:r>
      <w:r w:rsidR="00E01FB1" w:rsidRPr="000C43C5">
        <w:rPr>
          <w:lang w:val="fr-CA"/>
        </w:rPr>
        <w:t xml:space="preserve">. </w:t>
      </w:r>
      <w:r w:rsidR="00D93075" w:rsidRPr="000C43C5">
        <w:rPr>
          <w:lang w:val="fr-CA"/>
        </w:rPr>
        <w:t>Lorsqu’il a omis de remplir cette obligation, il a fait l’objet d’une procédure qui a abouti à son incarcération. En outre, le juge de paix devait savoir que la façon dont il a traité cette affaire risquait d’avoir des conséquences très graves. En effet, le juge de paix a déclaré dans son témoignage qu’en qualité de juge de paix chevronné, il était « absolument » conscient des conséquences de l’établissement d’une date d’audience, du risque de non-comparution de l’accusé à cette date et de la délivrance d’un mandat d’arrestation en cas de non-comparution. Le juge de paix savait qu’une fois arrêté en vertu d’un mandat d’arrestation, un accusé pouvait être détenu en vue d’une enquête sur le cautionnement</w:t>
      </w:r>
      <w:r w:rsidR="007C7012" w:rsidRPr="000C43C5">
        <w:rPr>
          <w:lang w:val="fr-CA"/>
        </w:rPr>
        <w:t xml:space="preserve">. </w:t>
      </w:r>
      <w:r w:rsidR="00D93075" w:rsidRPr="000C43C5">
        <w:rPr>
          <w:lang w:val="fr-CA"/>
        </w:rPr>
        <w:t>Le juge de paix a reconnu qu’en raison de ses actes, des conséquences graves ont été causées à un membre du public</w:t>
      </w:r>
      <w:r w:rsidR="007C7012" w:rsidRPr="000C43C5">
        <w:rPr>
          <w:lang w:val="fr-CA"/>
        </w:rPr>
        <w:t>.</w:t>
      </w:r>
    </w:p>
    <w:p w14:paraId="322B7343" w14:textId="1F820C6E" w:rsidR="00636989" w:rsidRPr="000C43C5" w:rsidRDefault="00D93075" w:rsidP="00BF514D">
      <w:pPr>
        <w:pStyle w:val="AParaNumbering"/>
        <w:rPr>
          <w:lang w:val="fr-CA"/>
        </w:rPr>
      </w:pPr>
      <w:r w:rsidRPr="000C43C5">
        <w:rPr>
          <w:lang w:val="fr-CA"/>
        </w:rPr>
        <w:lastRenderedPageBreak/>
        <w:t xml:space="preserve">Le comité d’audition fait observer qu’il est normal qu’un juge de paix soit confronté à des journées pénibles et très chargées. Le comité d’audition est d’avis que quelle que soit la charge de travail dans une salle d’audience, chaque juge de paix a l’obligation de respecter la loi et de se conformer aux </w:t>
      </w:r>
      <w:r w:rsidR="00826E08" w:rsidRPr="000C43C5">
        <w:rPr>
          <w:lang w:val="fr-CA"/>
        </w:rPr>
        <w:t>procédures qui régissent la justice pénale et protègent les accusés</w:t>
      </w:r>
      <w:r w:rsidR="00636989" w:rsidRPr="000C43C5">
        <w:rPr>
          <w:lang w:val="fr-CA"/>
        </w:rPr>
        <w:t>.</w:t>
      </w:r>
      <w:r w:rsidR="00C20155" w:rsidRPr="000C43C5">
        <w:rPr>
          <w:lang w:val="fr-CA"/>
        </w:rPr>
        <w:t xml:space="preserve"> </w:t>
      </w:r>
      <w:r w:rsidR="00826E08" w:rsidRPr="000C43C5">
        <w:rPr>
          <w:lang w:val="fr-CA"/>
        </w:rPr>
        <w:t xml:space="preserve">Il est attendu d’un juge de paix qu’il fasse respecter les droits des accusés et leur liberté, même lorsqu’il travaille rapidement, </w:t>
      </w:r>
      <w:r w:rsidR="00C23C19">
        <w:rPr>
          <w:lang w:val="fr-CA"/>
        </w:rPr>
        <w:t>sous pression</w:t>
      </w:r>
      <w:r w:rsidR="00E1327A" w:rsidRPr="000C43C5">
        <w:rPr>
          <w:lang w:val="fr-CA"/>
        </w:rPr>
        <w:t>.</w:t>
      </w:r>
    </w:p>
    <w:p w14:paraId="681D76F5" w14:textId="02F25027" w:rsidR="00E1327A" w:rsidRPr="000C43C5" w:rsidRDefault="0096268C" w:rsidP="00BF514D">
      <w:pPr>
        <w:pStyle w:val="AParaNumbering"/>
        <w:rPr>
          <w:lang w:val="fr-CA"/>
        </w:rPr>
      </w:pPr>
      <w:r w:rsidRPr="000C43C5">
        <w:rPr>
          <w:lang w:val="fr-CA"/>
        </w:rPr>
        <w:t xml:space="preserve">Comme nous l’avons expliqué dans notre brève décision orale, nous concluons, selon la prépondérance des probabilités, que la conduite du juge de paix </w:t>
      </w:r>
      <w:r w:rsidR="00B0769C" w:rsidRPr="000C43C5">
        <w:rPr>
          <w:lang w:val="fr-CA"/>
        </w:rPr>
        <w:t>Welsh</w:t>
      </w:r>
      <w:r w:rsidRPr="000C43C5">
        <w:rPr>
          <w:lang w:val="fr-CA"/>
        </w:rPr>
        <w:t xml:space="preserve"> constitue une inconduite judiciaire, à la lumière des </w:t>
      </w:r>
      <w:r w:rsidRPr="000C43C5">
        <w:rPr>
          <w:i/>
          <w:lang w:val="fr-CA"/>
        </w:rPr>
        <w:t>Principes de la charge judiciaire</w:t>
      </w:r>
      <w:r w:rsidRPr="000C43C5">
        <w:rPr>
          <w:lang w:val="fr-CA"/>
        </w:rPr>
        <w:t xml:space="preserve"> des juges de paix de la Cour de justice de l’Ontario et des critères énoncés par la Cour suprême du Canada dans les arrêts </w:t>
      </w:r>
      <w:r w:rsidR="0003146D" w:rsidRPr="000C43C5">
        <w:rPr>
          <w:i/>
          <w:lang w:val="fr-CA"/>
        </w:rPr>
        <w:t xml:space="preserve">Re </w:t>
      </w:r>
      <w:r w:rsidR="007B28A4" w:rsidRPr="000C43C5">
        <w:rPr>
          <w:i/>
          <w:lang w:val="fr-CA"/>
        </w:rPr>
        <w:t>Therrien</w:t>
      </w:r>
      <w:r w:rsidR="007B28A4" w:rsidRPr="000C43C5">
        <w:rPr>
          <w:lang w:val="fr-CA"/>
        </w:rPr>
        <w:t xml:space="preserve"> </w:t>
      </w:r>
      <w:r w:rsidRPr="000C43C5">
        <w:rPr>
          <w:lang w:val="fr-CA"/>
        </w:rPr>
        <w:t>et</w:t>
      </w:r>
      <w:r w:rsidR="007B28A4" w:rsidRPr="000C43C5">
        <w:rPr>
          <w:lang w:val="fr-CA"/>
        </w:rPr>
        <w:t xml:space="preserve"> </w:t>
      </w:r>
      <w:r w:rsidR="007B28A4" w:rsidRPr="000C43C5">
        <w:rPr>
          <w:i/>
          <w:lang w:val="fr-CA"/>
        </w:rPr>
        <w:t>Moreau-</w:t>
      </w:r>
      <w:r w:rsidR="00F12199" w:rsidRPr="000C43C5">
        <w:rPr>
          <w:i/>
          <w:lang w:val="fr-CA"/>
        </w:rPr>
        <w:t>Bérubé</w:t>
      </w:r>
      <w:r w:rsidR="00870C5F" w:rsidRPr="000C43C5">
        <w:rPr>
          <w:i/>
          <w:lang w:val="fr-CA"/>
        </w:rPr>
        <w:t>.</w:t>
      </w:r>
      <w:r w:rsidR="007B28A4" w:rsidRPr="000C43C5">
        <w:rPr>
          <w:lang w:val="fr-CA"/>
        </w:rPr>
        <w:t xml:space="preserve"> </w:t>
      </w:r>
      <w:r w:rsidRPr="000C43C5">
        <w:rPr>
          <w:lang w:val="fr-CA"/>
        </w:rPr>
        <w:t xml:space="preserve">Nous sommes d’avis que la conduite du juge de paix était </w:t>
      </w:r>
      <w:r w:rsidR="00C23C19">
        <w:rPr>
          <w:lang w:val="fr-CA"/>
        </w:rPr>
        <w:t>sérieusement</w:t>
      </w:r>
      <w:r w:rsidRPr="000C43C5">
        <w:rPr>
          <w:lang w:val="fr-CA"/>
        </w:rPr>
        <w:t xml:space="preserve"> contraire </w:t>
      </w:r>
      <w:r w:rsidR="00C23C19">
        <w:rPr>
          <w:lang w:val="fr-CA"/>
        </w:rPr>
        <w:t>aux principes d’</w:t>
      </w:r>
      <w:r w:rsidRPr="000C43C5">
        <w:rPr>
          <w:lang w:val="fr-CA"/>
        </w:rPr>
        <w:t xml:space="preserve">impartialité et </w:t>
      </w:r>
      <w:r w:rsidR="00C23C19">
        <w:rPr>
          <w:lang w:val="fr-CA"/>
        </w:rPr>
        <w:t>d</w:t>
      </w:r>
      <w:r w:rsidRPr="000C43C5">
        <w:rPr>
          <w:lang w:val="fr-CA"/>
        </w:rPr>
        <w:t>’intégrité de la magistrature</w:t>
      </w:r>
      <w:r w:rsidR="00C23C19">
        <w:rPr>
          <w:lang w:val="fr-CA"/>
        </w:rPr>
        <w:t>,</w:t>
      </w:r>
      <w:r w:rsidRPr="000C43C5">
        <w:rPr>
          <w:lang w:val="fr-CA"/>
        </w:rPr>
        <w:t xml:space="preserve"> et qu’elle a miné la confiance du public dans la magistrature et l’administration de la justice. Nous concluons que le juge de paix </w:t>
      </w:r>
      <w:r w:rsidR="00E1327A" w:rsidRPr="000C43C5">
        <w:rPr>
          <w:lang w:val="fr-CA"/>
        </w:rPr>
        <w:t>Welsh</w:t>
      </w:r>
      <w:r w:rsidRPr="000C43C5">
        <w:rPr>
          <w:lang w:val="fr-CA"/>
        </w:rPr>
        <w:t xml:space="preserve"> a agi d’une manière imprudente et négligente</w:t>
      </w:r>
      <w:r w:rsidR="00E1327A" w:rsidRPr="000C43C5">
        <w:rPr>
          <w:lang w:val="fr-CA"/>
        </w:rPr>
        <w:t>.</w:t>
      </w:r>
      <w:r w:rsidRPr="000C43C5">
        <w:rPr>
          <w:lang w:val="fr-CA"/>
        </w:rPr>
        <w:t xml:space="preserve"> </w:t>
      </w:r>
    </w:p>
    <w:p w14:paraId="267A4238" w14:textId="714BCD55" w:rsidR="00EA7EC3" w:rsidRPr="000C43C5" w:rsidRDefault="00E36374" w:rsidP="00BF514D">
      <w:pPr>
        <w:pStyle w:val="AParaNumbering"/>
        <w:rPr>
          <w:lang w:val="fr-CA"/>
        </w:rPr>
      </w:pPr>
      <w:r w:rsidRPr="000C43C5">
        <w:rPr>
          <w:lang w:val="fr-CA"/>
        </w:rPr>
        <w:t xml:space="preserve">Dans l’affaire en question, le dossier n’aurait pas dû être </w:t>
      </w:r>
      <w:r w:rsidR="00C23C19">
        <w:rPr>
          <w:lang w:val="fr-CA"/>
        </w:rPr>
        <w:t>rouvert</w:t>
      </w:r>
      <w:r w:rsidRPr="000C43C5">
        <w:rPr>
          <w:lang w:val="fr-CA"/>
        </w:rPr>
        <w:t xml:space="preserve"> en l’absence de l’accusé ou de son avocat, après la conclusion de l’audience sur l’affaire</w:t>
      </w:r>
      <w:r w:rsidR="0043095F" w:rsidRPr="000C43C5">
        <w:rPr>
          <w:lang w:val="fr-CA"/>
        </w:rPr>
        <w:t xml:space="preserve">, même si une date de retour avait été fixée par erreur à un samedi. Même s’il avait voulu corriger l’erreur de date, </w:t>
      </w:r>
      <w:r w:rsidR="00C23C19">
        <w:rPr>
          <w:lang w:val="fr-CA"/>
        </w:rPr>
        <w:t>le juge de paix</w:t>
      </w:r>
      <w:r w:rsidR="0043095F" w:rsidRPr="000C43C5">
        <w:rPr>
          <w:lang w:val="fr-CA"/>
        </w:rPr>
        <w:t xml:space="preserve"> n’aurait dû le faire qu’en envoyant un avis à l’accusé et/ou à son avocat et en exigeant que l’un d’entre eux ou un mandataire ayant reçu leurs instructions comparaisse devant lui à cette fin</w:t>
      </w:r>
      <w:r w:rsidR="00EA7EC3" w:rsidRPr="000C43C5">
        <w:rPr>
          <w:lang w:val="fr-CA"/>
        </w:rPr>
        <w:t xml:space="preserve">. </w:t>
      </w:r>
      <w:r w:rsidR="0043095F" w:rsidRPr="000C43C5">
        <w:rPr>
          <w:lang w:val="fr-CA"/>
        </w:rPr>
        <w:t>Sinon, et c’est ce qui s’est produit en l’espèce, une obligation légale de comparaître au tribunal est créée sans que l’accusé en soit avisé</w:t>
      </w:r>
      <w:r w:rsidR="00EA7EC3" w:rsidRPr="000C43C5">
        <w:rPr>
          <w:lang w:val="fr-CA"/>
        </w:rPr>
        <w:t xml:space="preserve">.  </w:t>
      </w:r>
    </w:p>
    <w:p w14:paraId="4A9F3D1C" w14:textId="0472C339" w:rsidR="00F5199C" w:rsidRPr="000C43C5" w:rsidRDefault="0043095F" w:rsidP="00BF514D">
      <w:pPr>
        <w:pStyle w:val="AParaNumbering"/>
        <w:rPr>
          <w:lang w:val="fr-CA"/>
        </w:rPr>
      </w:pPr>
      <w:r w:rsidRPr="000C43C5">
        <w:rPr>
          <w:lang w:val="fr-CA"/>
        </w:rPr>
        <w:lastRenderedPageBreak/>
        <w:t>Même dans les circonstances qui semblent avoir existé en l’espèce, le juge de paix Welsh avait plusieurs options à sa disposition pour tenter de protéger les intérêts de l’accusé, par exemple :</w:t>
      </w:r>
      <w:r w:rsidR="00F5199C" w:rsidRPr="000C43C5">
        <w:rPr>
          <w:lang w:val="fr-CA"/>
        </w:rPr>
        <w:t xml:space="preserve"> </w:t>
      </w:r>
      <w:r w:rsidRPr="000C43C5">
        <w:rPr>
          <w:lang w:val="fr-CA"/>
        </w:rPr>
        <w:t>demander qu’un avocat de service ou que le procureur de la Couronn contacte Me</w:t>
      </w:r>
      <w:r w:rsidR="00EA7EC3" w:rsidRPr="000C43C5">
        <w:rPr>
          <w:lang w:val="fr-CA"/>
        </w:rPr>
        <w:t xml:space="preserve"> Robertson </w:t>
      </w:r>
      <w:r w:rsidRPr="000C43C5">
        <w:rPr>
          <w:lang w:val="fr-CA"/>
        </w:rPr>
        <w:t>ou</w:t>
      </w:r>
      <w:r w:rsidR="00EA7EC3" w:rsidRPr="000C43C5">
        <w:rPr>
          <w:lang w:val="fr-CA"/>
        </w:rPr>
        <w:t xml:space="preserve"> M. Silverthorne</w:t>
      </w:r>
      <w:r w:rsidR="004D6303" w:rsidRPr="000C43C5">
        <w:rPr>
          <w:lang w:val="fr-CA"/>
        </w:rPr>
        <w:t xml:space="preserve">, </w:t>
      </w:r>
      <w:r w:rsidRPr="000C43C5">
        <w:rPr>
          <w:lang w:val="fr-CA"/>
        </w:rPr>
        <w:t>ou rappeler Me</w:t>
      </w:r>
      <w:r w:rsidR="00F5199C" w:rsidRPr="000C43C5">
        <w:rPr>
          <w:lang w:val="fr-CA"/>
        </w:rPr>
        <w:t xml:space="preserve"> Robertson </w:t>
      </w:r>
      <w:r w:rsidRPr="000C43C5">
        <w:rPr>
          <w:lang w:val="fr-CA"/>
        </w:rPr>
        <w:t>ou</w:t>
      </w:r>
      <w:r w:rsidR="00F5199C" w:rsidRPr="000C43C5">
        <w:rPr>
          <w:lang w:val="fr-CA"/>
        </w:rPr>
        <w:t xml:space="preserve"> M.</w:t>
      </w:r>
      <w:r w:rsidRPr="000C43C5">
        <w:rPr>
          <w:lang w:val="fr-CA"/>
        </w:rPr>
        <w:t> </w:t>
      </w:r>
      <w:r w:rsidR="00F5199C" w:rsidRPr="000C43C5">
        <w:rPr>
          <w:lang w:val="fr-CA"/>
        </w:rPr>
        <w:t>Silverthorne</w:t>
      </w:r>
      <w:r w:rsidRPr="000C43C5">
        <w:rPr>
          <w:lang w:val="fr-CA"/>
        </w:rPr>
        <w:t xml:space="preserve"> dans la </w:t>
      </w:r>
      <w:r w:rsidRPr="00C23C19">
        <w:rPr>
          <w:lang w:val="fr-CA"/>
        </w:rPr>
        <w:t xml:space="preserve">salle d’audience par </w:t>
      </w:r>
      <w:r w:rsidR="002A7021" w:rsidRPr="00C23C19">
        <w:rPr>
          <w:lang w:val="fr-CA"/>
        </w:rPr>
        <w:t>interphone</w:t>
      </w:r>
      <w:r w:rsidR="00EA7EC3" w:rsidRPr="00C23C19">
        <w:rPr>
          <w:lang w:val="fr-CA"/>
        </w:rPr>
        <w:t>;</w:t>
      </w:r>
      <w:r w:rsidR="00EA7EC3" w:rsidRPr="000C43C5">
        <w:rPr>
          <w:lang w:val="fr-CA"/>
        </w:rPr>
        <w:t xml:space="preserve"> </w:t>
      </w:r>
      <w:r w:rsidR="002A7021" w:rsidRPr="000C43C5">
        <w:rPr>
          <w:lang w:val="fr-CA"/>
        </w:rPr>
        <w:t>pourtant, le juge de paix </w:t>
      </w:r>
      <w:r w:rsidR="00EA7EC3" w:rsidRPr="000C43C5">
        <w:rPr>
          <w:lang w:val="fr-CA"/>
        </w:rPr>
        <w:t>Welsh</w:t>
      </w:r>
      <w:r w:rsidR="002A7021" w:rsidRPr="000C43C5">
        <w:rPr>
          <w:lang w:val="fr-CA"/>
        </w:rPr>
        <w:t xml:space="preserve"> n’a pris aucune de ces mesures et n’a pas suivi sa propre intention (présumée) de contacter lui-même l’avocat</w:t>
      </w:r>
      <w:r w:rsidR="00F5199C" w:rsidRPr="000C43C5">
        <w:rPr>
          <w:lang w:val="fr-CA"/>
        </w:rPr>
        <w:t xml:space="preserve">. </w:t>
      </w:r>
      <w:r w:rsidR="001E1DE2" w:rsidRPr="000C43C5">
        <w:rPr>
          <w:lang w:val="fr-CA"/>
        </w:rPr>
        <w:t xml:space="preserve">L’une ou l’autre de ces mesures aurait évité l’arrestation de </w:t>
      </w:r>
      <w:r w:rsidR="00F5199C" w:rsidRPr="000C43C5">
        <w:rPr>
          <w:lang w:val="fr-CA"/>
        </w:rPr>
        <w:t>M.</w:t>
      </w:r>
      <w:r w:rsidR="001E1DE2" w:rsidRPr="000C43C5">
        <w:rPr>
          <w:lang w:val="fr-CA"/>
        </w:rPr>
        <w:t> </w:t>
      </w:r>
      <w:r w:rsidR="00F5199C" w:rsidRPr="000C43C5">
        <w:rPr>
          <w:lang w:val="fr-CA"/>
        </w:rPr>
        <w:t>Silverthorne.</w:t>
      </w:r>
      <w:r w:rsidR="00020BAA" w:rsidRPr="000C43C5">
        <w:rPr>
          <w:lang w:val="fr-CA"/>
        </w:rPr>
        <w:t xml:space="preserve"> </w:t>
      </w:r>
      <w:r w:rsidR="001E1DE2" w:rsidRPr="000C43C5">
        <w:rPr>
          <w:lang w:val="fr-CA"/>
        </w:rPr>
        <w:t xml:space="preserve">Les conséquences très graves qui ont découlé de l’ordre donné par le juge de paix </w:t>
      </w:r>
      <w:r w:rsidR="00F5199C" w:rsidRPr="000C43C5">
        <w:rPr>
          <w:lang w:val="fr-CA"/>
        </w:rPr>
        <w:t>Welsh</w:t>
      </w:r>
      <w:r w:rsidR="001E1DE2" w:rsidRPr="000C43C5">
        <w:rPr>
          <w:lang w:val="fr-CA"/>
        </w:rPr>
        <w:t xml:space="preserve"> à la greffière de modifier la date de la prochaine comparution et de sa négligence ont gravement compromis l’intégrité de la magistrature et miné la confiance du public dans l’administration de la </w:t>
      </w:r>
      <w:r w:rsidR="00F5199C" w:rsidRPr="000C43C5">
        <w:rPr>
          <w:lang w:val="fr-CA"/>
        </w:rPr>
        <w:t xml:space="preserve">justice. </w:t>
      </w:r>
      <w:r w:rsidR="001E1DE2" w:rsidRPr="000C43C5">
        <w:rPr>
          <w:lang w:val="fr-CA"/>
        </w:rPr>
        <w:t xml:space="preserve">Le fait que le juge de paix </w:t>
      </w:r>
      <w:r w:rsidR="00F5199C" w:rsidRPr="000C43C5">
        <w:rPr>
          <w:lang w:val="fr-CA"/>
        </w:rPr>
        <w:t>Welsh</w:t>
      </w:r>
      <w:r w:rsidR="001E1DE2" w:rsidRPr="000C43C5">
        <w:rPr>
          <w:lang w:val="fr-CA"/>
        </w:rPr>
        <w:t xml:space="preserve"> n’ait pas eu l’intention de causer du tort, qu’il ait des remords et qu’il ait avoué son erreur ne change rien à cette situation</w:t>
      </w:r>
      <w:r w:rsidR="00F5199C" w:rsidRPr="000C43C5">
        <w:rPr>
          <w:lang w:val="fr-CA"/>
        </w:rPr>
        <w:t>.</w:t>
      </w:r>
      <w:r w:rsidR="0021677F" w:rsidRPr="000C43C5">
        <w:rPr>
          <w:lang w:val="fr-CA"/>
        </w:rPr>
        <w:t xml:space="preserve"> </w:t>
      </w:r>
    </w:p>
    <w:p w14:paraId="7DE20F64" w14:textId="6187373D" w:rsidR="00051AA7" w:rsidRPr="000C43C5" w:rsidRDefault="001E1DE2" w:rsidP="00BF514D">
      <w:pPr>
        <w:pStyle w:val="AParaNumbering"/>
        <w:rPr>
          <w:lang w:val="fr-CA"/>
        </w:rPr>
      </w:pPr>
      <w:r w:rsidRPr="000C43C5">
        <w:rPr>
          <w:lang w:val="fr-CA"/>
        </w:rPr>
        <w:t xml:space="preserve">Nous concluons que le juge de paix </w:t>
      </w:r>
      <w:r w:rsidR="00E146EE" w:rsidRPr="000C43C5">
        <w:rPr>
          <w:lang w:val="fr-CA"/>
        </w:rPr>
        <w:t xml:space="preserve">Welsh </w:t>
      </w:r>
      <w:r w:rsidRPr="000C43C5">
        <w:rPr>
          <w:lang w:val="fr-CA"/>
        </w:rPr>
        <w:t>a agi sans compétence</w:t>
      </w:r>
      <w:r w:rsidR="00991B51">
        <w:rPr>
          <w:lang w:val="fr-CA"/>
        </w:rPr>
        <w:t>,</w:t>
      </w:r>
      <w:r w:rsidRPr="000C43C5">
        <w:rPr>
          <w:lang w:val="fr-CA"/>
        </w:rPr>
        <w:t xml:space="preserve"> </w:t>
      </w:r>
      <w:r w:rsidR="00991B51">
        <w:rPr>
          <w:lang w:val="fr-CA"/>
        </w:rPr>
        <w:t xml:space="preserve">lorsqu’il a </w:t>
      </w:r>
      <w:r w:rsidRPr="000C43C5">
        <w:rPr>
          <w:lang w:val="fr-CA"/>
        </w:rPr>
        <w:t>trait</w:t>
      </w:r>
      <w:r w:rsidR="00991B51">
        <w:rPr>
          <w:lang w:val="fr-CA"/>
        </w:rPr>
        <w:t xml:space="preserve">é </w:t>
      </w:r>
      <w:r w:rsidRPr="000C43C5">
        <w:rPr>
          <w:lang w:val="fr-CA"/>
        </w:rPr>
        <w:t>une affaire qui n’était plus devant le tribunal. Sa négligence et son imprudence ont créé une obligation légale pour l’accusé, sans qu’un avis ait été donné à cette personne ou à son avocat, ce qui a causé l’incarcération de l’accusé</w:t>
      </w:r>
      <w:r w:rsidR="00FD193F" w:rsidRPr="000C43C5">
        <w:rPr>
          <w:lang w:val="fr-CA"/>
        </w:rPr>
        <w:t xml:space="preserve">. </w:t>
      </w:r>
      <w:r w:rsidRPr="000C43C5">
        <w:rPr>
          <w:lang w:val="fr-CA"/>
        </w:rPr>
        <w:t>Les actes du juge de paix ont aussi eu une incidence sur l’avocat et l’administration de la justice</w:t>
      </w:r>
      <w:r w:rsidR="00991B51">
        <w:rPr>
          <w:lang w:val="fr-CA"/>
        </w:rPr>
        <w:t>,</w:t>
      </w:r>
      <w:r w:rsidRPr="000C43C5">
        <w:rPr>
          <w:lang w:val="fr-CA"/>
        </w:rPr>
        <w:t xml:space="preserve"> et ont entraîné des dépenses supplémentaires des deniers publics et un délai dans l’instance judiciaire. Les services policiers, les services de garde et les ressources judiciaires ont été touchés</w:t>
      </w:r>
      <w:r w:rsidR="00051AA7" w:rsidRPr="000C43C5">
        <w:rPr>
          <w:lang w:val="fr-CA"/>
        </w:rPr>
        <w:t xml:space="preserve">. </w:t>
      </w:r>
      <w:r w:rsidRPr="000C43C5">
        <w:rPr>
          <w:lang w:val="fr-CA"/>
        </w:rPr>
        <w:t>Le processus de plainte devant nous a résulté</w:t>
      </w:r>
      <w:r w:rsidR="00991B51">
        <w:rPr>
          <w:lang w:val="fr-CA"/>
        </w:rPr>
        <w:t xml:space="preserve"> des actes du juge de paix</w:t>
      </w:r>
      <w:r w:rsidR="00051AA7" w:rsidRPr="000C43C5">
        <w:rPr>
          <w:lang w:val="fr-CA"/>
        </w:rPr>
        <w:t xml:space="preserve">. </w:t>
      </w:r>
    </w:p>
    <w:p w14:paraId="2AFD8870" w14:textId="10058A15" w:rsidR="0048232E" w:rsidRPr="000C43C5" w:rsidRDefault="0048232E" w:rsidP="00CC0EA1">
      <w:pPr>
        <w:pStyle w:val="AParaNumbering"/>
        <w:numPr>
          <w:ilvl w:val="0"/>
          <w:numId w:val="0"/>
        </w:numPr>
        <w:ind w:left="180" w:hanging="180"/>
        <w:rPr>
          <w:b/>
          <w:lang w:val="fr-CA"/>
        </w:rPr>
      </w:pPr>
      <w:r w:rsidRPr="000C43C5">
        <w:rPr>
          <w:b/>
          <w:lang w:val="fr-CA"/>
        </w:rPr>
        <w:t>D</w:t>
      </w:r>
      <w:r w:rsidR="001E1DE2" w:rsidRPr="000C43C5">
        <w:rPr>
          <w:b/>
          <w:lang w:val="fr-CA"/>
        </w:rPr>
        <w:t>ÉCISION</w:t>
      </w:r>
    </w:p>
    <w:p w14:paraId="1DDA1336" w14:textId="28EB59CE" w:rsidR="00A8487D" w:rsidRPr="00D20E4A" w:rsidRDefault="006D270E" w:rsidP="00BF514D">
      <w:pPr>
        <w:pStyle w:val="AParaNumbering"/>
        <w:rPr>
          <w:lang w:val="fr-CA"/>
        </w:rPr>
      </w:pPr>
      <w:r w:rsidRPr="000C43C5">
        <w:rPr>
          <w:lang w:val="fr-CA"/>
        </w:rPr>
        <w:lastRenderedPageBreak/>
        <w:t>Étant donné que nous avons conclu que les agissements du juge de paix Welsh constitu</w:t>
      </w:r>
      <w:r w:rsidR="00991B51">
        <w:rPr>
          <w:lang w:val="fr-CA"/>
        </w:rPr>
        <w:t>ai</w:t>
      </w:r>
      <w:r w:rsidRPr="000C43C5">
        <w:rPr>
          <w:lang w:val="fr-CA"/>
        </w:rPr>
        <w:t>ent une inconduite judiciaire, il est donc nécessaire de déterminer quelle</w:t>
      </w:r>
      <w:r w:rsidR="00991B51">
        <w:rPr>
          <w:lang w:val="fr-CA"/>
        </w:rPr>
        <w:t xml:space="preserve"> </w:t>
      </w:r>
      <w:r w:rsidRPr="000C43C5">
        <w:rPr>
          <w:lang w:val="fr-CA"/>
        </w:rPr>
        <w:t xml:space="preserve">mesure </w:t>
      </w:r>
      <w:r w:rsidRPr="00991B51">
        <w:rPr>
          <w:lang w:val="fr-CA"/>
        </w:rPr>
        <w:t xml:space="preserve">parmi les mesures prévues au paragraphe </w:t>
      </w:r>
      <w:r w:rsidR="0048232E" w:rsidRPr="00991B51">
        <w:rPr>
          <w:lang w:val="fr-CA"/>
        </w:rPr>
        <w:t>11.1</w:t>
      </w:r>
      <w:r w:rsidRPr="00991B51">
        <w:rPr>
          <w:lang w:val="fr-CA"/>
        </w:rPr>
        <w:t xml:space="preserve"> </w:t>
      </w:r>
      <w:r w:rsidR="0048232E" w:rsidRPr="00991B51">
        <w:rPr>
          <w:lang w:val="fr-CA"/>
        </w:rPr>
        <w:t xml:space="preserve">(10) </w:t>
      </w:r>
      <w:r w:rsidRPr="00991B51">
        <w:rPr>
          <w:lang w:val="fr-CA"/>
        </w:rPr>
        <w:t xml:space="preserve">de la Loi, s’impose afin de rétablir la </w:t>
      </w:r>
      <w:r w:rsidRPr="00D20E4A">
        <w:rPr>
          <w:lang w:val="fr-CA"/>
        </w:rPr>
        <w:t>confiance du public dans la magistrature</w:t>
      </w:r>
      <w:r w:rsidR="0048232E" w:rsidRPr="00D20E4A">
        <w:rPr>
          <w:lang w:val="fr-CA"/>
        </w:rPr>
        <w:t>.</w:t>
      </w:r>
    </w:p>
    <w:p w14:paraId="40BC6462" w14:textId="34C6F365" w:rsidR="0048232E" w:rsidRPr="00D20E4A" w:rsidRDefault="004B410E" w:rsidP="005E3434">
      <w:pPr>
        <w:pStyle w:val="AParaNumbering"/>
        <w:rPr>
          <w:lang w:val="fr-CA"/>
        </w:rPr>
      </w:pPr>
      <w:r w:rsidRPr="00D20E4A">
        <w:rPr>
          <w:lang w:val="fr-CA"/>
        </w:rPr>
        <w:t>« L’objet de l’instance sur une inconduite de la magistrature est essentiellement correctif. Les dispositions prévues à l’article 51.6(11) doivent être invoquées au besoin pour rétablir la confiance du public à la suite de la conduite du juge. »</w:t>
      </w:r>
      <w:r w:rsidR="0048232E" w:rsidRPr="00D20E4A">
        <w:rPr>
          <w:lang w:val="fr-CA"/>
        </w:rPr>
        <w:t xml:space="preserve"> (</w:t>
      </w:r>
      <w:r w:rsidR="003E5919" w:rsidRPr="00D20E4A">
        <w:rPr>
          <w:lang w:val="fr-CA"/>
        </w:rPr>
        <w:t xml:space="preserve">comité d’audition du Conseil de la magistrature de l’Ontario dans l’affaire </w:t>
      </w:r>
      <w:r w:rsidR="0048232E" w:rsidRPr="00D20E4A">
        <w:rPr>
          <w:i/>
          <w:lang w:val="fr-CA"/>
        </w:rPr>
        <w:t>Re Baldwin</w:t>
      </w:r>
      <w:r w:rsidR="0048232E" w:rsidRPr="00D20E4A">
        <w:rPr>
          <w:lang w:val="fr-CA"/>
        </w:rPr>
        <w:t xml:space="preserve"> (OJC, 2002) </w:t>
      </w:r>
      <w:r w:rsidR="003E5919" w:rsidRPr="00D20E4A">
        <w:rPr>
          <w:lang w:val="fr-CA"/>
        </w:rPr>
        <w:t>à la</w:t>
      </w:r>
      <w:r w:rsidR="0048232E" w:rsidRPr="00D20E4A">
        <w:rPr>
          <w:lang w:val="fr-CA"/>
        </w:rPr>
        <w:t xml:space="preserve"> page 6.)</w:t>
      </w:r>
      <w:r w:rsidR="005E3434" w:rsidRPr="00D20E4A">
        <w:rPr>
          <w:lang w:val="fr-CA"/>
        </w:rPr>
        <w:t xml:space="preserve"> </w:t>
      </w:r>
    </w:p>
    <w:p w14:paraId="6EC5E64C" w14:textId="718D5DA0" w:rsidR="00F7448F" w:rsidRPr="000C43C5" w:rsidRDefault="003E5919" w:rsidP="003E5919">
      <w:pPr>
        <w:pStyle w:val="AParaNumbering"/>
        <w:rPr>
          <w:lang w:val="fr-CA"/>
        </w:rPr>
      </w:pPr>
      <w:r w:rsidRPr="00D20E4A">
        <w:rPr>
          <w:lang w:val="fr-CA"/>
        </w:rPr>
        <w:t>Le cadre législatif examiné par ce comité d’audition est parallèle au cadre législatif régissant la décision de notre comité d’auditio</w:t>
      </w:r>
      <w:r w:rsidRPr="000C43C5">
        <w:rPr>
          <w:lang w:val="fr-CA"/>
        </w:rPr>
        <w:t>n. Une fois qu'il est établi qu'une mesure en vertu du par.</w:t>
      </w:r>
      <w:r w:rsidR="00F7448F" w:rsidRPr="000C43C5">
        <w:rPr>
          <w:lang w:val="fr-CA"/>
        </w:rPr>
        <w:t xml:space="preserve"> 11.1</w:t>
      </w:r>
      <w:r w:rsidRPr="000C43C5">
        <w:rPr>
          <w:lang w:val="fr-CA"/>
        </w:rPr>
        <w:t xml:space="preserve"> </w:t>
      </w:r>
      <w:r w:rsidR="00F7448F" w:rsidRPr="000C43C5">
        <w:rPr>
          <w:lang w:val="fr-CA"/>
        </w:rPr>
        <w:t xml:space="preserve">(10) </w:t>
      </w:r>
      <w:r w:rsidRPr="000C43C5">
        <w:rPr>
          <w:lang w:val="fr-CA"/>
        </w:rPr>
        <w:t xml:space="preserve">s'impose, nous devrions </w:t>
      </w:r>
      <w:r w:rsidRPr="000C43C5">
        <w:rPr>
          <w:rStyle w:val="Emphasis"/>
          <w:i w:val="0"/>
          <w:lang w:val="fr-CA"/>
        </w:rPr>
        <w:t>envisager en premier la mesure la moins grave, l'avertissement, et remonter une mesure à la fois jusqu'à la mesure la plus grave, la recommandation de destitution, et n'ordonner que la mesure qui est nécessaire pour r</w:t>
      </w:r>
      <w:r w:rsidR="00D20E4A">
        <w:rPr>
          <w:rStyle w:val="Emphasis"/>
          <w:i w:val="0"/>
          <w:lang w:val="fr-CA"/>
        </w:rPr>
        <w:t>établir</w:t>
      </w:r>
      <w:r w:rsidRPr="000C43C5">
        <w:rPr>
          <w:rStyle w:val="Emphasis"/>
          <w:i w:val="0"/>
          <w:lang w:val="fr-CA"/>
        </w:rPr>
        <w:t xml:space="preserve"> la confiance du public envers le juge et l'administration de la justice en général</w:t>
      </w:r>
      <w:r w:rsidR="00F7448F" w:rsidRPr="000C43C5">
        <w:rPr>
          <w:i/>
          <w:lang w:val="fr-CA"/>
        </w:rPr>
        <w:t>.</w:t>
      </w:r>
    </w:p>
    <w:p w14:paraId="64E7A3F7" w14:textId="7E8C9BEB" w:rsidR="00F7448F" w:rsidRPr="000C43C5" w:rsidRDefault="003E5919" w:rsidP="00CC0EA1">
      <w:pPr>
        <w:pStyle w:val="AParaNumbering"/>
        <w:spacing w:after="120"/>
        <w:rPr>
          <w:lang w:val="fr-CA"/>
        </w:rPr>
      </w:pPr>
      <w:r w:rsidRPr="000C43C5">
        <w:rPr>
          <w:lang w:val="fr-CA"/>
        </w:rPr>
        <w:t>En ce qui concerne l’extrémité la plus grave de la fourchette de mesures possibles, la destitution, dans le</w:t>
      </w:r>
      <w:r w:rsidR="00F7448F" w:rsidRPr="000C43C5">
        <w:rPr>
          <w:lang w:val="fr-CA"/>
        </w:rPr>
        <w:t xml:space="preserve"> </w:t>
      </w:r>
      <w:r w:rsidR="005E3434" w:rsidRPr="000C43C5">
        <w:rPr>
          <w:i/>
          <w:lang w:val="fr-CA"/>
        </w:rPr>
        <w:t xml:space="preserve">Rapport du Comité d’enquête au sujet de l’hon. Paul </w:t>
      </w:r>
      <w:r w:rsidR="00F7448F" w:rsidRPr="000C43C5">
        <w:rPr>
          <w:i/>
          <w:lang w:val="fr-CA"/>
        </w:rPr>
        <w:t>Cosgrove</w:t>
      </w:r>
      <w:r w:rsidR="00F7448F" w:rsidRPr="000C43C5">
        <w:rPr>
          <w:lang w:val="fr-CA"/>
        </w:rPr>
        <w:t xml:space="preserve"> (</w:t>
      </w:r>
      <w:r w:rsidR="005E3434" w:rsidRPr="000C43C5">
        <w:rPr>
          <w:lang w:val="fr-CA"/>
        </w:rPr>
        <w:t>30 mars </w:t>
      </w:r>
      <w:r w:rsidR="00F7448F" w:rsidRPr="000C43C5">
        <w:rPr>
          <w:lang w:val="fr-CA"/>
        </w:rPr>
        <w:t>2009)</w:t>
      </w:r>
      <w:r w:rsidRPr="000C43C5">
        <w:rPr>
          <w:lang w:val="fr-CA"/>
        </w:rPr>
        <w:t>, au</w:t>
      </w:r>
      <w:r w:rsidR="00F7448F" w:rsidRPr="000C43C5">
        <w:rPr>
          <w:lang w:val="fr-CA"/>
        </w:rPr>
        <w:t xml:space="preserve"> paragraph</w:t>
      </w:r>
      <w:r w:rsidRPr="000C43C5">
        <w:rPr>
          <w:lang w:val="fr-CA"/>
        </w:rPr>
        <w:t>e</w:t>
      </w:r>
      <w:r w:rsidR="00F7448F" w:rsidRPr="000C43C5">
        <w:rPr>
          <w:lang w:val="fr-CA"/>
        </w:rPr>
        <w:t xml:space="preserve"> 19, </w:t>
      </w:r>
      <w:r w:rsidRPr="000C43C5">
        <w:rPr>
          <w:lang w:val="fr-CA"/>
        </w:rPr>
        <w:t>le Conseil canadien de la magistrature a adopté la norme suivante </w:t>
      </w:r>
      <w:r w:rsidR="00F7448F" w:rsidRPr="000C43C5">
        <w:rPr>
          <w:lang w:val="fr-CA"/>
        </w:rPr>
        <w:t xml:space="preserve">: </w:t>
      </w:r>
    </w:p>
    <w:p w14:paraId="4A3066E7" w14:textId="5EAF3D1F" w:rsidR="00F7448F" w:rsidRPr="000C43C5" w:rsidRDefault="003E5919" w:rsidP="006A0D26">
      <w:pPr>
        <w:pStyle w:val="AParaNumbering"/>
        <w:numPr>
          <w:ilvl w:val="0"/>
          <w:numId w:val="0"/>
        </w:numPr>
        <w:spacing w:before="0" w:after="0" w:line="240" w:lineRule="auto"/>
        <w:ind w:left="720" w:right="571"/>
        <w:rPr>
          <w:lang w:val="fr-CA"/>
        </w:rPr>
      </w:pPr>
      <w:r w:rsidRPr="000C43C5">
        <w:rPr>
          <w:lang w:val="fr-CA"/>
        </w:rPr>
        <w:t xml:space="preserve">En conséquence, </w:t>
      </w:r>
      <w:r w:rsidR="006E0145" w:rsidRPr="000C43C5">
        <w:rPr>
          <w:lang w:val="fr-CA"/>
        </w:rPr>
        <w:t xml:space="preserve">le Conseil doit encore procéder à la deuxième étape afin de déterminer si la confiance du public dans la capacité du juge d’exécuter les fonctions de sa charge a été minée au point qu’une recommandation de </w:t>
      </w:r>
      <w:r w:rsidR="006E0145" w:rsidRPr="000C43C5">
        <w:rPr>
          <w:lang w:val="fr-CA"/>
        </w:rPr>
        <w:lastRenderedPageBreak/>
        <w:t xml:space="preserve">destitution se justifie. À cet égard, nous adoptons la norme établie par le Conseil dans l’affaire </w:t>
      </w:r>
      <w:r w:rsidR="00F7448F" w:rsidRPr="000C43C5">
        <w:rPr>
          <w:lang w:val="fr-CA"/>
        </w:rPr>
        <w:t xml:space="preserve">Marshall </w:t>
      </w:r>
      <w:r w:rsidR="006E0145" w:rsidRPr="000C43C5">
        <w:rPr>
          <w:lang w:val="fr-CA"/>
        </w:rPr>
        <w:t xml:space="preserve">et couramment appliquée dans d’autres cas depuis </w:t>
      </w:r>
      <w:r w:rsidR="00F7448F" w:rsidRPr="000C43C5">
        <w:rPr>
          <w:lang w:val="fr-CA"/>
        </w:rPr>
        <w:t>:</w:t>
      </w:r>
    </w:p>
    <w:p w14:paraId="599B0A58" w14:textId="77777777" w:rsidR="00E201C2" w:rsidRPr="000C43C5" w:rsidRDefault="00E201C2" w:rsidP="00CC0EA1">
      <w:pPr>
        <w:pStyle w:val="AParaNumbering"/>
        <w:numPr>
          <w:ilvl w:val="0"/>
          <w:numId w:val="0"/>
        </w:numPr>
        <w:spacing w:before="0" w:after="0" w:line="240" w:lineRule="auto"/>
        <w:ind w:left="720"/>
        <w:rPr>
          <w:lang w:val="fr-CA"/>
        </w:rPr>
      </w:pPr>
    </w:p>
    <w:p w14:paraId="3DE8975E" w14:textId="1B62FF25" w:rsidR="00F7448F" w:rsidRPr="000C43C5" w:rsidRDefault="003E5919" w:rsidP="006A0D26">
      <w:pPr>
        <w:pStyle w:val="AParaNumbering"/>
        <w:numPr>
          <w:ilvl w:val="0"/>
          <w:numId w:val="0"/>
        </w:numPr>
        <w:spacing w:before="0" w:after="0" w:line="240" w:lineRule="auto"/>
        <w:ind w:left="1440" w:right="1138"/>
        <w:rPr>
          <w:lang w:val="fr-CA"/>
        </w:rPr>
      </w:pPr>
      <w:r w:rsidRPr="000C43C5">
        <w:rPr>
          <w:lang w:val="fr-CA"/>
        </w:rPr>
        <w:t xml:space="preserve">la conduite reprochée </w:t>
      </w:r>
      <w:r w:rsidR="00F03FD3" w:rsidRPr="000C43C5">
        <w:rPr>
          <w:lang w:val="fr-CA"/>
        </w:rPr>
        <w:t xml:space="preserve">porte-t-elle si manifestement et si </w:t>
      </w:r>
      <w:r w:rsidR="00D20E4A">
        <w:rPr>
          <w:lang w:val="fr-CA"/>
        </w:rPr>
        <w:t>profondément</w:t>
      </w:r>
      <w:r w:rsidR="00F03FD3" w:rsidRPr="000C43C5">
        <w:rPr>
          <w:lang w:val="fr-CA"/>
        </w:rPr>
        <w:t xml:space="preserve"> atteinte à l'impartialité, à l'intégrité et à l'indépendance de la magistrature qu'elle rend le juge incapable de s'acquitter des fonctions de sa charge</w:t>
      </w:r>
      <w:r w:rsidR="00D20E4A">
        <w:rPr>
          <w:lang w:val="fr-CA"/>
        </w:rPr>
        <w:t>?</w:t>
      </w:r>
      <w:r w:rsidR="006E0145" w:rsidRPr="000C43C5">
        <w:rPr>
          <w:lang w:val="fr-CA"/>
        </w:rPr>
        <w:t xml:space="preserve"> [traduction]</w:t>
      </w:r>
    </w:p>
    <w:p w14:paraId="0967241C" w14:textId="77777777" w:rsidR="00CC0EA1" w:rsidRPr="000C43C5" w:rsidRDefault="00CC0EA1" w:rsidP="00CC0EA1">
      <w:pPr>
        <w:pStyle w:val="AParaNumbering"/>
        <w:numPr>
          <w:ilvl w:val="0"/>
          <w:numId w:val="0"/>
        </w:numPr>
        <w:spacing w:before="0" w:after="0" w:line="240" w:lineRule="auto"/>
        <w:rPr>
          <w:lang w:val="fr-CA"/>
        </w:rPr>
      </w:pPr>
    </w:p>
    <w:p w14:paraId="668BE3D9" w14:textId="112E5BE3" w:rsidR="00F7448F" w:rsidRPr="000C43C5" w:rsidRDefault="006E0145" w:rsidP="00CC0EA1">
      <w:pPr>
        <w:pStyle w:val="AParaNumbering"/>
        <w:spacing w:before="0" w:after="0"/>
        <w:rPr>
          <w:lang w:val="fr-CA"/>
        </w:rPr>
      </w:pPr>
      <w:r w:rsidRPr="000C43C5">
        <w:rPr>
          <w:lang w:val="fr-CA"/>
        </w:rPr>
        <w:t xml:space="preserve">Le comité d’audition a relevé la décision de la Cour suprême du Canada dans l’affaire </w:t>
      </w:r>
      <w:r w:rsidR="00F7448F" w:rsidRPr="000C43C5">
        <w:rPr>
          <w:i/>
          <w:lang w:val="fr-CA"/>
        </w:rPr>
        <w:t xml:space="preserve">Ruffo </w:t>
      </w:r>
      <w:r w:rsidRPr="000C43C5">
        <w:rPr>
          <w:i/>
          <w:lang w:val="fr-CA"/>
        </w:rPr>
        <w:t>c</w:t>
      </w:r>
      <w:r w:rsidR="00F7448F" w:rsidRPr="000C43C5">
        <w:rPr>
          <w:i/>
          <w:lang w:val="fr-CA"/>
        </w:rPr>
        <w:t>. Conseil de la magistrature,</w:t>
      </w:r>
      <w:r w:rsidR="00F7448F" w:rsidRPr="000C43C5">
        <w:rPr>
          <w:lang w:val="fr-CA"/>
        </w:rPr>
        <w:t xml:space="preserve"> [1995] 4 </w:t>
      </w:r>
      <w:r w:rsidRPr="000C43C5">
        <w:rPr>
          <w:lang w:val="fr-CA"/>
        </w:rPr>
        <w:t>RCS</w:t>
      </w:r>
      <w:r w:rsidR="00F7448F" w:rsidRPr="000C43C5">
        <w:rPr>
          <w:lang w:val="fr-CA"/>
        </w:rPr>
        <w:t xml:space="preserve"> 267 (</w:t>
      </w:r>
      <w:r w:rsidRPr="000C43C5">
        <w:rPr>
          <w:lang w:val="fr-CA"/>
        </w:rPr>
        <w:t>CSC</w:t>
      </w:r>
      <w:r w:rsidR="00F7448F" w:rsidRPr="000C43C5">
        <w:rPr>
          <w:lang w:val="fr-CA"/>
        </w:rPr>
        <w:t>)</w:t>
      </w:r>
      <w:r w:rsidRPr="000C43C5">
        <w:rPr>
          <w:lang w:val="fr-CA"/>
        </w:rPr>
        <w:t>, au</w:t>
      </w:r>
      <w:r w:rsidR="00F7448F" w:rsidRPr="000C43C5">
        <w:rPr>
          <w:lang w:val="fr-CA"/>
        </w:rPr>
        <w:t xml:space="preserve"> paragraph</w:t>
      </w:r>
      <w:r w:rsidRPr="000C43C5">
        <w:rPr>
          <w:lang w:val="fr-CA"/>
        </w:rPr>
        <w:t>e </w:t>
      </w:r>
      <w:r w:rsidR="00F7448F" w:rsidRPr="000C43C5">
        <w:rPr>
          <w:lang w:val="fr-CA"/>
        </w:rPr>
        <w:t>68</w:t>
      </w:r>
      <w:r w:rsidRPr="000C43C5">
        <w:rPr>
          <w:lang w:val="fr-CA"/>
        </w:rPr>
        <w:t xml:space="preserve">, où la Cour a déclaré </w:t>
      </w:r>
      <w:r w:rsidR="00F7448F" w:rsidRPr="000C43C5">
        <w:rPr>
          <w:lang w:val="fr-CA"/>
        </w:rPr>
        <w:t>:</w:t>
      </w:r>
    </w:p>
    <w:p w14:paraId="1DA01749" w14:textId="5A2324E4" w:rsidR="00F7448F" w:rsidRPr="000C43C5" w:rsidRDefault="00F7448F" w:rsidP="00CC0EA1">
      <w:pPr>
        <w:pStyle w:val="AParaNumbering"/>
        <w:numPr>
          <w:ilvl w:val="0"/>
          <w:numId w:val="0"/>
        </w:numPr>
        <w:spacing w:before="0" w:after="0" w:line="240" w:lineRule="auto"/>
        <w:ind w:left="1134"/>
        <w:rPr>
          <w:lang w:val="fr-CA"/>
        </w:rPr>
      </w:pPr>
      <w:r w:rsidRPr="000C43C5">
        <w:rPr>
          <w:lang w:val="fr-CA"/>
        </w:rPr>
        <w:t>…</w:t>
      </w:r>
      <w:r w:rsidR="006E0145" w:rsidRPr="000C43C5">
        <w:rPr>
          <w:lang w:val="fr-CA"/>
        </w:rPr>
        <w:t xml:space="preserve"> Le Comité a donc pour mission de veiller au respect de la déontologie judiciaire pour assurer l'intégrité du pouvoir judiciaire</w:t>
      </w:r>
      <w:r w:rsidRPr="000C43C5">
        <w:rPr>
          <w:lang w:val="fr-CA"/>
        </w:rPr>
        <w:t xml:space="preserve">. </w:t>
      </w:r>
      <w:r w:rsidR="006E0145" w:rsidRPr="000C43C5">
        <w:rPr>
          <w:lang w:val="fr-CA"/>
        </w:rPr>
        <w:t>La fonction qu'il exerce est réparatrice, et ce à l'endroit de la magistrature, non pas du juge visé par une sanction</w:t>
      </w:r>
      <w:r w:rsidR="00BD42CD" w:rsidRPr="000C43C5">
        <w:rPr>
          <w:lang w:val="fr-CA"/>
        </w:rPr>
        <w:t>.</w:t>
      </w:r>
    </w:p>
    <w:p w14:paraId="7CBBDFAF" w14:textId="77777777" w:rsidR="003D2BE7" w:rsidRPr="000C43C5" w:rsidRDefault="003D2BE7" w:rsidP="00CC0EA1">
      <w:pPr>
        <w:pStyle w:val="AParaNumbering"/>
        <w:numPr>
          <w:ilvl w:val="0"/>
          <w:numId w:val="0"/>
        </w:numPr>
        <w:spacing w:before="0" w:after="0" w:line="240" w:lineRule="auto"/>
        <w:ind w:left="1134"/>
        <w:rPr>
          <w:lang w:val="fr-CA"/>
        </w:rPr>
      </w:pPr>
    </w:p>
    <w:p w14:paraId="325204A1" w14:textId="307FE716" w:rsidR="0048232E" w:rsidRPr="000C43C5" w:rsidRDefault="001350A6" w:rsidP="003D2BE7">
      <w:pPr>
        <w:pStyle w:val="AParaNumbering"/>
        <w:spacing w:before="200"/>
        <w:rPr>
          <w:lang w:val="fr-CA"/>
        </w:rPr>
      </w:pPr>
      <w:r w:rsidRPr="000C43C5">
        <w:rPr>
          <w:lang w:val="fr-CA"/>
        </w:rPr>
        <w:t xml:space="preserve">Aux fins de l’application des principes énoncés par le juge </w:t>
      </w:r>
      <w:r w:rsidR="003E5589" w:rsidRPr="000C43C5">
        <w:rPr>
          <w:lang w:val="fr-CA"/>
        </w:rPr>
        <w:t xml:space="preserve">Gonthier </w:t>
      </w:r>
      <w:r w:rsidRPr="000C43C5">
        <w:rPr>
          <w:lang w:val="fr-CA"/>
        </w:rPr>
        <w:t xml:space="preserve">dans l’arrêt </w:t>
      </w:r>
      <w:r w:rsidR="003E5589" w:rsidRPr="000C43C5">
        <w:rPr>
          <w:i/>
          <w:lang w:val="fr-CA"/>
        </w:rPr>
        <w:t>Re Therrien</w:t>
      </w:r>
      <w:r w:rsidR="003E5589" w:rsidRPr="000C43C5">
        <w:rPr>
          <w:lang w:val="fr-CA"/>
        </w:rPr>
        <w:t xml:space="preserve">, </w:t>
      </w:r>
      <w:r w:rsidR="002C1A24" w:rsidRPr="000C43C5">
        <w:rPr>
          <w:lang w:val="fr-CA"/>
        </w:rPr>
        <w:t xml:space="preserve">il ne faut pas oublier que les officiers de justice et fonctionnaires judiciaires ne sont pas parfaits; ils sont des êtres humains. </w:t>
      </w:r>
    </w:p>
    <w:p w14:paraId="539806EA" w14:textId="497B9649" w:rsidR="00854E98" w:rsidRPr="000C43C5" w:rsidRDefault="00854E98" w:rsidP="00BF514D">
      <w:pPr>
        <w:pStyle w:val="AParaNumbering"/>
        <w:numPr>
          <w:ilvl w:val="0"/>
          <w:numId w:val="0"/>
        </w:numPr>
        <w:rPr>
          <w:b/>
          <w:i/>
          <w:lang w:val="fr-CA"/>
        </w:rPr>
      </w:pPr>
      <w:r w:rsidRPr="000C43C5">
        <w:rPr>
          <w:b/>
          <w:i/>
          <w:lang w:val="fr-CA"/>
        </w:rPr>
        <w:t>Fact</w:t>
      </w:r>
      <w:r w:rsidR="002C1A24" w:rsidRPr="000C43C5">
        <w:rPr>
          <w:b/>
          <w:i/>
          <w:lang w:val="fr-CA"/>
        </w:rPr>
        <w:t xml:space="preserve">eurs à prendre en considération pour évaluer la mesure appropriée </w:t>
      </w:r>
    </w:p>
    <w:p w14:paraId="18FC8817" w14:textId="5030A9E1" w:rsidR="0048232E" w:rsidRPr="000C43C5" w:rsidRDefault="002C1A24" w:rsidP="00BF514D">
      <w:pPr>
        <w:pStyle w:val="AParaNumbering"/>
        <w:rPr>
          <w:lang w:val="fr-CA"/>
        </w:rPr>
      </w:pPr>
      <w:r w:rsidRPr="000C43C5">
        <w:rPr>
          <w:lang w:val="fr-CA"/>
        </w:rPr>
        <w:t>Bien que le juge de paix Welsh et la greffière aient parlé trois fois de la question de la date incorrecte</w:t>
      </w:r>
      <w:r w:rsidR="002D1A17">
        <w:rPr>
          <w:lang w:val="fr-CA"/>
        </w:rPr>
        <w:t xml:space="preserve"> dans l’affaire Silverthorne</w:t>
      </w:r>
      <w:r w:rsidRPr="000C43C5">
        <w:rPr>
          <w:lang w:val="fr-CA"/>
        </w:rPr>
        <w:t>, leurs échanges étaient très rapprochés dans le temps. Nous considérons qu’il s’agit d’un seul acte concernant un seul accusé</w:t>
      </w:r>
      <w:r w:rsidR="004A14B5" w:rsidRPr="000C43C5">
        <w:rPr>
          <w:lang w:val="fr-CA"/>
        </w:rPr>
        <w:t>.</w:t>
      </w:r>
    </w:p>
    <w:p w14:paraId="375D536D" w14:textId="63F21602" w:rsidR="00C84740" w:rsidRPr="000C43C5" w:rsidRDefault="002C1A24" w:rsidP="00BF514D">
      <w:pPr>
        <w:pStyle w:val="AParaNumbering"/>
        <w:rPr>
          <w:lang w:val="fr-CA"/>
        </w:rPr>
      </w:pPr>
      <w:r w:rsidRPr="000C43C5">
        <w:rPr>
          <w:lang w:val="fr-CA"/>
        </w:rPr>
        <w:t>L’inconduite a eu lieu pendant que le juge de paix présidait une audience. L’incident s’est produit dans le contexte d’une journée d’audiences très chargée</w:t>
      </w:r>
      <w:r w:rsidR="00C84740" w:rsidRPr="000C43C5">
        <w:rPr>
          <w:lang w:val="fr-CA"/>
        </w:rPr>
        <w:t xml:space="preserve">, </w:t>
      </w:r>
      <w:r w:rsidRPr="000C43C5">
        <w:rPr>
          <w:lang w:val="fr-CA"/>
        </w:rPr>
        <w:t>pendant que le juge de paix traitait plusieurs affaires qui se succédaient rapidement</w:t>
      </w:r>
      <w:r w:rsidR="00C84740" w:rsidRPr="000C43C5">
        <w:rPr>
          <w:lang w:val="fr-CA"/>
        </w:rPr>
        <w:t xml:space="preserve">. </w:t>
      </w:r>
      <w:r w:rsidRPr="000C43C5">
        <w:rPr>
          <w:lang w:val="fr-CA"/>
        </w:rPr>
        <w:t xml:space="preserve">Même si le juge de paix avait l’option de ralentir le rythme pour résoudre le problème de la date incorrecte, il était lié par l’obligation de terminer tous les dossiers inscrits sur sa liste de </w:t>
      </w:r>
      <w:r w:rsidRPr="000C43C5">
        <w:rPr>
          <w:lang w:val="fr-CA"/>
        </w:rPr>
        <w:lastRenderedPageBreak/>
        <w:t>la journée d’une manière expéditive et efficiente. La lourde charge de travail imposée aux juges de paix et au personnel de l’administration des tribunaux dans ce ressort, aux dates et heures en question, est démontrée par le fait que le nombre de renvois par vidéo par jour a été réduit depuis</w:t>
      </w:r>
      <w:r w:rsidR="00C84740" w:rsidRPr="000C43C5">
        <w:rPr>
          <w:lang w:val="fr-CA"/>
        </w:rPr>
        <w:t>.</w:t>
      </w:r>
    </w:p>
    <w:p w14:paraId="211E01B9" w14:textId="7D5233CE" w:rsidR="009D3494" w:rsidRPr="000C43C5" w:rsidRDefault="002C1A24" w:rsidP="00BF514D">
      <w:pPr>
        <w:pStyle w:val="AParaNumbering"/>
        <w:rPr>
          <w:lang w:val="fr-CA"/>
        </w:rPr>
      </w:pPr>
      <w:r w:rsidRPr="000C43C5">
        <w:rPr>
          <w:lang w:val="fr-CA"/>
        </w:rPr>
        <w:t>Le juge de paix a avoué les faits dans un exposé conjoint des faits. Il a également reconnu que ses actes avaient érodé la confiance du public envers lui en qualité de juge de paix, envers la magistrature en général et envers l’administration de la justice</w:t>
      </w:r>
      <w:r w:rsidR="009D3494" w:rsidRPr="000C43C5">
        <w:rPr>
          <w:lang w:val="fr-CA"/>
        </w:rPr>
        <w:t>.</w:t>
      </w:r>
    </w:p>
    <w:p w14:paraId="0A32D17F" w14:textId="75F20F9A" w:rsidR="004A14B5" w:rsidRPr="000C43C5" w:rsidRDefault="007D336E" w:rsidP="00BF514D">
      <w:pPr>
        <w:pStyle w:val="AParaNumbering"/>
        <w:rPr>
          <w:lang w:val="fr-CA"/>
        </w:rPr>
      </w:pPr>
      <w:r w:rsidRPr="000C43C5">
        <w:rPr>
          <w:lang w:val="fr-CA"/>
        </w:rPr>
        <w:t xml:space="preserve">Par le biais de son avocat, le juge de paix </w:t>
      </w:r>
      <w:r w:rsidR="00AF4735" w:rsidRPr="000C43C5">
        <w:rPr>
          <w:lang w:val="fr-CA"/>
        </w:rPr>
        <w:t>Welsh</w:t>
      </w:r>
      <w:r w:rsidR="009D3494" w:rsidRPr="000C43C5">
        <w:rPr>
          <w:lang w:val="fr-CA"/>
        </w:rPr>
        <w:t xml:space="preserve"> </w:t>
      </w:r>
      <w:r w:rsidR="00BA5291" w:rsidRPr="000C43C5">
        <w:rPr>
          <w:lang w:val="fr-CA"/>
        </w:rPr>
        <w:t xml:space="preserve">reconnaît que ses pratiques de communication avec les avocats hors du tribunal étaient inappropriées et il affirme avoir tiré les leçons de cette expérience. Au mieux de notre connaissance, il n’y a pas eu d’autres incidents ou plaintes au sujet de la conduite du juge de paix depuis l’incident de 2013. Le juge de paix </w:t>
      </w:r>
      <w:r w:rsidR="006334F8" w:rsidRPr="000C43C5">
        <w:rPr>
          <w:lang w:val="fr-CA"/>
        </w:rPr>
        <w:t>W</w:t>
      </w:r>
      <w:r w:rsidR="00AF4735" w:rsidRPr="000C43C5">
        <w:rPr>
          <w:lang w:val="fr-CA"/>
        </w:rPr>
        <w:t>elsh</w:t>
      </w:r>
      <w:r w:rsidR="00524958" w:rsidRPr="000C43C5">
        <w:rPr>
          <w:lang w:val="fr-CA"/>
        </w:rPr>
        <w:t xml:space="preserve"> </w:t>
      </w:r>
      <w:r w:rsidR="00BA5291" w:rsidRPr="000C43C5">
        <w:rPr>
          <w:lang w:val="fr-CA"/>
        </w:rPr>
        <w:t xml:space="preserve">a reconnu l’étendue du dommage causé, à savoir l’emprisonnement de </w:t>
      </w:r>
      <w:r w:rsidR="00524958" w:rsidRPr="000C43C5">
        <w:rPr>
          <w:lang w:val="fr-CA"/>
        </w:rPr>
        <w:t>M. Silverthorne</w:t>
      </w:r>
      <w:r w:rsidR="00BA5291" w:rsidRPr="000C43C5">
        <w:rPr>
          <w:lang w:val="fr-CA"/>
        </w:rPr>
        <w:t xml:space="preserve"> pendant 24 jours</w:t>
      </w:r>
      <w:r w:rsidR="00DC4DEA" w:rsidRPr="000C43C5">
        <w:rPr>
          <w:lang w:val="fr-CA"/>
        </w:rPr>
        <w:t>.</w:t>
      </w:r>
    </w:p>
    <w:p w14:paraId="6C2E332A" w14:textId="1ED31992" w:rsidR="004A14B5" w:rsidRPr="000C43C5" w:rsidRDefault="00086683" w:rsidP="00BF514D">
      <w:pPr>
        <w:pStyle w:val="AParaNumbering"/>
        <w:rPr>
          <w:lang w:val="fr-CA"/>
        </w:rPr>
      </w:pPr>
      <w:r w:rsidRPr="000C43C5">
        <w:rPr>
          <w:lang w:val="fr-CA"/>
        </w:rPr>
        <w:t xml:space="preserve">Le juge de paix </w:t>
      </w:r>
      <w:r w:rsidR="00AF4735" w:rsidRPr="000C43C5">
        <w:rPr>
          <w:lang w:val="fr-CA"/>
        </w:rPr>
        <w:t>Welsh</w:t>
      </w:r>
      <w:r w:rsidR="00524958" w:rsidRPr="000C43C5">
        <w:rPr>
          <w:lang w:val="fr-CA"/>
        </w:rPr>
        <w:t xml:space="preserve"> </w:t>
      </w:r>
      <w:r w:rsidRPr="000C43C5">
        <w:rPr>
          <w:lang w:val="fr-CA"/>
        </w:rPr>
        <w:t>a pris des mesures, ainsi que l’administration locale des tribunaux, en vue de réduire le risque d’erreur dans l’établissement de dates de comparution et il affirme qu’il ne modifie plus des dates d’audience en l’absence de l’accusé ou de son avocat</w:t>
      </w:r>
      <w:r w:rsidR="00524958" w:rsidRPr="000C43C5">
        <w:rPr>
          <w:lang w:val="fr-CA"/>
        </w:rPr>
        <w:t>.</w:t>
      </w:r>
    </w:p>
    <w:p w14:paraId="739A09EA" w14:textId="68B3917A" w:rsidR="009D3494" w:rsidRPr="000C43C5" w:rsidRDefault="00086683" w:rsidP="00BF514D">
      <w:pPr>
        <w:pStyle w:val="AParaNumbering"/>
        <w:rPr>
          <w:lang w:val="fr-CA"/>
        </w:rPr>
      </w:pPr>
      <w:r w:rsidRPr="000C43C5">
        <w:rPr>
          <w:lang w:val="fr-CA"/>
        </w:rPr>
        <w:t xml:space="preserve">Le juge de paix </w:t>
      </w:r>
      <w:r w:rsidR="00CC0EA1" w:rsidRPr="000C43C5">
        <w:rPr>
          <w:lang w:val="fr-CA"/>
        </w:rPr>
        <w:t>Welsh</w:t>
      </w:r>
      <w:r w:rsidR="00C84740" w:rsidRPr="000C43C5">
        <w:rPr>
          <w:lang w:val="fr-CA"/>
        </w:rPr>
        <w:t xml:space="preserve"> </w:t>
      </w:r>
      <w:r w:rsidRPr="000C43C5">
        <w:rPr>
          <w:lang w:val="fr-CA"/>
        </w:rPr>
        <w:t xml:space="preserve">est un juge de paix chevronné; il travaille à la magistrature depuis </w:t>
      </w:r>
      <w:r w:rsidR="00AF4735" w:rsidRPr="000C43C5">
        <w:rPr>
          <w:lang w:val="fr-CA"/>
        </w:rPr>
        <w:t xml:space="preserve">2001. </w:t>
      </w:r>
      <w:r w:rsidRPr="000C43C5">
        <w:rPr>
          <w:lang w:val="fr-CA"/>
        </w:rPr>
        <w:t>Dans le cadre de notre instance, il a déposé de nombreuses lettres témoignant de sa bonne moralité, qui louent son intégrité et sa déontologie, ses apports à l’administration de la justice et son respect des droits des accusés</w:t>
      </w:r>
      <w:r w:rsidR="009D3494" w:rsidRPr="000C43C5">
        <w:rPr>
          <w:lang w:val="fr-CA"/>
        </w:rPr>
        <w:t xml:space="preserve">.  </w:t>
      </w:r>
    </w:p>
    <w:p w14:paraId="2CF9FC27" w14:textId="0318F7C2" w:rsidR="001D2CC5" w:rsidRPr="000C43C5" w:rsidRDefault="00CB7865" w:rsidP="00AC3268">
      <w:pPr>
        <w:pStyle w:val="AParaNumbering"/>
        <w:rPr>
          <w:lang w:val="fr-CA"/>
        </w:rPr>
      </w:pPr>
      <w:r w:rsidRPr="000C43C5">
        <w:rPr>
          <w:lang w:val="fr-CA"/>
        </w:rPr>
        <w:lastRenderedPageBreak/>
        <w:t>Il existe un</w:t>
      </w:r>
      <w:r w:rsidR="002D1A17">
        <w:rPr>
          <w:lang w:val="fr-CA"/>
        </w:rPr>
        <w:t>e conclusion</w:t>
      </w:r>
      <w:r w:rsidRPr="000C43C5">
        <w:rPr>
          <w:lang w:val="fr-CA"/>
        </w:rPr>
        <w:t xml:space="preserve"> antérieur</w:t>
      </w:r>
      <w:r w:rsidR="002D1A17">
        <w:rPr>
          <w:lang w:val="fr-CA"/>
        </w:rPr>
        <w:t>e</w:t>
      </w:r>
      <w:r w:rsidRPr="000C43C5">
        <w:rPr>
          <w:lang w:val="fr-CA"/>
        </w:rPr>
        <w:t xml:space="preserve"> de grave inconduite judiciaire contre le juge de paix </w:t>
      </w:r>
      <w:r w:rsidR="00AF4735" w:rsidRPr="000C43C5">
        <w:rPr>
          <w:lang w:val="fr-CA"/>
        </w:rPr>
        <w:t>Welsh</w:t>
      </w:r>
      <w:r w:rsidR="00524958" w:rsidRPr="000C43C5">
        <w:rPr>
          <w:lang w:val="fr-CA"/>
        </w:rPr>
        <w:t xml:space="preserve">. </w:t>
      </w:r>
      <w:r w:rsidRPr="000C43C5">
        <w:rPr>
          <w:lang w:val="fr-CA"/>
        </w:rPr>
        <w:t>E</w:t>
      </w:r>
      <w:r w:rsidR="00524958" w:rsidRPr="000C43C5">
        <w:rPr>
          <w:lang w:val="fr-CA"/>
        </w:rPr>
        <w:t xml:space="preserve">n 2009, </w:t>
      </w:r>
      <w:r w:rsidRPr="000C43C5">
        <w:rPr>
          <w:lang w:val="fr-CA"/>
        </w:rPr>
        <w:t>un comité d’audition du Conseil d’évaluation a conclu que le juge de paix W</w:t>
      </w:r>
      <w:r w:rsidR="00524958" w:rsidRPr="000C43C5">
        <w:rPr>
          <w:lang w:val="fr-CA"/>
        </w:rPr>
        <w:t xml:space="preserve">elsh </w:t>
      </w:r>
      <w:r w:rsidRPr="002D1A17">
        <w:rPr>
          <w:lang w:val="fr-CA"/>
        </w:rPr>
        <w:t xml:space="preserve">avait </w:t>
      </w:r>
      <w:r w:rsidR="00A05DEF" w:rsidRPr="002D1A17">
        <w:rPr>
          <w:lang w:val="fr-CA"/>
        </w:rPr>
        <w:t xml:space="preserve">fait preuve d’inconduite judiciaire lorsqu’il a réduit l’amende figurant sur un </w:t>
      </w:r>
      <w:r w:rsidR="002D1A17" w:rsidRPr="002D1A17">
        <w:rPr>
          <w:lang w:val="fr-CA"/>
        </w:rPr>
        <w:t xml:space="preserve">procès-verbal </w:t>
      </w:r>
      <w:r w:rsidR="00A05DEF" w:rsidRPr="002D1A17">
        <w:rPr>
          <w:lang w:val="fr-CA"/>
        </w:rPr>
        <w:t>d’infraction qui concernait un véhicule enregistré au nom d’un</w:t>
      </w:r>
      <w:r w:rsidR="00146B6E" w:rsidRPr="002D1A17">
        <w:rPr>
          <w:lang w:val="fr-CA"/>
        </w:rPr>
        <w:t>e</w:t>
      </w:r>
      <w:r w:rsidR="00A05DEF" w:rsidRPr="002D1A17">
        <w:rPr>
          <w:lang w:val="fr-CA"/>
        </w:rPr>
        <w:t xml:space="preserve"> juge. Le juge de paix a </w:t>
      </w:r>
      <w:r w:rsidR="00AC3268" w:rsidRPr="002D1A17">
        <w:rPr>
          <w:lang w:val="fr-CA"/>
        </w:rPr>
        <w:t>pris l'initiative</w:t>
      </w:r>
      <w:r w:rsidR="00AC3268" w:rsidRPr="000C43C5">
        <w:rPr>
          <w:lang w:val="fr-CA"/>
        </w:rPr>
        <w:t xml:space="preserve"> inhabituelle d</w:t>
      </w:r>
      <w:r w:rsidR="00146B6E" w:rsidRPr="000C43C5">
        <w:rPr>
          <w:lang w:val="fr-CA"/>
        </w:rPr>
        <w:t xml:space="preserve">’aviser la juge de l’accusation portée contre </w:t>
      </w:r>
      <w:r w:rsidR="002D1A17">
        <w:rPr>
          <w:lang w:val="fr-CA"/>
        </w:rPr>
        <w:t xml:space="preserve">elle </w:t>
      </w:r>
      <w:r w:rsidR="00146B6E" w:rsidRPr="000C43C5">
        <w:rPr>
          <w:lang w:val="fr-CA"/>
        </w:rPr>
        <w:t>et de lui proposer des façons de réduire l’amende. La juge a insisté pour payer le montant intégral de l’amende, mais le juge de paix a tout de même réduit l’amende. Par la suite, le juge de paix a inscrit un plaidoyer de culpabilité pour l’infraction criminelle d’entrave à la justice en ce qui concerne ses actes et a reçu une absolution inconditionnelle. Le comité d’audition a ordonné que le juge de paix suive une formation ou un cours d’éducation judiciaire dans les domaines de l’indépendance judiciaire et de l’impartialité, comme condition de maintien de ses fonctions de juge de paix</w:t>
      </w:r>
      <w:r w:rsidR="001D2CC5" w:rsidRPr="000C43C5">
        <w:rPr>
          <w:lang w:val="fr-CA"/>
        </w:rPr>
        <w:t>.</w:t>
      </w:r>
    </w:p>
    <w:p w14:paraId="37161EC7" w14:textId="14FA391D" w:rsidR="00DC4DEA" w:rsidRPr="000C43C5" w:rsidRDefault="00375C6D" w:rsidP="00BF514D">
      <w:pPr>
        <w:pStyle w:val="AParaNumbering"/>
        <w:rPr>
          <w:lang w:val="fr-CA"/>
        </w:rPr>
      </w:pPr>
      <w:r w:rsidRPr="000C43C5">
        <w:rPr>
          <w:lang w:val="fr-CA"/>
        </w:rPr>
        <w:t xml:space="preserve">Notre comité d’audition craint que l’instance antérieure devant le Conseil d’évaluation n’a pas eu l’effet salutaire qu’attendait le comité d’audition saisi (au paragraphe </w:t>
      </w:r>
      <w:r w:rsidR="000A4578" w:rsidRPr="000C43C5">
        <w:rPr>
          <w:lang w:val="fr-CA"/>
        </w:rPr>
        <w:t xml:space="preserve">87 </w:t>
      </w:r>
      <w:r w:rsidRPr="000C43C5">
        <w:rPr>
          <w:lang w:val="fr-CA"/>
        </w:rPr>
        <w:t>de sa décision</w:t>
      </w:r>
      <w:r w:rsidR="000A4578" w:rsidRPr="000C43C5">
        <w:rPr>
          <w:lang w:val="fr-CA"/>
        </w:rPr>
        <w:t xml:space="preserve">). </w:t>
      </w:r>
      <w:r w:rsidRPr="000C43C5">
        <w:rPr>
          <w:lang w:val="fr-CA"/>
        </w:rPr>
        <w:t>Par ailleurs, nous relevons que ce comité d’audition antérieur avait aussi reçu des « témoignages extrêmement convaincants » en faveur du juge de paix</w:t>
      </w:r>
      <w:r w:rsidR="000A4578" w:rsidRPr="000C43C5">
        <w:rPr>
          <w:lang w:val="fr-CA"/>
        </w:rPr>
        <w:t>.</w:t>
      </w:r>
    </w:p>
    <w:p w14:paraId="1EC16C0E" w14:textId="230E14A9" w:rsidR="008C114E" w:rsidRPr="000C43C5" w:rsidRDefault="00375C6D" w:rsidP="00BF514D">
      <w:pPr>
        <w:pStyle w:val="AParaNumbering"/>
        <w:rPr>
          <w:lang w:val="fr-CA"/>
        </w:rPr>
      </w:pPr>
      <w:r w:rsidRPr="000C43C5">
        <w:rPr>
          <w:lang w:val="fr-CA"/>
        </w:rPr>
        <w:t xml:space="preserve">L’inconduite du juge de paix </w:t>
      </w:r>
      <w:r w:rsidR="002D1A17">
        <w:rPr>
          <w:lang w:val="fr-CA"/>
        </w:rPr>
        <w:t>en l’espèce</w:t>
      </w:r>
      <w:r w:rsidRPr="000C43C5">
        <w:rPr>
          <w:lang w:val="fr-CA"/>
        </w:rPr>
        <w:t xml:space="preserve">, bien que concernant une comparution plus simple, </w:t>
      </w:r>
      <w:r w:rsidR="002D1A17">
        <w:rPr>
          <w:lang w:val="fr-CA"/>
        </w:rPr>
        <w:t>d’ordre</w:t>
      </w:r>
      <w:r w:rsidRPr="000C43C5">
        <w:rPr>
          <w:lang w:val="fr-CA"/>
        </w:rPr>
        <w:t xml:space="preserve"> administratif, a eu des répercussions très négatives sur l’intégrité </w:t>
      </w:r>
      <w:r w:rsidR="00965C1C" w:rsidRPr="000C43C5">
        <w:rPr>
          <w:lang w:val="fr-CA"/>
        </w:rPr>
        <w:t xml:space="preserve">et le respect de la magistrature, ainsi que </w:t>
      </w:r>
      <w:r w:rsidR="002D1A17">
        <w:rPr>
          <w:lang w:val="fr-CA"/>
        </w:rPr>
        <w:t xml:space="preserve">sur </w:t>
      </w:r>
      <w:r w:rsidR="00965C1C" w:rsidRPr="000C43C5">
        <w:rPr>
          <w:lang w:val="fr-CA"/>
        </w:rPr>
        <w:t>l’administration de la justice dans son ensemble, car elle a causé la privation de liberté d’une personne</w:t>
      </w:r>
      <w:r w:rsidR="008C114E" w:rsidRPr="000C43C5">
        <w:rPr>
          <w:lang w:val="fr-CA"/>
        </w:rPr>
        <w:t>.</w:t>
      </w:r>
      <w:r w:rsidR="0086138B" w:rsidRPr="000C43C5">
        <w:rPr>
          <w:lang w:val="fr-CA"/>
        </w:rPr>
        <w:t xml:space="preserve"> </w:t>
      </w:r>
      <w:r w:rsidR="00965C1C" w:rsidRPr="000C43C5">
        <w:rPr>
          <w:lang w:val="fr-CA"/>
        </w:rPr>
        <w:t>Comme le juge de paix aurait dû le savoir, des tâches même routinières peuvent avoir des conséquences graves</w:t>
      </w:r>
      <w:r w:rsidR="0086138B" w:rsidRPr="000C43C5">
        <w:rPr>
          <w:lang w:val="fr-CA"/>
        </w:rPr>
        <w:t>.</w:t>
      </w:r>
    </w:p>
    <w:p w14:paraId="0378047E" w14:textId="3A7504BA" w:rsidR="00C84740" w:rsidRPr="000C43C5" w:rsidRDefault="00C84740" w:rsidP="005B54E7">
      <w:pPr>
        <w:pStyle w:val="AParaNumbering"/>
        <w:numPr>
          <w:ilvl w:val="0"/>
          <w:numId w:val="0"/>
        </w:numPr>
        <w:rPr>
          <w:b/>
          <w:i/>
          <w:lang w:val="fr-CA"/>
        </w:rPr>
      </w:pPr>
      <w:r w:rsidRPr="000C43C5">
        <w:rPr>
          <w:b/>
          <w:i/>
          <w:lang w:val="fr-CA"/>
        </w:rPr>
        <w:lastRenderedPageBreak/>
        <w:t xml:space="preserve">Positions </w:t>
      </w:r>
      <w:r w:rsidR="00965C1C" w:rsidRPr="000C43C5">
        <w:rPr>
          <w:b/>
          <w:i/>
          <w:lang w:val="fr-CA"/>
        </w:rPr>
        <w:t xml:space="preserve">des avocats </w:t>
      </w:r>
    </w:p>
    <w:p w14:paraId="126B9E8E" w14:textId="4DA78194" w:rsidR="004A14B5" w:rsidRPr="000C43C5" w:rsidRDefault="00316286" w:rsidP="00BF514D">
      <w:pPr>
        <w:pStyle w:val="AParaNumbering"/>
        <w:rPr>
          <w:lang w:val="fr-CA"/>
        </w:rPr>
      </w:pPr>
      <w:r w:rsidRPr="000C43C5">
        <w:rPr>
          <w:lang w:val="fr-CA"/>
        </w:rPr>
        <w:t xml:space="preserve">L’avocat du juge de paix </w:t>
      </w:r>
      <w:r w:rsidR="00FB4F17" w:rsidRPr="000C43C5">
        <w:rPr>
          <w:lang w:val="fr-CA"/>
        </w:rPr>
        <w:t>Welsh</w:t>
      </w:r>
      <w:r w:rsidRPr="000C43C5">
        <w:rPr>
          <w:lang w:val="fr-CA"/>
        </w:rPr>
        <w:t xml:space="preserve"> plaide qu’à la lumière de tous les facteurs devant notre comité d’audition, </w:t>
      </w:r>
      <w:r w:rsidR="0044328C" w:rsidRPr="000C43C5">
        <w:rPr>
          <w:lang w:val="fr-CA"/>
        </w:rPr>
        <w:t xml:space="preserve">il serait approprié d’ordonner une combinaison de plusieurs mesures, à savoir une réprimande, des excuses, une formation et une suspension de 14 à 30 jours </w:t>
      </w:r>
      <w:r w:rsidR="0005751B" w:rsidRPr="000C43C5">
        <w:rPr>
          <w:lang w:val="fr-CA"/>
        </w:rPr>
        <w:t>(</w:t>
      </w:r>
      <w:r w:rsidR="0044328C" w:rsidRPr="000C43C5">
        <w:rPr>
          <w:lang w:val="fr-CA"/>
        </w:rPr>
        <w:t>avec rémunération et avantages sociaux</w:t>
      </w:r>
      <w:r w:rsidR="0005751B" w:rsidRPr="000C43C5">
        <w:rPr>
          <w:lang w:val="fr-CA"/>
        </w:rPr>
        <w:t>)</w:t>
      </w:r>
      <w:r w:rsidR="004A14B5" w:rsidRPr="000C43C5">
        <w:rPr>
          <w:lang w:val="fr-CA"/>
        </w:rPr>
        <w:t>.</w:t>
      </w:r>
    </w:p>
    <w:p w14:paraId="56BC5BF0" w14:textId="781AEBFC" w:rsidR="00422809" w:rsidRPr="000C43C5" w:rsidRDefault="00251F4C" w:rsidP="009C5112">
      <w:pPr>
        <w:pStyle w:val="AParaNumbering"/>
        <w:rPr>
          <w:lang w:val="fr-CA"/>
        </w:rPr>
      </w:pPr>
      <w:r w:rsidRPr="000C43C5">
        <w:rPr>
          <w:lang w:val="fr-CA"/>
        </w:rPr>
        <w:t xml:space="preserve">L’avocate chargée de la présentation </w:t>
      </w:r>
      <w:r w:rsidR="001313A1" w:rsidRPr="000C43C5">
        <w:rPr>
          <w:lang w:val="fr-CA"/>
        </w:rPr>
        <w:t>relève ce qui semble être un</w:t>
      </w:r>
      <w:r w:rsidR="009C5112" w:rsidRPr="000C43C5">
        <w:rPr>
          <w:lang w:val="fr-CA"/>
        </w:rPr>
        <w:t xml:space="preserve"> comportement habituel chez le</w:t>
      </w:r>
      <w:r w:rsidR="001313A1" w:rsidRPr="000C43C5">
        <w:rPr>
          <w:lang w:val="fr-CA"/>
        </w:rPr>
        <w:t xml:space="preserve"> juge de paix </w:t>
      </w:r>
      <w:r w:rsidR="00422809" w:rsidRPr="000C43C5">
        <w:rPr>
          <w:lang w:val="fr-CA"/>
        </w:rPr>
        <w:t xml:space="preserve">Welsh, </w:t>
      </w:r>
      <w:r w:rsidR="009C5112" w:rsidRPr="000C43C5">
        <w:rPr>
          <w:lang w:val="fr-CA"/>
        </w:rPr>
        <w:t xml:space="preserve">« une certaine insouciance à l’égard de l’importance de sa charge judiciaire et de l’exigence de formalité et </w:t>
      </w:r>
      <w:r w:rsidR="00422809" w:rsidRPr="000C43C5">
        <w:rPr>
          <w:lang w:val="fr-CA"/>
        </w:rPr>
        <w:t xml:space="preserve">… </w:t>
      </w:r>
      <w:r w:rsidR="009C5112" w:rsidRPr="000C43C5">
        <w:rPr>
          <w:lang w:val="fr-CA"/>
        </w:rPr>
        <w:t>de retenue</w:t>
      </w:r>
      <w:r w:rsidR="00422809" w:rsidRPr="000C43C5">
        <w:rPr>
          <w:lang w:val="fr-CA"/>
        </w:rPr>
        <w:t>.</w:t>
      </w:r>
      <w:r w:rsidR="009C5112" w:rsidRPr="000C43C5">
        <w:rPr>
          <w:lang w:val="fr-CA"/>
        </w:rPr>
        <w:t> »</w:t>
      </w:r>
      <w:r w:rsidR="00422809" w:rsidRPr="000C43C5">
        <w:rPr>
          <w:lang w:val="fr-CA"/>
        </w:rPr>
        <w:t xml:space="preserve">   </w:t>
      </w:r>
      <w:r w:rsidR="009C5112" w:rsidRPr="000C43C5">
        <w:rPr>
          <w:lang w:val="fr-CA"/>
        </w:rPr>
        <w:t>Nous sommes d’accord. Le manque de respect pour les procédures judiciaires formelles et des interactions inappropriées avec d’autres participants</w:t>
      </w:r>
      <w:r w:rsidR="002D1A17">
        <w:rPr>
          <w:lang w:val="fr-CA"/>
        </w:rPr>
        <w:t xml:space="preserve"> </w:t>
      </w:r>
      <w:r w:rsidR="009C5112" w:rsidRPr="000C43C5">
        <w:rPr>
          <w:lang w:val="fr-CA"/>
        </w:rPr>
        <w:t>au système judiciaire sont deux thèmes qui se répètent malheureusement en l’espèce</w:t>
      </w:r>
      <w:r w:rsidR="003E6C6C" w:rsidRPr="000C43C5">
        <w:rPr>
          <w:lang w:val="fr-CA"/>
        </w:rPr>
        <w:t>.</w:t>
      </w:r>
    </w:p>
    <w:p w14:paraId="0FAD799A" w14:textId="5388D046" w:rsidR="004A14B5" w:rsidRPr="000C43C5" w:rsidRDefault="00605099" w:rsidP="00BF514D">
      <w:pPr>
        <w:pStyle w:val="AParaNumbering"/>
        <w:rPr>
          <w:lang w:val="fr-CA"/>
        </w:rPr>
      </w:pPr>
      <w:r w:rsidRPr="000C43C5">
        <w:rPr>
          <w:lang w:val="fr-CA"/>
        </w:rPr>
        <w:t xml:space="preserve">L’avocate chargée de la présentation </w:t>
      </w:r>
      <w:r w:rsidR="00254DEC" w:rsidRPr="000C43C5">
        <w:rPr>
          <w:lang w:val="fr-CA"/>
        </w:rPr>
        <w:t xml:space="preserve">est d’avis que le comité d’audition devrait envisager une combinaison de plusieurs mesures, à savoir une réprimande, des excuses, une formation (sur le rôle d’un juge de paix, les procédures formelles et la gestion des causes) et une suspension, cette dernière mesure étant nécessaire pour souligner l’étendue du tort causé à </w:t>
      </w:r>
      <w:r w:rsidR="008F7EC1" w:rsidRPr="000C43C5">
        <w:rPr>
          <w:lang w:val="fr-CA"/>
        </w:rPr>
        <w:t>M</w:t>
      </w:r>
      <w:r w:rsidR="00254DEC" w:rsidRPr="000C43C5">
        <w:rPr>
          <w:lang w:val="fr-CA"/>
        </w:rPr>
        <w:t>.</w:t>
      </w:r>
      <w:r w:rsidR="008F7EC1" w:rsidRPr="000C43C5">
        <w:rPr>
          <w:lang w:val="fr-CA"/>
        </w:rPr>
        <w:t xml:space="preserve"> Silverthorne </w:t>
      </w:r>
      <w:r w:rsidR="00254DEC" w:rsidRPr="000C43C5">
        <w:rPr>
          <w:lang w:val="fr-CA"/>
        </w:rPr>
        <w:t xml:space="preserve">et rétablir la confiance du public en l’assurant que l’inconduite du juge de paix est prise </w:t>
      </w:r>
      <w:r w:rsidR="002D1A17">
        <w:rPr>
          <w:lang w:val="fr-CA"/>
        </w:rPr>
        <w:t>au sérieux</w:t>
      </w:r>
      <w:r w:rsidR="00254DEC" w:rsidRPr="000C43C5">
        <w:rPr>
          <w:lang w:val="fr-CA"/>
        </w:rPr>
        <w:t xml:space="preserve">. </w:t>
      </w:r>
    </w:p>
    <w:p w14:paraId="7E792CDF" w14:textId="27950C38" w:rsidR="0014502B" w:rsidRPr="000C43C5" w:rsidRDefault="0014502B" w:rsidP="00C669F7">
      <w:pPr>
        <w:pStyle w:val="AParaNumbering"/>
        <w:numPr>
          <w:ilvl w:val="0"/>
          <w:numId w:val="0"/>
        </w:numPr>
        <w:ind w:left="180" w:hanging="180"/>
        <w:rPr>
          <w:b/>
          <w:i/>
          <w:lang w:val="fr-CA"/>
        </w:rPr>
      </w:pPr>
      <w:r w:rsidRPr="000C43C5">
        <w:rPr>
          <w:b/>
          <w:i/>
          <w:lang w:val="fr-CA"/>
        </w:rPr>
        <w:t>D</w:t>
      </w:r>
      <w:r w:rsidR="00254DEC" w:rsidRPr="000C43C5">
        <w:rPr>
          <w:b/>
          <w:i/>
          <w:lang w:val="fr-CA"/>
        </w:rPr>
        <w:t xml:space="preserve">écision </w:t>
      </w:r>
    </w:p>
    <w:p w14:paraId="53468888" w14:textId="1B17DA04" w:rsidR="00E86D29" w:rsidRPr="000C43C5" w:rsidRDefault="007D5956" w:rsidP="00BF514D">
      <w:pPr>
        <w:pStyle w:val="AParaNumbering"/>
        <w:rPr>
          <w:lang w:val="fr-CA"/>
        </w:rPr>
      </w:pPr>
      <w:r w:rsidRPr="000C43C5">
        <w:rPr>
          <w:lang w:val="fr-CA"/>
        </w:rPr>
        <w:t>Le comité d’audition conclut qu’afin de rétablir la confiance du public dans la justice de paix et l’administration de la justice en général, la mesure appropriée pour régler l’affaire en question est la suivante</w:t>
      </w:r>
      <w:r w:rsidR="00A231A2" w:rsidRPr="000C43C5">
        <w:rPr>
          <w:lang w:val="fr-CA"/>
        </w:rPr>
        <w:t xml:space="preserve"> </w:t>
      </w:r>
      <w:r w:rsidR="00BB7A4A" w:rsidRPr="000C43C5">
        <w:rPr>
          <w:lang w:val="fr-CA"/>
        </w:rPr>
        <w:t>:</w:t>
      </w:r>
    </w:p>
    <w:p w14:paraId="0DD3507E" w14:textId="1F012615" w:rsidR="00460D07" w:rsidRPr="000C43C5" w:rsidRDefault="00A231A2" w:rsidP="00AF2F19">
      <w:pPr>
        <w:pStyle w:val="ListParagraph"/>
        <w:widowControl w:val="0"/>
        <w:numPr>
          <w:ilvl w:val="0"/>
          <w:numId w:val="21"/>
        </w:numPr>
        <w:ind w:left="1418" w:right="571" w:hanging="284"/>
        <w:jc w:val="both"/>
        <w:rPr>
          <w:rFonts w:ascii="Arial" w:hAnsi="Arial" w:cs="Arial"/>
          <w:lang w:val="fr-CA"/>
        </w:rPr>
      </w:pPr>
      <w:r w:rsidRPr="000C43C5">
        <w:rPr>
          <w:rFonts w:ascii="Arial" w:hAnsi="Arial" w:cs="Arial"/>
          <w:lang w:val="fr-CA"/>
        </w:rPr>
        <w:lastRenderedPageBreak/>
        <w:t xml:space="preserve">Réprimander formellement le juge de paix. Cette </w:t>
      </w:r>
      <w:r w:rsidR="002D1A17">
        <w:rPr>
          <w:rFonts w:ascii="Arial" w:hAnsi="Arial" w:cs="Arial"/>
          <w:lang w:val="fr-CA"/>
        </w:rPr>
        <w:t>sanction</w:t>
      </w:r>
      <w:r w:rsidRPr="000C43C5">
        <w:rPr>
          <w:rFonts w:ascii="Arial" w:hAnsi="Arial" w:cs="Arial"/>
          <w:lang w:val="fr-CA"/>
        </w:rPr>
        <w:t xml:space="preserve"> formelle est destinée à démontrer clairement la désapprobation du comité d’audition à l’égard de sa conduite</w:t>
      </w:r>
      <w:r w:rsidR="00A11C48" w:rsidRPr="000C43C5">
        <w:rPr>
          <w:rFonts w:ascii="Arial" w:hAnsi="Arial" w:cs="Arial"/>
          <w:lang w:val="fr-CA"/>
        </w:rPr>
        <w:t>.</w:t>
      </w:r>
    </w:p>
    <w:p w14:paraId="2EFC677B" w14:textId="77777777" w:rsidR="007D4726" w:rsidRPr="000C43C5" w:rsidRDefault="007D4726" w:rsidP="007D4726">
      <w:pPr>
        <w:pStyle w:val="ListParagraph"/>
        <w:widowControl w:val="0"/>
        <w:ind w:left="1418" w:right="571"/>
        <w:jc w:val="both"/>
        <w:rPr>
          <w:rFonts w:ascii="Arial" w:hAnsi="Arial" w:cs="Arial"/>
          <w:lang w:val="fr-CA"/>
        </w:rPr>
      </w:pPr>
    </w:p>
    <w:p w14:paraId="366EB974" w14:textId="0618A708" w:rsidR="0014502B" w:rsidRPr="000C43C5" w:rsidRDefault="00A231A2" w:rsidP="00A231A2">
      <w:pPr>
        <w:pStyle w:val="ListParagraph"/>
        <w:numPr>
          <w:ilvl w:val="0"/>
          <w:numId w:val="21"/>
        </w:numPr>
        <w:ind w:left="1418" w:right="571" w:hanging="284"/>
        <w:rPr>
          <w:rFonts w:ascii="Arial" w:hAnsi="Arial" w:cs="Arial"/>
          <w:lang w:val="fr-CA"/>
        </w:rPr>
      </w:pPr>
      <w:r w:rsidRPr="000C43C5">
        <w:rPr>
          <w:rFonts w:ascii="Arial" w:hAnsi="Arial" w:cs="Arial"/>
          <w:lang w:val="fr-CA"/>
        </w:rPr>
        <w:t xml:space="preserve">Ordonner au juge de paix Welsh de présenter des excuses par écrit à </w:t>
      </w:r>
      <w:r w:rsidR="0014502B" w:rsidRPr="000C43C5">
        <w:rPr>
          <w:rFonts w:ascii="Arial" w:hAnsi="Arial" w:cs="Arial"/>
          <w:lang w:val="fr-CA"/>
        </w:rPr>
        <w:t>M.</w:t>
      </w:r>
      <w:r w:rsidRPr="000C43C5">
        <w:rPr>
          <w:rFonts w:ascii="Arial" w:hAnsi="Arial" w:cs="Arial"/>
          <w:lang w:val="fr-CA"/>
        </w:rPr>
        <w:t> </w:t>
      </w:r>
      <w:r w:rsidR="0014502B" w:rsidRPr="000C43C5">
        <w:rPr>
          <w:rFonts w:ascii="Arial" w:hAnsi="Arial" w:cs="Arial"/>
          <w:lang w:val="fr-CA"/>
        </w:rPr>
        <w:t xml:space="preserve">Ian Silverthorne; </w:t>
      </w:r>
      <w:r w:rsidRPr="000C43C5">
        <w:rPr>
          <w:rFonts w:ascii="Arial" w:hAnsi="Arial" w:cs="Arial"/>
          <w:lang w:val="fr-CA"/>
        </w:rPr>
        <w:t>la lettr</w:t>
      </w:r>
      <w:r w:rsidR="00D81C78" w:rsidRPr="000C43C5">
        <w:rPr>
          <w:rFonts w:ascii="Arial" w:hAnsi="Arial" w:cs="Arial"/>
          <w:lang w:val="fr-CA"/>
        </w:rPr>
        <w:t>e</w:t>
      </w:r>
      <w:r w:rsidRPr="000C43C5">
        <w:rPr>
          <w:rFonts w:ascii="Arial" w:hAnsi="Arial" w:cs="Arial"/>
          <w:lang w:val="fr-CA"/>
        </w:rPr>
        <w:t xml:space="preserve"> doit être délivrée par le biais du greffier du Conseil d’évaluation</w:t>
      </w:r>
      <w:r w:rsidR="006A0D26" w:rsidRPr="000C43C5">
        <w:rPr>
          <w:rFonts w:ascii="Arial" w:hAnsi="Arial" w:cs="Arial"/>
          <w:lang w:val="fr-CA"/>
        </w:rPr>
        <w:t>.</w:t>
      </w:r>
    </w:p>
    <w:p w14:paraId="2E467A49" w14:textId="77777777" w:rsidR="007D4726" w:rsidRPr="000C43C5" w:rsidRDefault="007D4726" w:rsidP="007D4726">
      <w:pPr>
        <w:pStyle w:val="ListParagraph"/>
        <w:ind w:left="1418" w:right="571"/>
        <w:rPr>
          <w:rFonts w:ascii="Arial" w:hAnsi="Arial" w:cs="Arial"/>
          <w:lang w:val="fr-CA"/>
        </w:rPr>
      </w:pPr>
    </w:p>
    <w:p w14:paraId="03D07672" w14:textId="549EACBF" w:rsidR="0014502B" w:rsidRPr="000C43C5" w:rsidRDefault="00444D65" w:rsidP="00F85DC0">
      <w:pPr>
        <w:pStyle w:val="ListParagraph"/>
        <w:widowControl w:val="0"/>
        <w:numPr>
          <w:ilvl w:val="0"/>
          <w:numId w:val="21"/>
        </w:numPr>
        <w:ind w:left="1418" w:right="571" w:hanging="284"/>
        <w:jc w:val="both"/>
        <w:rPr>
          <w:rFonts w:ascii="Arial" w:hAnsi="Arial" w:cs="Arial"/>
          <w:lang w:val="fr-CA"/>
        </w:rPr>
      </w:pPr>
      <w:r w:rsidRPr="000C43C5">
        <w:rPr>
          <w:rFonts w:ascii="Arial" w:hAnsi="Arial" w:cs="Arial"/>
          <w:lang w:val="fr-CA"/>
        </w:rPr>
        <w:t>Ordonner que le juge de paix suive un cours d’éducation judiciaire ou de formation additionnel selon ce que la juge en chef de la Cour de justice de l’Ontario ou la personne qu’elle aura désignée jugera approprié en vue de rétablir la confiance du public à l’égard du juge de paix W</w:t>
      </w:r>
      <w:r w:rsidR="0014502B" w:rsidRPr="000C43C5">
        <w:rPr>
          <w:rFonts w:ascii="Arial" w:hAnsi="Arial" w:cs="Arial"/>
          <w:lang w:val="fr-CA"/>
        </w:rPr>
        <w:t>elsh</w:t>
      </w:r>
      <w:r w:rsidR="000923E4" w:rsidRPr="000C43C5">
        <w:rPr>
          <w:rFonts w:ascii="Arial" w:hAnsi="Arial" w:cs="Arial"/>
          <w:lang w:val="fr-CA"/>
        </w:rPr>
        <w:t xml:space="preserve"> </w:t>
      </w:r>
      <w:r w:rsidRPr="000C43C5">
        <w:rPr>
          <w:rFonts w:ascii="Arial" w:hAnsi="Arial" w:cs="Arial"/>
          <w:lang w:val="fr-CA"/>
        </w:rPr>
        <w:t xml:space="preserve">et </w:t>
      </w:r>
      <w:r w:rsidR="002D1A17">
        <w:rPr>
          <w:rFonts w:ascii="Arial" w:hAnsi="Arial" w:cs="Arial"/>
          <w:lang w:val="fr-CA"/>
        </w:rPr>
        <w:t xml:space="preserve">de </w:t>
      </w:r>
      <w:r w:rsidRPr="000C43C5">
        <w:rPr>
          <w:rFonts w:ascii="Arial" w:hAnsi="Arial" w:cs="Arial"/>
          <w:lang w:val="fr-CA"/>
        </w:rPr>
        <w:t>la magistrature</w:t>
      </w:r>
      <w:r w:rsidR="0014502B" w:rsidRPr="000C43C5">
        <w:rPr>
          <w:rFonts w:ascii="Arial" w:hAnsi="Arial" w:cs="Arial"/>
          <w:lang w:val="fr-CA"/>
        </w:rPr>
        <w:t xml:space="preserve">. </w:t>
      </w:r>
      <w:r w:rsidR="00D8689E" w:rsidRPr="000C43C5">
        <w:rPr>
          <w:rFonts w:ascii="Arial" w:hAnsi="Arial" w:cs="Arial"/>
          <w:lang w:val="fr-CA"/>
        </w:rPr>
        <w:t>Il doit suivre un</w:t>
      </w:r>
      <w:r w:rsidR="00D81C78" w:rsidRPr="000C43C5">
        <w:rPr>
          <w:rFonts w:ascii="Arial" w:hAnsi="Arial" w:cs="Arial"/>
          <w:lang w:val="fr-CA"/>
        </w:rPr>
        <w:t xml:space="preserve"> cours d’éducation ou une formation qui renforce l’importance de </w:t>
      </w:r>
      <w:r w:rsidR="002D1A17">
        <w:rPr>
          <w:rFonts w:ascii="Arial" w:hAnsi="Arial" w:cs="Arial"/>
          <w:lang w:val="fr-CA"/>
        </w:rPr>
        <w:t xml:space="preserve">la </w:t>
      </w:r>
      <w:r w:rsidR="00D81C78" w:rsidRPr="000C43C5">
        <w:rPr>
          <w:rFonts w:ascii="Arial" w:hAnsi="Arial" w:cs="Arial"/>
          <w:lang w:val="fr-CA"/>
        </w:rPr>
        <w:t>retenue et des limites dans les relations judiciaires</w:t>
      </w:r>
      <w:r w:rsidR="0014502B" w:rsidRPr="000C43C5">
        <w:rPr>
          <w:rFonts w:ascii="Arial" w:hAnsi="Arial" w:cs="Arial"/>
          <w:lang w:val="fr-CA"/>
        </w:rPr>
        <w:t xml:space="preserve">, </w:t>
      </w:r>
      <w:r w:rsidR="00D81C78" w:rsidRPr="000C43C5">
        <w:rPr>
          <w:rFonts w:ascii="Arial" w:hAnsi="Arial" w:cs="Arial"/>
          <w:lang w:val="fr-CA"/>
        </w:rPr>
        <w:t>la gestion formelle des procédures judiciaires et la communication avec des partenaires du système de justice comme condition du maintien de ses fonctions de justice de paix</w:t>
      </w:r>
      <w:r w:rsidR="000923E4" w:rsidRPr="000C43C5">
        <w:rPr>
          <w:rFonts w:ascii="Arial" w:hAnsi="Arial" w:cs="Arial"/>
          <w:lang w:val="fr-CA"/>
        </w:rPr>
        <w:t>.</w:t>
      </w:r>
    </w:p>
    <w:p w14:paraId="74F9F1DB" w14:textId="77777777" w:rsidR="00F625F3" w:rsidRPr="000C43C5" w:rsidRDefault="00F625F3" w:rsidP="00F625F3">
      <w:pPr>
        <w:pStyle w:val="ListParagraph"/>
        <w:rPr>
          <w:rFonts w:ascii="Arial" w:hAnsi="Arial" w:cs="Arial"/>
          <w:lang w:val="fr-CA"/>
        </w:rPr>
      </w:pPr>
    </w:p>
    <w:p w14:paraId="6FA70917" w14:textId="0DBE4071" w:rsidR="00BB7A4A" w:rsidRPr="000C43C5" w:rsidRDefault="005236B6" w:rsidP="00F625F3">
      <w:pPr>
        <w:pStyle w:val="ListParagraph"/>
        <w:numPr>
          <w:ilvl w:val="0"/>
          <w:numId w:val="21"/>
        </w:numPr>
        <w:ind w:left="1418" w:right="571" w:hanging="284"/>
        <w:jc w:val="both"/>
        <w:rPr>
          <w:rFonts w:ascii="Arial" w:hAnsi="Arial" w:cs="Arial"/>
          <w:lang w:val="fr-CA"/>
        </w:rPr>
      </w:pPr>
      <w:r w:rsidRPr="000C43C5">
        <w:rPr>
          <w:rFonts w:ascii="Arial" w:hAnsi="Arial" w:cs="Arial"/>
          <w:lang w:val="fr-CA"/>
        </w:rPr>
        <w:t>Suspendre le juge de paix sans rémunération, mais avec avantages sociaux, pendant dix jours juridiques</w:t>
      </w:r>
      <w:r w:rsidR="00BB7A4A" w:rsidRPr="000C43C5">
        <w:rPr>
          <w:rFonts w:ascii="Arial" w:hAnsi="Arial" w:cs="Arial"/>
          <w:lang w:val="fr-CA"/>
        </w:rPr>
        <w:t xml:space="preserve">. </w:t>
      </w:r>
      <w:r w:rsidRPr="000C43C5">
        <w:rPr>
          <w:rFonts w:ascii="Arial" w:hAnsi="Arial" w:cs="Arial"/>
          <w:lang w:val="fr-CA"/>
        </w:rPr>
        <w:t>Cette mesure est nécessaire pour refléter</w:t>
      </w:r>
      <w:r w:rsidR="002D1A17">
        <w:rPr>
          <w:rFonts w:ascii="Arial" w:hAnsi="Arial" w:cs="Arial"/>
          <w:lang w:val="fr-CA"/>
        </w:rPr>
        <w:t xml:space="preserve"> </w:t>
      </w:r>
      <w:r w:rsidRPr="000C43C5">
        <w:rPr>
          <w:rFonts w:ascii="Arial" w:hAnsi="Arial" w:cs="Arial"/>
          <w:lang w:val="fr-CA"/>
        </w:rPr>
        <w:t>le tort causé à un membre du public ainsi qu’à la confiance du public dans la magistrature et l’administration de la justice</w:t>
      </w:r>
      <w:r w:rsidR="00BB7A4A" w:rsidRPr="000C43C5">
        <w:rPr>
          <w:rFonts w:ascii="Arial" w:hAnsi="Arial" w:cs="Arial"/>
          <w:lang w:val="fr-CA"/>
        </w:rPr>
        <w:t>.</w:t>
      </w:r>
    </w:p>
    <w:p w14:paraId="29E69D69" w14:textId="77777777" w:rsidR="00BD42CD" w:rsidRPr="000C43C5" w:rsidRDefault="00BD42CD" w:rsidP="00E86D29">
      <w:pPr>
        <w:rPr>
          <w:rFonts w:ascii="Arial" w:hAnsi="Arial" w:cs="Arial"/>
          <w:lang w:val="fr-CA"/>
        </w:rPr>
      </w:pPr>
    </w:p>
    <w:p w14:paraId="4FA134BB" w14:textId="77777777" w:rsidR="00F625F3" w:rsidRPr="000C43C5" w:rsidRDefault="00F625F3" w:rsidP="00E86D29">
      <w:pPr>
        <w:rPr>
          <w:rFonts w:ascii="Arial Bold" w:hAnsi="Arial Bold" w:cs="Arial"/>
          <w:b/>
          <w:caps/>
          <w:lang w:val="fr-CA"/>
        </w:rPr>
      </w:pPr>
    </w:p>
    <w:p w14:paraId="7C0B5874" w14:textId="07F184CA" w:rsidR="00E86D29" w:rsidRPr="000C43C5" w:rsidRDefault="000C43C5" w:rsidP="00E86D29">
      <w:pPr>
        <w:rPr>
          <w:rFonts w:ascii="Arial Bold" w:hAnsi="Arial Bold" w:cs="Arial"/>
          <w:b/>
          <w:caps/>
          <w:lang w:val="fr-CA"/>
        </w:rPr>
      </w:pPr>
      <w:r w:rsidRPr="000C43C5">
        <w:rPr>
          <w:rFonts w:ascii="Arial Bold" w:hAnsi="Arial Bold" w:cs="Arial"/>
          <w:b/>
          <w:caps/>
          <w:lang w:val="fr-CA"/>
        </w:rPr>
        <w:t xml:space="preserve">DEMANDE D’INDEMNISATION DES FRAIS POUR </w:t>
      </w:r>
      <w:r w:rsidR="002D1A17">
        <w:rPr>
          <w:rFonts w:ascii="Arial Bold" w:hAnsi="Arial Bold" w:cs="Arial"/>
          <w:b/>
          <w:caps/>
          <w:lang w:val="fr-CA"/>
        </w:rPr>
        <w:t>SERVICES</w:t>
      </w:r>
      <w:r w:rsidRPr="000C43C5">
        <w:rPr>
          <w:rFonts w:ascii="Arial Bold" w:hAnsi="Arial Bold" w:cs="Arial"/>
          <w:b/>
          <w:caps/>
          <w:lang w:val="fr-CA"/>
        </w:rPr>
        <w:t xml:space="preserve"> JURIDIQUES </w:t>
      </w:r>
    </w:p>
    <w:p w14:paraId="4841297A" w14:textId="77777777" w:rsidR="00E86D29" w:rsidRPr="000C43C5" w:rsidRDefault="00E86D29" w:rsidP="00E86D29">
      <w:pPr>
        <w:rPr>
          <w:rFonts w:ascii="Arial" w:hAnsi="Arial" w:cs="Arial"/>
          <w:b/>
          <w:lang w:val="fr-CA"/>
        </w:rPr>
      </w:pPr>
    </w:p>
    <w:p w14:paraId="66F46186" w14:textId="4C148FC8" w:rsidR="006334F8" w:rsidRPr="000C43C5" w:rsidRDefault="000C43C5" w:rsidP="000C43C5">
      <w:pPr>
        <w:pStyle w:val="AParaNumbering"/>
        <w:rPr>
          <w:lang w:val="fr-CA"/>
        </w:rPr>
      </w:pPr>
      <w:r w:rsidRPr="000C43C5">
        <w:rPr>
          <w:lang w:val="fr-CA"/>
        </w:rPr>
        <w:t xml:space="preserve">Le juge de paix </w:t>
      </w:r>
      <w:r w:rsidR="00FB4F17" w:rsidRPr="000C43C5">
        <w:rPr>
          <w:lang w:val="fr-CA"/>
        </w:rPr>
        <w:t>Welsh</w:t>
      </w:r>
      <w:r w:rsidR="00E86D29" w:rsidRPr="000C43C5">
        <w:rPr>
          <w:lang w:val="fr-CA"/>
        </w:rPr>
        <w:t xml:space="preserve"> </w:t>
      </w:r>
      <w:r w:rsidRPr="000C43C5">
        <w:rPr>
          <w:lang w:val="fr-CA"/>
        </w:rPr>
        <w:t xml:space="preserve">a demandé, aux termes du par. </w:t>
      </w:r>
      <w:r w:rsidR="00AF2F19" w:rsidRPr="000C43C5">
        <w:rPr>
          <w:lang w:val="fr-CA"/>
        </w:rPr>
        <w:t>11.</w:t>
      </w:r>
      <w:r w:rsidR="00606952" w:rsidRPr="000C43C5">
        <w:rPr>
          <w:lang w:val="fr-CA"/>
        </w:rPr>
        <w:t>1</w:t>
      </w:r>
      <w:r w:rsidRPr="000C43C5">
        <w:rPr>
          <w:lang w:val="fr-CA"/>
        </w:rPr>
        <w:t> </w:t>
      </w:r>
      <w:r w:rsidR="00606952" w:rsidRPr="000C43C5">
        <w:rPr>
          <w:lang w:val="fr-CA"/>
        </w:rPr>
        <w:t>(</w:t>
      </w:r>
      <w:r w:rsidR="00AF2F19" w:rsidRPr="000C43C5">
        <w:rPr>
          <w:lang w:val="fr-CA"/>
        </w:rPr>
        <w:t xml:space="preserve">17) </w:t>
      </w:r>
      <w:r w:rsidRPr="000C43C5">
        <w:rPr>
          <w:lang w:val="fr-CA"/>
        </w:rPr>
        <w:t xml:space="preserve">de la Loi, que notre comité d’audition recommande qu’il soit indemnisé à hauteur de 39 338,36 $, </w:t>
      </w:r>
      <w:r w:rsidR="002D1A17">
        <w:rPr>
          <w:lang w:val="fr-CA"/>
        </w:rPr>
        <w:t>ce qui comprend</w:t>
      </w:r>
      <w:r w:rsidRPr="000C43C5">
        <w:rPr>
          <w:lang w:val="fr-CA"/>
        </w:rPr>
        <w:t xml:space="preserve"> 33 663 $ au titre des frais juridiques, la TVH et les débours, </w:t>
      </w:r>
      <w:r w:rsidR="002D1A17">
        <w:rPr>
          <w:lang w:val="fr-CA"/>
        </w:rPr>
        <w:t>pour l</w:t>
      </w:r>
      <w:r w:rsidRPr="000C43C5">
        <w:rPr>
          <w:lang w:val="fr-CA"/>
        </w:rPr>
        <w:t>es frais pour services juridiques qu’il a engagés relativement à l’audience</w:t>
      </w:r>
      <w:r w:rsidR="00AF2F19" w:rsidRPr="000C43C5">
        <w:rPr>
          <w:lang w:val="fr-CA"/>
        </w:rPr>
        <w:t xml:space="preserve">. </w:t>
      </w:r>
      <w:r w:rsidRPr="000C43C5">
        <w:rPr>
          <w:lang w:val="fr-CA"/>
        </w:rPr>
        <w:t>L’avocat du juge de paix et l’avocate chargée de la présentation ont déposé des observations au sujet de cette demande</w:t>
      </w:r>
      <w:r w:rsidR="00E86D29" w:rsidRPr="000C43C5">
        <w:rPr>
          <w:lang w:val="fr-CA"/>
        </w:rPr>
        <w:t>.</w:t>
      </w:r>
      <w:r w:rsidRPr="000C43C5">
        <w:rPr>
          <w:lang w:val="fr-CA"/>
        </w:rPr>
        <w:t xml:space="preserve"> L’avocate chargée de la présentation</w:t>
      </w:r>
      <w:r w:rsidR="006334F8" w:rsidRPr="000C43C5">
        <w:rPr>
          <w:lang w:val="fr-CA"/>
        </w:rPr>
        <w:t xml:space="preserve"> </w:t>
      </w:r>
      <w:r>
        <w:rPr>
          <w:lang w:val="fr-CA"/>
        </w:rPr>
        <w:t>a fait valoir qu’une indemnisation partielle était appropriée</w:t>
      </w:r>
      <w:r w:rsidR="007079C2" w:rsidRPr="000C43C5">
        <w:rPr>
          <w:lang w:val="fr-CA"/>
        </w:rPr>
        <w:t xml:space="preserve">. </w:t>
      </w:r>
    </w:p>
    <w:p w14:paraId="3BC24A1C" w14:textId="3C343B45" w:rsidR="00533B76" w:rsidRPr="000C43C5" w:rsidRDefault="00DA32F6" w:rsidP="00F24080">
      <w:pPr>
        <w:pStyle w:val="AParaNumbering"/>
        <w:rPr>
          <w:lang w:val="fr-CA"/>
        </w:rPr>
      </w:pPr>
      <w:r>
        <w:rPr>
          <w:lang w:val="fr-CA"/>
        </w:rPr>
        <w:t xml:space="preserve">Aux fins de l’examen de cette demande, le comité d’audition tient compte des décisions récentes rendues dans l’affaire </w:t>
      </w:r>
      <w:r w:rsidR="00533B76" w:rsidRPr="000C43C5">
        <w:rPr>
          <w:i/>
          <w:lang w:val="fr-CA"/>
        </w:rPr>
        <w:t xml:space="preserve">Massiah </w:t>
      </w:r>
      <w:r>
        <w:rPr>
          <w:i/>
          <w:lang w:val="fr-CA"/>
        </w:rPr>
        <w:t>c</w:t>
      </w:r>
      <w:r w:rsidR="00533B76" w:rsidRPr="000C43C5">
        <w:rPr>
          <w:i/>
          <w:lang w:val="fr-CA"/>
        </w:rPr>
        <w:t xml:space="preserve">. Justices of the Peace Review </w:t>
      </w:r>
      <w:r w:rsidR="00533B76" w:rsidRPr="000C43C5">
        <w:rPr>
          <w:i/>
          <w:lang w:val="fr-CA"/>
        </w:rPr>
        <w:lastRenderedPageBreak/>
        <w:t>Council</w:t>
      </w:r>
      <w:r w:rsidR="00533B76" w:rsidRPr="000C43C5">
        <w:rPr>
          <w:lang w:val="fr-CA"/>
        </w:rPr>
        <w:t>, 2016 ONSC 6191 (</w:t>
      </w:r>
      <w:r>
        <w:rPr>
          <w:lang w:val="fr-CA"/>
        </w:rPr>
        <w:t>Cour divisionnaire</w:t>
      </w:r>
      <w:r w:rsidR="00533B76" w:rsidRPr="000C43C5">
        <w:rPr>
          <w:lang w:val="fr-CA"/>
        </w:rPr>
        <w:t xml:space="preserve">) </w:t>
      </w:r>
      <w:r>
        <w:rPr>
          <w:lang w:val="fr-CA"/>
        </w:rPr>
        <w:t>et dans l’affaire</w:t>
      </w:r>
      <w:r w:rsidR="00533B76" w:rsidRPr="000C43C5">
        <w:rPr>
          <w:lang w:val="fr-CA"/>
        </w:rPr>
        <w:t xml:space="preserve"> </w:t>
      </w:r>
      <w:r w:rsidR="006429D1" w:rsidRPr="000C43C5">
        <w:rPr>
          <w:i/>
          <w:lang w:val="fr-CA"/>
        </w:rPr>
        <w:t xml:space="preserve">Re </w:t>
      </w:r>
      <w:r w:rsidR="00533B76" w:rsidRPr="000C43C5">
        <w:rPr>
          <w:i/>
          <w:lang w:val="fr-CA"/>
        </w:rPr>
        <w:t xml:space="preserve">Keast, </w:t>
      </w:r>
      <w:r w:rsidR="00F24080" w:rsidRPr="00F24080">
        <w:rPr>
          <w:lang w:val="fr-CA"/>
        </w:rPr>
        <w:t>Conseil de la magistrature de l'Ontario</w:t>
      </w:r>
      <w:r w:rsidR="00533B76" w:rsidRPr="000C43C5">
        <w:rPr>
          <w:lang w:val="fr-CA"/>
        </w:rPr>
        <w:t xml:space="preserve">, </w:t>
      </w:r>
      <w:r w:rsidR="00691218">
        <w:rPr>
          <w:lang w:val="fr-CA"/>
        </w:rPr>
        <w:t xml:space="preserve">6 février </w:t>
      </w:r>
      <w:r w:rsidR="00533B76" w:rsidRPr="000C43C5">
        <w:rPr>
          <w:lang w:val="fr-CA"/>
        </w:rPr>
        <w:t>2018.</w:t>
      </w:r>
    </w:p>
    <w:p w14:paraId="0BEBCD0C" w14:textId="365914F7" w:rsidR="003C1206" w:rsidRPr="000C43C5" w:rsidRDefault="00691218" w:rsidP="00C669F7">
      <w:pPr>
        <w:pStyle w:val="AParaNumbering"/>
        <w:spacing w:before="0" w:after="0"/>
        <w:rPr>
          <w:lang w:val="fr-CA"/>
        </w:rPr>
      </w:pPr>
      <w:r>
        <w:rPr>
          <w:lang w:val="fr-CA"/>
        </w:rPr>
        <w:t xml:space="preserve">Comme il est expliqué dans la décision </w:t>
      </w:r>
      <w:r w:rsidR="00533B76" w:rsidRPr="000C43C5">
        <w:rPr>
          <w:i/>
          <w:lang w:val="fr-CA"/>
        </w:rPr>
        <w:t>Massiah</w:t>
      </w:r>
      <w:r w:rsidR="00533B76" w:rsidRPr="000C43C5">
        <w:rPr>
          <w:lang w:val="fr-CA"/>
        </w:rPr>
        <w:t xml:space="preserve"> (</w:t>
      </w:r>
      <w:r>
        <w:rPr>
          <w:lang w:val="fr-CA"/>
        </w:rPr>
        <w:t>aux paragraphes</w:t>
      </w:r>
      <w:r w:rsidR="00533B76" w:rsidRPr="000C43C5">
        <w:rPr>
          <w:lang w:val="fr-CA"/>
        </w:rPr>
        <w:t xml:space="preserve"> 48-56)</w:t>
      </w:r>
      <w:r>
        <w:rPr>
          <w:lang w:val="fr-CA"/>
        </w:rPr>
        <w:t xml:space="preserve">, il n’existe pas de présomption, après une conclusion d’inconduite judiciaire, qu’une indemnisation ne sera pas accordée. Au </w:t>
      </w:r>
      <w:r w:rsidR="00533B76" w:rsidRPr="000C43C5">
        <w:rPr>
          <w:lang w:val="fr-CA"/>
        </w:rPr>
        <w:t>paragraph</w:t>
      </w:r>
      <w:r>
        <w:rPr>
          <w:lang w:val="fr-CA"/>
        </w:rPr>
        <w:t>e</w:t>
      </w:r>
      <w:r w:rsidR="00533B76" w:rsidRPr="000C43C5">
        <w:rPr>
          <w:lang w:val="fr-CA"/>
        </w:rPr>
        <w:t xml:space="preserve"> 56</w:t>
      </w:r>
      <w:r w:rsidR="003C1206" w:rsidRPr="000C43C5">
        <w:rPr>
          <w:lang w:val="fr-CA"/>
        </w:rPr>
        <w:t xml:space="preserve">, </w:t>
      </w:r>
      <w:r>
        <w:rPr>
          <w:lang w:val="fr-CA"/>
        </w:rPr>
        <w:t xml:space="preserve">la Cour a déclaré </w:t>
      </w:r>
      <w:r w:rsidR="003C1206" w:rsidRPr="000C43C5">
        <w:rPr>
          <w:lang w:val="fr-CA"/>
        </w:rPr>
        <w:t>:</w:t>
      </w:r>
    </w:p>
    <w:p w14:paraId="5B01E46B" w14:textId="4BDCD84D" w:rsidR="00533B76" w:rsidRPr="000C43C5" w:rsidRDefault="00931AE0" w:rsidP="003C1206">
      <w:pPr>
        <w:pStyle w:val="AParaNumbering"/>
        <w:numPr>
          <w:ilvl w:val="0"/>
          <w:numId w:val="0"/>
        </w:numPr>
        <w:spacing w:before="0" w:after="0" w:line="240" w:lineRule="auto"/>
        <w:ind w:left="1134" w:right="571"/>
        <w:rPr>
          <w:lang w:val="fr-CA"/>
        </w:rPr>
      </w:pPr>
      <w:r>
        <w:rPr>
          <w:lang w:val="fr-CA"/>
        </w:rPr>
        <w:t xml:space="preserve">« Pour ces raisons, </w:t>
      </w:r>
      <w:r w:rsidR="00170A91" w:rsidRPr="000C43C5">
        <w:rPr>
          <w:lang w:val="fr-CA"/>
        </w:rPr>
        <w:t>des organismes décisionnels qui traitent de plaintes contre des officiers de justice doivent partir du principe qu’il est toujours dans l’intérêt de l’administration de la justice de veiller à ce que les personnes qui font l’objet de ces plaintes aient un avocat.</w:t>
      </w:r>
      <w:r w:rsidR="00533B76" w:rsidRPr="000C43C5">
        <w:rPr>
          <w:lang w:val="fr-CA"/>
        </w:rPr>
        <w:t xml:space="preserve"> </w:t>
      </w:r>
      <w:r>
        <w:rPr>
          <w:lang w:val="fr-CA"/>
        </w:rPr>
        <w:t>Par conséquent, le coût de la conduite d’une procédure équitable et complète doit normalement être payé par les deniers public</w:t>
      </w:r>
      <w:r w:rsidR="00533B76" w:rsidRPr="000C43C5">
        <w:rPr>
          <w:lang w:val="fr-CA"/>
        </w:rPr>
        <w:t xml:space="preserve">, </w:t>
      </w:r>
      <w:r>
        <w:rPr>
          <w:lang w:val="fr-CA"/>
        </w:rPr>
        <w:t>car c’est surtout l’intérêt du public qui est protégé et invoqué tout au long du processus de plainte</w:t>
      </w:r>
      <w:r w:rsidR="00533B76" w:rsidRPr="000C43C5">
        <w:rPr>
          <w:lang w:val="fr-CA"/>
        </w:rPr>
        <w:t>.</w:t>
      </w:r>
      <w:r>
        <w:rPr>
          <w:lang w:val="fr-CA"/>
        </w:rPr>
        <w:t xml:space="preserve"> »</w:t>
      </w:r>
      <w:r w:rsidR="00170A91" w:rsidRPr="000C43C5">
        <w:rPr>
          <w:lang w:val="fr-CA"/>
        </w:rPr>
        <w:t xml:space="preserve"> [traduction]</w:t>
      </w:r>
    </w:p>
    <w:p w14:paraId="37C5095A" w14:textId="77777777" w:rsidR="003C1206" w:rsidRPr="000C43C5" w:rsidRDefault="003C1206" w:rsidP="003C1206">
      <w:pPr>
        <w:pStyle w:val="AParaNumbering"/>
        <w:numPr>
          <w:ilvl w:val="0"/>
          <w:numId w:val="0"/>
        </w:numPr>
        <w:spacing w:before="0" w:after="0" w:line="240" w:lineRule="auto"/>
        <w:rPr>
          <w:lang w:val="fr-CA"/>
        </w:rPr>
      </w:pPr>
    </w:p>
    <w:p w14:paraId="7B16AEDF" w14:textId="2E743DD9" w:rsidR="00F625F3" w:rsidRPr="000C43C5" w:rsidRDefault="00931AE0" w:rsidP="00C669F7">
      <w:pPr>
        <w:pStyle w:val="AParaNumbering"/>
        <w:spacing w:before="0" w:after="120"/>
        <w:rPr>
          <w:lang w:val="fr-CA"/>
        </w:rPr>
      </w:pPr>
      <w:r>
        <w:rPr>
          <w:lang w:val="fr-CA"/>
        </w:rPr>
        <w:t xml:space="preserve">Au </w:t>
      </w:r>
      <w:r w:rsidR="00F625F3" w:rsidRPr="000C43C5">
        <w:rPr>
          <w:lang w:val="fr-CA"/>
        </w:rPr>
        <w:t>paragraph</w:t>
      </w:r>
      <w:r>
        <w:rPr>
          <w:lang w:val="fr-CA"/>
        </w:rPr>
        <w:t>e</w:t>
      </w:r>
      <w:r w:rsidR="00F625F3" w:rsidRPr="000C43C5">
        <w:rPr>
          <w:lang w:val="fr-CA"/>
        </w:rPr>
        <w:t xml:space="preserve"> 57</w:t>
      </w:r>
      <w:r w:rsidR="003C1206" w:rsidRPr="000C43C5">
        <w:rPr>
          <w:lang w:val="fr-CA"/>
        </w:rPr>
        <w:t xml:space="preserve">, </w:t>
      </w:r>
      <w:r>
        <w:rPr>
          <w:lang w:val="fr-CA"/>
        </w:rPr>
        <w:t xml:space="preserve">la Cour poursuit </w:t>
      </w:r>
      <w:r w:rsidR="00F625F3" w:rsidRPr="000C43C5">
        <w:rPr>
          <w:lang w:val="fr-CA"/>
        </w:rPr>
        <w:t>:</w:t>
      </w:r>
    </w:p>
    <w:p w14:paraId="6B3A45A3" w14:textId="62DD1D85" w:rsidR="003C1206" w:rsidRPr="000C43C5" w:rsidRDefault="00931AE0" w:rsidP="003C1206">
      <w:pPr>
        <w:pStyle w:val="AParaNumbering"/>
        <w:numPr>
          <w:ilvl w:val="0"/>
          <w:numId w:val="0"/>
        </w:numPr>
        <w:spacing w:before="0" w:after="0" w:line="240" w:lineRule="auto"/>
        <w:ind w:left="1134" w:right="571"/>
        <w:rPr>
          <w:lang w:val="fr-CA"/>
        </w:rPr>
      </w:pPr>
      <w:r>
        <w:rPr>
          <w:lang w:val="fr-CA"/>
        </w:rPr>
        <w:t xml:space="preserve">« C’est une décision qui doit être prise au cas par cas, après avoir pris en considération les circonstances particulières du cas dans le contexte de l’objectif du processus. </w:t>
      </w:r>
      <w:r w:rsidR="00474487">
        <w:rPr>
          <w:lang w:val="fr-CA"/>
        </w:rPr>
        <w:t>Pa</w:t>
      </w:r>
      <w:r w:rsidR="002D1A17">
        <w:rPr>
          <w:lang w:val="fr-CA"/>
        </w:rPr>
        <w:t>r</w:t>
      </w:r>
      <w:r w:rsidR="00474487">
        <w:rPr>
          <w:lang w:val="fr-CA"/>
        </w:rPr>
        <w:t>mi ces circonstances, deux sont primordiales : la nature de l’inconduite et son rapport à la charge judiciaire</w:t>
      </w:r>
      <w:r w:rsidR="00727914" w:rsidRPr="000C43C5">
        <w:rPr>
          <w:lang w:val="fr-CA"/>
        </w:rPr>
        <w:t xml:space="preserve">. </w:t>
      </w:r>
      <w:r w:rsidR="00474487">
        <w:rPr>
          <w:lang w:val="fr-CA"/>
        </w:rPr>
        <w:t xml:space="preserve">Par exemple, une inconduite directement liée à la charge judiciaire justifierait davantage une indemnisation qu’une conduite moins liée à la charge judiciaire. En revanche, une conduite que n’importe qui aurait dû considérer comme inappropriée justifiera moins une décision d’indemnisation qu’une conduite qui ne serait jugée inappropriée que par la décision rendue dans le cadre de la procédure sur ce cas. En outre, </w:t>
      </w:r>
      <w:r w:rsidR="00F24080">
        <w:rPr>
          <w:lang w:val="fr-CA"/>
        </w:rPr>
        <w:t xml:space="preserve">il est moins approprié de faire une recommandation d’indemnisation en cas de multiples incidents d’inconduite, qu’en cas d’un </w:t>
      </w:r>
      <w:r w:rsidR="001A315D">
        <w:rPr>
          <w:lang w:val="fr-CA"/>
        </w:rPr>
        <w:t xml:space="preserve">seul </w:t>
      </w:r>
      <w:r w:rsidR="00F24080">
        <w:rPr>
          <w:lang w:val="fr-CA"/>
        </w:rPr>
        <w:t>incident d’inconduite</w:t>
      </w:r>
      <w:r w:rsidR="002131EB" w:rsidRPr="000C43C5">
        <w:rPr>
          <w:lang w:val="fr-CA"/>
        </w:rPr>
        <w:t xml:space="preserve">. </w:t>
      </w:r>
      <w:r w:rsidR="00F24080">
        <w:rPr>
          <w:lang w:val="fr-CA"/>
        </w:rPr>
        <w:t>De même, une inconduite qui se répète mérite moins une recommandation d’indemnisation qu’un incident isolé</w:t>
      </w:r>
      <w:r w:rsidR="00727914" w:rsidRPr="000C43C5">
        <w:rPr>
          <w:lang w:val="fr-CA"/>
        </w:rPr>
        <w:t>.</w:t>
      </w:r>
      <w:r>
        <w:rPr>
          <w:lang w:val="fr-CA"/>
        </w:rPr>
        <w:t xml:space="preserve"> »</w:t>
      </w:r>
      <w:r w:rsidR="00F24080">
        <w:rPr>
          <w:lang w:val="fr-CA"/>
        </w:rPr>
        <w:t xml:space="preserve"> </w:t>
      </w:r>
      <w:r w:rsidR="00F24080" w:rsidRPr="000C43C5">
        <w:rPr>
          <w:lang w:val="fr-CA"/>
        </w:rPr>
        <w:t>[traduction]</w:t>
      </w:r>
    </w:p>
    <w:p w14:paraId="7809D757" w14:textId="77777777" w:rsidR="00C669F7" w:rsidRPr="000C43C5" w:rsidRDefault="00C669F7" w:rsidP="00C669F7">
      <w:pPr>
        <w:pStyle w:val="AParaNumbering"/>
        <w:numPr>
          <w:ilvl w:val="0"/>
          <w:numId w:val="0"/>
        </w:numPr>
        <w:spacing w:before="0" w:after="0" w:line="240" w:lineRule="auto"/>
        <w:rPr>
          <w:lang w:val="fr-CA"/>
        </w:rPr>
      </w:pPr>
    </w:p>
    <w:p w14:paraId="0565FB92" w14:textId="6F335AA3" w:rsidR="00F625F3" w:rsidRPr="000C43C5" w:rsidRDefault="00F24080" w:rsidP="003C1206">
      <w:pPr>
        <w:pStyle w:val="AParaNumbering"/>
        <w:spacing w:before="0" w:after="0" w:line="240" w:lineRule="auto"/>
        <w:rPr>
          <w:lang w:val="fr-CA"/>
        </w:rPr>
      </w:pPr>
      <w:r>
        <w:rPr>
          <w:lang w:val="fr-CA"/>
        </w:rPr>
        <w:t>Au paragraphe</w:t>
      </w:r>
      <w:r w:rsidR="00727914" w:rsidRPr="000C43C5">
        <w:rPr>
          <w:lang w:val="fr-CA"/>
        </w:rPr>
        <w:t xml:space="preserve"> 60</w:t>
      </w:r>
      <w:r w:rsidR="007079C2" w:rsidRPr="000C43C5">
        <w:rPr>
          <w:lang w:val="fr-CA"/>
        </w:rPr>
        <w:t xml:space="preserve">, </w:t>
      </w:r>
      <w:r>
        <w:rPr>
          <w:lang w:val="fr-CA"/>
        </w:rPr>
        <w:t xml:space="preserve">la Cour précise </w:t>
      </w:r>
      <w:r w:rsidR="00F625F3" w:rsidRPr="000C43C5">
        <w:rPr>
          <w:lang w:val="fr-CA"/>
        </w:rPr>
        <w:t>:</w:t>
      </w:r>
      <w:r w:rsidR="00727914" w:rsidRPr="000C43C5">
        <w:rPr>
          <w:lang w:val="fr-CA"/>
        </w:rPr>
        <w:t xml:space="preserve"> </w:t>
      </w:r>
    </w:p>
    <w:p w14:paraId="229EC095" w14:textId="77777777" w:rsidR="003C1206" w:rsidRPr="000C43C5" w:rsidRDefault="003C1206" w:rsidP="003C1206">
      <w:pPr>
        <w:pStyle w:val="AParaNumbering"/>
        <w:numPr>
          <w:ilvl w:val="0"/>
          <w:numId w:val="0"/>
        </w:numPr>
        <w:spacing w:before="0" w:after="0" w:line="240" w:lineRule="auto"/>
        <w:rPr>
          <w:lang w:val="fr-CA"/>
        </w:rPr>
      </w:pPr>
    </w:p>
    <w:p w14:paraId="4290FB2F" w14:textId="596786E3" w:rsidR="00727914" w:rsidRPr="000C43C5" w:rsidRDefault="00F24080" w:rsidP="006A0D26">
      <w:pPr>
        <w:pStyle w:val="AParaNumbering"/>
        <w:numPr>
          <w:ilvl w:val="0"/>
          <w:numId w:val="0"/>
        </w:numPr>
        <w:spacing w:before="0" w:after="0" w:line="240" w:lineRule="auto"/>
        <w:ind w:left="1134" w:right="571"/>
        <w:rPr>
          <w:lang w:val="fr-CA"/>
        </w:rPr>
      </w:pPr>
      <w:r>
        <w:rPr>
          <w:lang w:val="fr-CA"/>
        </w:rPr>
        <w:t>« C’est au comité d’audition de décider s’il convient d’inclure dans sa recommandation d’indemnisation que l’indemnisation ne devrait pas couvrir les coûts liés à des mesures prises qui, de l’avis du comité d’audition, étaient superflu</w:t>
      </w:r>
      <w:r w:rsidR="001A315D">
        <w:rPr>
          <w:lang w:val="fr-CA"/>
        </w:rPr>
        <w:t>e</w:t>
      </w:r>
      <w:r>
        <w:rPr>
          <w:lang w:val="fr-CA"/>
        </w:rPr>
        <w:t xml:space="preserve">s et </w:t>
      </w:r>
      <w:r w:rsidR="00873CD6">
        <w:rPr>
          <w:lang w:val="fr-CA"/>
        </w:rPr>
        <w:t>non fondé</w:t>
      </w:r>
      <w:r w:rsidR="001A315D">
        <w:rPr>
          <w:lang w:val="fr-CA"/>
        </w:rPr>
        <w:t>e</w:t>
      </w:r>
      <w:r w:rsidR="00873CD6">
        <w:rPr>
          <w:lang w:val="fr-CA"/>
        </w:rPr>
        <w:t>s</w:t>
      </w:r>
      <w:r w:rsidR="00727914" w:rsidRPr="000C43C5">
        <w:rPr>
          <w:lang w:val="fr-CA"/>
        </w:rPr>
        <w:t>.</w:t>
      </w:r>
      <w:r w:rsidR="00873CD6">
        <w:rPr>
          <w:lang w:val="fr-CA"/>
        </w:rPr>
        <w:t> »</w:t>
      </w:r>
      <w:r>
        <w:rPr>
          <w:lang w:val="fr-CA"/>
        </w:rPr>
        <w:t xml:space="preserve"> </w:t>
      </w:r>
      <w:r w:rsidRPr="000C43C5">
        <w:rPr>
          <w:lang w:val="fr-CA"/>
        </w:rPr>
        <w:t>[traduction]</w:t>
      </w:r>
    </w:p>
    <w:p w14:paraId="07FFA046" w14:textId="77777777" w:rsidR="003C1206" w:rsidRPr="000C43C5" w:rsidRDefault="003C1206" w:rsidP="003C1206">
      <w:pPr>
        <w:pStyle w:val="AParaNumbering"/>
        <w:numPr>
          <w:ilvl w:val="0"/>
          <w:numId w:val="0"/>
        </w:numPr>
        <w:spacing w:before="0" w:after="0" w:line="240" w:lineRule="auto"/>
        <w:ind w:left="1134"/>
        <w:rPr>
          <w:lang w:val="fr-CA"/>
        </w:rPr>
      </w:pPr>
    </w:p>
    <w:p w14:paraId="0107C34E" w14:textId="7A373B11" w:rsidR="007079C2" w:rsidRPr="000C43C5" w:rsidRDefault="00CA6A26" w:rsidP="00BF514D">
      <w:pPr>
        <w:pStyle w:val="AParaNumbering"/>
        <w:rPr>
          <w:lang w:val="fr-CA"/>
        </w:rPr>
      </w:pPr>
      <w:r>
        <w:rPr>
          <w:lang w:val="fr-CA"/>
        </w:rPr>
        <w:lastRenderedPageBreak/>
        <w:t xml:space="preserve">En l’espèce, l’inconduite était liée à une fonction judiciaire fondamentale </w:t>
      </w:r>
      <w:r w:rsidR="00870504" w:rsidRPr="000C43C5">
        <w:rPr>
          <w:lang w:val="fr-CA"/>
        </w:rPr>
        <w:t>–</w:t>
      </w:r>
      <w:r w:rsidR="00D74E56" w:rsidRPr="000C43C5">
        <w:rPr>
          <w:lang w:val="fr-CA"/>
        </w:rPr>
        <w:t xml:space="preserve"> </w:t>
      </w:r>
      <w:r>
        <w:rPr>
          <w:lang w:val="fr-CA"/>
        </w:rPr>
        <w:t>le juge de paix présidait</w:t>
      </w:r>
      <w:r w:rsidR="00D74E56" w:rsidRPr="000C43C5">
        <w:rPr>
          <w:lang w:val="fr-CA"/>
        </w:rPr>
        <w:t xml:space="preserve">.  </w:t>
      </w:r>
    </w:p>
    <w:p w14:paraId="50CB691C" w14:textId="098BA68C" w:rsidR="006D094A" w:rsidRPr="000C43C5" w:rsidRDefault="008E4E9A" w:rsidP="00BF514D">
      <w:pPr>
        <w:pStyle w:val="AParaNumbering"/>
        <w:rPr>
          <w:lang w:val="fr-CA"/>
        </w:rPr>
      </w:pPr>
      <w:r>
        <w:rPr>
          <w:lang w:val="fr-CA"/>
        </w:rPr>
        <w:t>Comme analysé plus haut, le comportement visé constituait un incident unique d’inconduite, bien que dans un contexte de « pratiques habituelles </w:t>
      </w:r>
      <w:r w:rsidR="001A315D">
        <w:rPr>
          <w:lang w:val="fr-CA"/>
        </w:rPr>
        <w:t>», répétitives et inappropriées</w:t>
      </w:r>
      <w:r>
        <w:rPr>
          <w:lang w:val="fr-CA"/>
        </w:rPr>
        <w:t xml:space="preserve"> se rapportant à des dossiers de renvoi et à des communications hors du tribunal</w:t>
      </w:r>
      <w:r w:rsidR="002131EB" w:rsidRPr="000C43C5">
        <w:rPr>
          <w:lang w:val="fr-CA"/>
        </w:rPr>
        <w:t>.</w:t>
      </w:r>
    </w:p>
    <w:p w14:paraId="3D4729EF" w14:textId="748C23AD" w:rsidR="00145C49" w:rsidRPr="000C43C5" w:rsidRDefault="008E4E9A" w:rsidP="00BF514D">
      <w:pPr>
        <w:pStyle w:val="AParaNumbering"/>
        <w:rPr>
          <w:lang w:val="fr-CA"/>
        </w:rPr>
      </w:pPr>
      <w:r>
        <w:rPr>
          <w:lang w:val="fr-CA"/>
        </w:rPr>
        <w:t xml:space="preserve">L’inconduite </w:t>
      </w:r>
      <w:r w:rsidR="001A315D">
        <w:rPr>
          <w:lang w:val="fr-CA"/>
        </w:rPr>
        <w:t xml:space="preserve">en question constitue </w:t>
      </w:r>
      <w:r>
        <w:rPr>
          <w:lang w:val="fr-CA"/>
        </w:rPr>
        <w:t xml:space="preserve">un comportement que n’importe qui </w:t>
      </w:r>
      <w:r w:rsidR="001A315D">
        <w:rPr>
          <w:lang w:val="fr-CA"/>
        </w:rPr>
        <w:t xml:space="preserve">aurait pu jugé </w:t>
      </w:r>
      <w:r>
        <w:rPr>
          <w:lang w:val="fr-CA"/>
        </w:rPr>
        <w:t>inapproprié. N’importe qui s’attend à ce qu’un juge de paix suive les procédures en place dans le système de justice pénale pour protéger les droits d’une personne accusée</w:t>
      </w:r>
      <w:r w:rsidR="001A315D">
        <w:rPr>
          <w:lang w:val="fr-CA"/>
        </w:rPr>
        <w:t>,</w:t>
      </w:r>
      <w:r>
        <w:rPr>
          <w:lang w:val="fr-CA"/>
        </w:rPr>
        <w:t xml:space="preserve"> de sorte que </w:t>
      </w:r>
      <w:r w:rsidR="001A315D">
        <w:rPr>
          <w:lang w:val="fr-CA"/>
        </w:rPr>
        <w:t>le</w:t>
      </w:r>
      <w:r>
        <w:rPr>
          <w:lang w:val="fr-CA"/>
        </w:rPr>
        <w:t xml:space="preserve"> droit </w:t>
      </w:r>
      <w:r w:rsidR="001A315D">
        <w:rPr>
          <w:lang w:val="fr-CA"/>
        </w:rPr>
        <w:t xml:space="preserve">de cette dernière </w:t>
      </w:r>
      <w:r>
        <w:rPr>
          <w:lang w:val="fr-CA"/>
        </w:rPr>
        <w:t>à la liberté ne soit pas injustement compromis</w:t>
      </w:r>
      <w:r w:rsidR="00B37A39" w:rsidRPr="000C43C5">
        <w:rPr>
          <w:lang w:val="fr-CA"/>
        </w:rPr>
        <w:t xml:space="preserve">. </w:t>
      </w:r>
      <w:r w:rsidR="0007283D">
        <w:rPr>
          <w:lang w:val="fr-CA"/>
        </w:rPr>
        <w:t xml:space="preserve">Les conséquences de l’inconduite du juge de paix </w:t>
      </w:r>
      <w:r w:rsidR="002131EB" w:rsidRPr="000C43C5">
        <w:rPr>
          <w:lang w:val="fr-CA"/>
        </w:rPr>
        <w:t>Welsh</w:t>
      </w:r>
      <w:r w:rsidR="0007283D">
        <w:rPr>
          <w:lang w:val="fr-CA"/>
        </w:rPr>
        <w:t xml:space="preserve"> </w:t>
      </w:r>
      <w:r w:rsidR="001A315D">
        <w:rPr>
          <w:lang w:val="fr-CA"/>
        </w:rPr>
        <w:t>ont été</w:t>
      </w:r>
      <w:r w:rsidR="0007283D">
        <w:rPr>
          <w:lang w:val="fr-CA"/>
        </w:rPr>
        <w:t xml:space="preserve"> très graves, car </w:t>
      </w:r>
      <w:r w:rsidR="00D74E56" w:rsidRPr="000C43C5">
        <w:rPr>
          <w:lang w:val="fr-CA"/>
        </w:rPr>
        <w:t>M.</w:t>
      </w:r>
      <w:r w:rsidR="0007283D">
        <w:rPr>
          <w:lang w:val="fr-CA"/>
        </w:rPr>
        <w:t> </w:t>
      </w:r>
      <w:r w:rsidR="00D74E56" w:rsidRPr="000C43C5">
        <w:rPr>
          <w:lang w:val="fr-CA"/>
        </w:rPr>
        <w:t xml:space="preserve">Silverthorne </w:t>
      </w:r>
      <w:r w:rsidR="0007283D">
        <w:rPr>
          <w:lang w:val="fr-CA"/>
        </w:rPr>
        <w:t>a été privé de sa liberté pendant trois semaines. Le risque de conséquences graves aurait été évident pour n’importe qui, mais surtout pour un officier de justice chevronné. Des fonds publics ont été dépensés à la suite de l’inconduite en raison de l’arrestation de M.</w:t>
      </w:r>
      <w:r w:rsidR="00D74E56" w:rsidRPr="000C43C5">
        <w:rPr>
          <w:lang w:val="fr-CA"/>
        </w:rPr>
        <w:t xml:space="preserve"> Silverthorne, </w:t>
      </w:r>
      <w:r w:rsidR="0007283D">
        <w:rPr>
          <w:lang w:val="fr-CA"/>
        </w:rPr>
        <w:t>des procédures judiciaires qui ont suivi et de son incarcération</w:t>
      </w:r>
      <w:r w:rsidR="002131EB" w:rsidRPr="000C43C5">
        <w:rPr>
          <w:lang w:val="fr-CA"/>
        </w:rPr>
        <w:t>.</w:t>
      </w:r>
    </w:p>
    <w:p w14:paraId="057B247E" w14:textId="0F710C00" w:rsidR="0001785E" w:rsidRPr="000C43C5" w:rsidRDefault="0007283D" w:rsidP="00BF514D">
      <w:pPr>
        <w:pStyle w:val="AParaNumbering"/>
        <w:rPr>
          <w:lang w:val="fr-CA"/>
        </w:rPr>
      </w:pPr>
      <w:r>
        <w:rPr>
          <w:lang w:val="fr-CA"/>
        </w:rPr>
        <w:t>Nous acceptons, comme l’ont souligné les observations écrites des deux avo</w:t>
      </w:r>
      <w:r w:rsidR="001A315D">
        <w:rPr>
          <w:lang w:val="fr-CA"/>
        </w:rPr>
        <w:t xml:space="preserve">cats, qu’il n’a pas été possible d’établir clairement ce qui s’est passé </w:t>
      </w:r>
      <w:r w:rsidR="00091EDF">
        <w:rPr>
          <w:lang w:val="fr-CA"/>
        </w:rPr>
        <w:t xml:space="preserve">pendant l’audience </w:t>
      </w:r>
      <w:r w:rsidR="001A315D">
        <w:rPr>
          <w:lang w:val="fr-CA"/>
        </w:rPr>
        <w:t xml:space="preserve">pour répondre à </w:t>
      </w:r>
      <w:r w:rsidR="00091EDF">
        <w:rPr>
          <w:lang w:val="fr-CA"/>
        </w:rPr>
        <w:t>la question de savoir si les agissements du juge de paix constituaient ou non une inconduite</w:t>
      </w:r>
      <w:r w:rsidR="00D74E56" w:rsidRPr="000C43C5">
        <w:rPr>
          <w:lang w:val="fr-CA"/>
        </w:rPr>
        <w:t>.</w:t>
      </w:r>
      <w:r w:rsidR="00094888" w:rsidRPr="000C43C5">
        <w:rPr>
          <w:lang w:val="fr-CA"/>
        </w:rPr>
        <w:t xml:space="preserve"> </w:t>
      </w:r>
      <w:r w:rsidR="00091EDF">
        <w:rPr>
          <w:lang w:val="fr-CA"/>
        </w:rPr>
        <w:t xml:space="preserve">À part ça, l’audience </w:t>
      </w:r>
      <w:r w:rsidR="001A315D">
        <w:rPr>
          <w:lang w:val="fr-CA"/>
        </w:rPr>
        <w:t>était relativement</w:t>
      </w:r>
      <w:r w:rsidR="00091EDF">
        <w:rPr>
          <w:lang w:val="fr-CA"/>
        </w:rPr>
        <w:t xml:space="preserve"> simple</w:t>
      </w:r>
      <w:r w:rsidR="00094888" w:rsidRPr="000C43C5">
        <w:rPr>
          <w:lang w:val="fr-CA"/>
        </w:rPr>
        <w:t>.</w:t>
      </w:r>
      <w:r w:rsidR="00D74E56" w:rsidRPr="000C43C5">
        <w:rPr>
          <w:lang w:val="fr-CA"/>
        </w:rPr>
        <w:t xml:space="preserve">  </w:t>
      </w:r>
      <w:r w:rsidR="00091EDF">
        <w:rPr>
          <w:lang w:val="fr-CA"/>
        </w:rPr>
        <w:t>Notre comité d’audition n’accepte pas l’argument de l’avocat du juge de paix selon lequel cette audience a clarifié</w:t>
      </w:r>
      <w:r w:rsidR="001A315D">
        <w:rPr>
          <w:lang w:val="fr-CA"/>
        </w:rPr>
        <w:t>,</w:t>
      </w:r>
      <w:r w:rsidR="00091EDF">
        <w:rPr>
          <w:lang w:val="fr-CA"/>
        </w:rPr>
        <w:t xml:space="preserve"> </w:t>
      </w:r>
      <w:r w:rsidR="001A315D">
        <w:rPr>
          <w:lang w:val="fr-CA"/>
        </w:rPr>
        <w:t xml:space="preserve">pour le juge de paix, </w:t>
      </w:r>
      <w:r w:rsidR="00091EDF">
        <w:rPr>
          <w:lang w:val="fr-CA"/>
        </w:rPr>
        <w:t xml:space="preserve">les attentes en matière de conduite du juge et d’ajournement. Ces </w:t>
      </w:r>
      <w:r w:rsidR="00091EDF">
        <w:rPr>
          <w:lang w:val="fr-CA"/>
        </w:rPr>
        <w:lastRenderedPageBreak/>
        <w:t xml:space="preserve">attentes </w:t>
      </w:r>
      <w:r w:rsidR="001A315D">
        <w:rPr>
          <w:lang w:val="fr-CA"/>
        </w:rPr>
        <w:t>découlent depuis toujours du</w:t>
      </w:r>
      <w:r w:rsidR="00091EDF">
        <w:rPr>
          <w:lang w:val="fr-CA"/>
        </w:rPr>
        <w:t xml:space="preserve"> respect de la loi et des procédures d’audience formelles. Il n’y a rien de nouveau ici</w:t>
      </w:r>
      <w:r w:rsidR="0001785E" w:rsidRPr="000C43C5">
        <w:rPr>
          <w:lang w:val="fr-CA"/>
        </w:rPr>
        <w:t>.</w:t>
      </w:r>
    </w:p>
    <w:p w14:paraId="16F90C4F" w14:textId="2BEBF42C" w:rsidR="00D74E56" w:rsidRPr="000C43C5" w:rsidRDefault="00091EDF" w:rsidP="00BF514D">
      <w:pPr>
        <w:pStyle w:val="AParaNumbering"/>
        <w:rPr>
          <w:lang w:val="fr-CA"/>
        </w:rPr>
      </w:pPr>
      <w:r>
        <w:rPr>
          <w:lang w:val="fr-CA"/>
        </w:rPr>
        <w:t xml:space="preserve">Le juge de paix </w:t>
      </w:r>
      <w:r w:rsidR="002131EB" w:rsidRPr="000C43C5">
        <w:rPr>
          <w:lang w:val="fr-CA"/>
        </w:rPr>
        <w:t>Welsh</w:t>
      </w:r>
      <w:r w:rsidR="00D74E56" w:rsidRPr="000C43C5">
        <w:rPr>
          <w:lang w:val="fr-CA"/>
        </w:rPr>
        <w:t xml:space="preserve">, </w:t>
      </w:r>
      <w:r>
        <w:rPr>
          <w:lang w:val="fr-CA"/>
        </w:rPr>
        <w:t xml:space="preserve">avec l’assistance de son avocat, a pris des mesures pour accélérer l’audience, </w:t>
      </w:r>
      <w:r w:rsidR="00E81291">
        <w:rPr>
          <w:lang w:val="fr-CA"/>
        </w:rPr>
        <w:t xml:space="preserve">en tenant une conférence préparatoire au procès en présence d’un juge, en </w:t>
      </w:r>
      <w:r w:rsidR="001A315D">
        <w:rPr>
          <w:lang w:val="fr-CA"/>
        </w:rPr>
        <w:t xml:space="preserve">communiquant </w:t>
      </w:r>
      <w:r w:rsidR="00E81291">
        <w:rPr>
          <w:lang w:val="fr-CA"/>
        </w:rPr>
        <w:t>avec l’avocate chargée de la présentation et en présentant un exposé conjoint des faits</w:t>
      </w:r>
      <w:r w:rsidR="00D74E56" w:rsidRPr="000C43C5">
        <w:rPr>
          <w:lang w:val="fr-CA"/>
        </w:rPr>
        <w:t>.</w:t>
      </w:r>
    </w:p>
    <w:p w14:paraId="44CEF8F5" w14:textId="1602F96E" w:rsidR="00D74E56" w:rsidRPr="000C43C5" w:rsidRDefault="00E81291" w:rsidP="00BF514D">
      <w:pPr>
        <w:pStyle w:val="AParaNumbering"/>
        <w:rPr>
          <w:lang w:val="fr-CA"/>
        </w:rPr>
      </w:pPr>
      <w:r>
        <w:rPr>
          <w:lang w:val="fr-CA"/>
        </w:rPr>
        <w:t>Le juge de paix avait déjà fait l’objet d’une conclusion antérieure d’inconduite assortie de l’obligation de suivre une formation. Notre comité d’audition a déjà indiqué que le juge de paix semble continuellement faire preuve de manque de respect pour les procédures judiciaires nécessaires et adéquates</w:t>
      </w:r>
      <w:r w:rsidR="001A315D">
        <w:rPr>
          <w:lang w:val="fr-CA"/>
        </w:rPr>
        <w:t>,</w:t>
      </w:r>
      <w:r>
        <w:rPr>
          <w:lang w:val="fr-CA"/>
        </w:rPr>
        <w:t xml:space="preserve"> ainsi que d’interactions inappropriées avec d’autres participants au système de justice</w:t>
      </w:r>
      <w:r w:rsidR="00094888" w:rsidRPr="000C43C5">
        <w:rPr>
          <w:lang w:val="fr-CA"/>
        </w:rPr>
        <w:t>.</w:t>
      </w:r>
    </w:p>
    <w:p w14:paraId="27B86278" w14:textId="0C3218CD" w:rsidR="003C1206" w:rsidRPr="000C43C5" w:rsidRDefault="00E81291" w:rsidP="00E81291">
      <w:pPr>
        <w:pStyle w:val="AParaNumbering"/>
        <w:rPr>
          <w:lang w:val="fr-CA"/>
        </w:rPr>
      </w:pPr>
      <w:r>
        <w:rPr>
          <w:lang w:val="fr-CA"/>
        </w:rPr>
        <w:t xml:space="preserve">Le comité d’audition relève qu’en vertu du paragraphe </w:t>
      </w:r>
      <w:r w:rsidR="0001785E" w:rsidRPr="000C43C5">
        <w:rPr>
          <w:lang w:val="fr-CA"/>
        </w:rPr>
        <w:t>11.1</w:t>
      </w:r>
      <w:r>
        <w:rPr>
          <w:lang w:val="fr-CA"/>
        </w:rPr>
        <w:t xml:space="preserve"> </w:t>
      </w:r>
      <w:r w:rsidR="0001785E" w:rsidRPr="000C43C5">
        <w:rPr>
          <w:lang w:val="fr-CA"/>
        </w:rPr>
        <w:t xml:space="preserve">(18) </w:t>
      </w:r>
      <w:r>
        <w:rPr>
          <w:lang w:val="fr-CA"/>
        </w:rPr>
        <w:t xml:space="preserve">de la Loi, l’indemnisation recommandée en vertu du paragraphe </w:t>
      </w:r>
      <w:r w:rsidR="00F040A0" w:rsidRPr="000C43C5">
        <w:rPr>
          <w:lang w:val="fr-CA"/>
        </w:rPr>
        <w:t>(17)</w:t>
      </w:r>
      <w:r>
        <w:rPr>
          <w:lang w:val="fr-CA"/>
        </w:rPr>
        <w:t xml:space="preserve">, </w:t>
      </w:r>
      <w:r w:rsidR="00ED1E5A">
        <w:rPr>
          <w:lang w:val="fr-CA"/>
        </w:rPr>
        <w:t>l</w:t>
      </w:r>
      <w:r w:rsidRPr="00E81291">
        <w:rPr>
          <w:lang w:val="fr-CA"/>
        </w:rPr>
        <w:t>e montant de l’indemnité recommandée aux termes du paragraphe (17) est calculé selon un taux pour services juridiques qui ne dépasse pas le taux maximal normalement payé par le gouvernement de l’Ontario pour des services similaires</w:t>
      </w:r>
      <w:r w:rsidR="002131EB" w:rsidRPr="000C43C5">
        <w:rPr>
          <w:lang w:val="fr-CA"/>
        </w:rPr>
        <w:t xml:space="preserve">. </w:t>
      </w:r>
    </w:p>
    <w:p w14:paraId="1E519C5B" w14:textId="2A8627FE" w:rsidR="002A681B" w:rsidRPr="000C43C5" w:rsidRDefault="00ED1E5A" w:rsidP="00BF514D">
      <w:pPr>
        <w:pStyle w:val="AParaNumbering"/>
        <w:rPr>
          <w:lang w:val="fr-CA"/>
        </w:rPr>
      </w:pPr>
      <w:r>
        <w:rPr>
          <w:lang w:val="fr-CA"/>
        </w:rPr>
        <w:t>Le comité d’audition ne conteste pas la nature des services pour lesquels des honoraires ont été facturés</w:t>
      </w:r>
      <w:r w:rsidR="0001785E" w:rsidRPr="000C43C5">
        <w:rPr>
          <w:lang w:val="fr-CA"/>
        </w:rPr>
        <w:t>.</w:t>
      </w:r>
    </w:p>
    <w:p w14:paraId="49B32C07" w14:textId="72622C1C" w:rsidR="003D2BE7" w:rsidRPr="000C43C5" w:rsidRDefault="00ED1E5A" w:rsidP="00BF514D">
      <w:pPr>
        <w:pStyle w:val="AParaNumbering"/>
        <w:rPr>
          <w:lang w:val="fr-CA"/>
        </w:rPr>
      </w:pPr>
      <w:r>
        <w:rPr>
          <w:lang w:val="fr-CA"/>
        </w:rPr>
        <w:t>Notre comité d’audition recommandera qu’une indemnisation soit versée pour des frais pour services juridiques, mais d’un montant inférieur au montant total facturé</w:t>
      </w:r>
      <w:r w:rsidR="001A315D">
        <w:rPr>
          <w:lang w:val="fr-CA"/>
        </w:rPr>
        <w:t>,</w:t>
      </w:r>
      <w:r>
        <w:rPr>
          <w:lang w:val="fr-CA"/>
        </w:rPr>
        <w:t xml:space="preserve"> à la lumière des critères énoncés par la Cour divisionnaire dans l’affaire </w:t>
      </w:r>
      <w:r w:rsidR="00B37A39" w:rsidRPr="000C43C5">
        <w:rPr>
          <w:i/>
          <w:lang w:val="fr-CA"/>
        </w:rPr>
        <w:t>Massiah</w:t>
      </w:r>
      <w:r w:rsidR="00B37A39" w:rsidRPr="000C43C5">
        <w:rPr>
          <w:lang w:val="fr-CA"/>
        </w:rPr>
        <w:t xml:space="preserve">, </w:t>
      </w:r>
      <w:r>
        <w:rPr>
          <w:lang w:val="fr-CA"/>
        </w:rPr>
        <w:t xml:space="preserve">ainsi que </w:t>
      </w:r>
      <w:r>
        <w:rPr>
          <w:lang w:val="fr-CA"/>
        </w:rPr>
        <w:lastRenderedPageBreak/>
        <w:t xml:space="preserve">de la conclusion antérieure d’inconduite rendue par un comité d’audition contre le juge de paix en 2009 et de la nature de sa conduite en l’espèce que n’importe qui aurait </w:t>
      </w:r>
      <w:r w:rsidR="001A315D">
        <w:rPr>
          <w:lang w:val="fr-CA"/>
        </w:rPr>
        <w:t>pu juger</w:t>
      </w:r>
      <w:r>
        <w:rPr>
          <w:lang w:val="fr-CA"/>
        </w:rPr>
        <w:t xml:space="preserve"> inappropriée et qui a engendré des dépenses publiques et des conséquences personnelles graves pour </w:t>
      </w:r>
      <w:r w:rsidR="00834843" w:rsidRPr="000C43C5">
        <w:rPr>
          <w:lang w:val="fr-CA"/>
        </w:rPr>
        <w:t>M. Silverthorne</w:t>
      </w:r>
      <w:r w:rsidR="0001785E" w:rsidRPr="000C43C5">
        <w:rPr>
          <w:lang w:val="fr-CA"/>
        </w:rPr>
        <w:t>.</w:t>
      </w:r>
    </w:p>
    <w:p w14:paraId="28EB00B8" w14:textId="543008C0" w:rsidR="0001785E" w:rsidRPr="000C43C5" w:rsidRDefault="00EA2C1D" w:rsidP="00BF514D">
      <w:pPr>
        <w:pStyle w:val="AParaNumbering"/>
        <w:rPr>
          <w:lang w:val="fr-CA"/>
        </w:rPr>
      </w:pPr>
      <w:r>
        <w:rPr>
          <w:lang w:val="fr-CA"/>
        </w:rPr>
        <w:t xml:space="preserve">Notre comité d’audition recommande une indemnisation d’un montant de </w:t>
      </w:r>
      <w:r w:rsidR="002131EB" w:rsidRPr="000C43C5">
        <w:rPr>
          <w:lang w:val="fr-CA"/>
        </w:rPr>
        <w:t>2</w:t>
      </w:r>
      <w:r w:rsidR="006A0D26" w:rsidRPr="000C43C5">
        <w:rPr>
          <w:lang w:val="fr-CA"/>
        </w:rPr>
        <w:t>0</w:t>
      </w:r>
      <w:r>
        <w:rPr>
          <w:lang w:val="fr-CA"/>
        </w:rPr>
        <w:t> </w:t>
      </w:r>
      <w:r w:rsidR="002131EB" w:rsidRPr="000C43C5">
        <w:rPr>
          <w:lang w:val="fr-CA"/>
        </w:rPr>
        <w:t>000</w:t>
      </w:r>
      <w:r>
        <w:rPr>
          <w:lang w:val="fr-CA"/>
        </w:rPr>
        <w:t> $</w:t>
      </w:r>
      <w:r w:rsidR="0001785E" w:rsidRPr="000C43C5">
        <w:rPr>
          <w:lang w:val="fr-CA"/>
        </w:rPr>
        <w:t>.</w:t>
      </w:r>
    </w:p>
    <w:p w14:paraId="0F317CD2" w14:textId="77777777" w:rsidR="00BD42CD" w:rsidRPr="000C43C5" w:rsidRDefault="00BD42CD" w:rsidP="00BF514D">
      <w:pPr>
        <w:pStyle w:val="AParaNumbering"/>
        <w:numPr>
          <w:ilvl w:val="0"/>
          <w:numId w:val="0"/>
        </w:numPr>
        <w:rPr>
          <w:lang w:val="fr-CA"/>
        </w:rPr>
      </w:pPr>
    </w:p>
    <w:p w14:paraId="5C395ECD" w14:textId="32A20DAE" w:rsidR="00FD204C" w:rsidRPr="000C43C5" w:rsidRDefault="00EA2C1D" w:rsidP="00F040A0">
      <w:pPr>
        <w:widowControl w:val="0"/>
        <w:spacing w:before="120" w:after="1440"/>
        <w:jc w:val="both"/>
        <w:rPr>
          <w:rFonts w:ascii="Arial" w:hAnsi="Arial" w:cs="Arial"/>
          <w:lang w:val="fr-CA"/>
        </w:rPr>
      </w:pPr>
      <w:r>
        <w:rPr>
          <w:rFonts w:ascii="Arial" w:hAnsi="Arial" w:cs="Arial"/>
          <w:lang w:val="fr-CA"/>
        </w:rPr>
        <w:t xml:space="preserve">Fait le 15 février </w:t>
      </w:r>
      <w:r w:rsidR="005F7F37" w:rsidRPr="000C43C5">
        <w:rPr>
          <w:rFonts w:ascii="Arial" w:hAnsi="Arial" w:cs="Arial"/>
          <w:lang w:val="fr-CA"/>
        </w:rPr>
        <w:t>201</w:t>
      </w:r>
      <w:r w:rsidR="00F5199C" w:rsidRPr="000C43C5">
        <w:rPr>
          <w:rFonts w:ascii="Arial" w:hAnsi="Arial" w:cs="Arial"/>
          <w:lang w:val="fr-CA"/>
        </w:rPr>
        <w:t>8</w:t>
      </w:r>
    </w:p>
    <w:p w14:paraId="023AC26F" w14:textId="24B6D36B" w:rsidR="00776B2D" w:rsidRPr="000C43C5" w:rsidRDefault="00EA2C1D" w:rsidP="00FD204C">
      <w:pPr>
        <w:widowControl w:val="0"/>
        <w:spacing w:before="120" w:after="120"/>
        <w:jc w:val="both"/>
        <w:rPr>
          <w:rFonts w:ascii="Arial" w:hAnsi="Arial" w:cs="Arial"/>
          <w:lang w:val="fr-CA"/>
        </w:rPr>
      </w:pPr>
      <w:r>
        <w:rPr>
          <w:rFonts w:ascii="Arial" w:hAnsi="Arial" w:cs="Arial"/>
          <w:lang w:val="fr-CA"/>
        </w:rPr>
        <w:t xml:space="preserve">COMITÉ D’AUDITION </w:t>
      </w:r>
      <w:r w:rsidR="00776B2D" w:rsidRPr="000C43C5">
        <w:rPr>
          <w:rFonts w:ascii="Arial" w:hAnsi="Arial" w:cs="Arial"/>
          <w:lang w:val="fr-CA"/>
        </w:rPr>
        <w:t>:</w:t>
      </w:r>
    </w:p>
    <w:p w14:paraId="16B840A0" w14:textId="77777777" w:rsidR="00EA2C1D" w:rsidRPr="000C43C5" w:rsidRDefault="00EA2C1D" w:rsidP="00EA2C1D">
      <w:pPr>
        <w:tabs>
          <w:tab w:val="left" w:pos="1134"/>
        </w:tabs>
        <w:ind w:left="1134" w:right="-187" w:hanging="1077"/>
        <w:rPr>
          <w:rFonts w:ascii="Arial" w:hAnsi="Arial" w:cs="Arial"/>
          <w:lang w:val="fr-CA"/>
        </w:rPr>
      </w:pPr>
      <w:r w:rsidRPr="000C43C5">
        <w:rPr>
          <w:rFonts w:ascii="Arial" w:hAnsi="Arial" w:cs="Arial"/>
          <w:lang w:val="fr-CA"/>
        </w:rPr>
        <w:t>L’honorable juge Lisa Cameron (présidente)</w:t>
      </w:r>
    </w:p>
    <w:p w14:paraId="35940222" w14:textId="6CA822D4" w:rsidR="00EA2C1D" w:rsidRPr="000C43C5" w:rsidRDefault="00EA2C1D" w:rsidP="00EA2C1D">
      <w:pPr>
        <w:tabs>
          <w:tab w:val="left" w:pos="1134"/>
        </w:tabs>
        <w:ind w:left="1134" w:right="-187" w:hanging="1077"/>
        <w:rPr>
          <w:rFonts w:ascii="Arial" w:hAnsi="Arial" w:cs="Arial"/>
          <w:lang w:val="fr-CA"/>
        </w:rPr>
      </w:pPr>
      <w:r w:rsidRPr="000C43C5">
        <w:rPr>
          <w:rFonts w:ascii="Arial" w:hAnsi="Arial" w:cs="Arial"/>
          <w:lang w:val="fr-CA"/>
        </w:rPr>
        <w:t>La juge de paix Monique Seguin</w:t>
      </w:r>
    </w:p>
    <w:p w14:paraId="0A229B2F" w14:textId="094D072B" w:rsidR="00EA2C1D" w:rsidRPr="000C43C5" w:rsidRDefault="00EA2C1D" w:rsidP="00EA2C1D">
      <w:pPr>
        <w:tabs>
          <w:tab w:val="left" w:pos="1134"/>
        </w:tabs>
        <w:ind w:left="1134" w:right="-187" w:hanging="1077"/>
        <w:rPr>
          <w:rFonts w:ascii="Arial" w:hAnsi="Arial" w:cs="Arial"/>
          <w:lang w:val="fr-CA"/>
        </w:rPr>
      </w:pPr>
      <w:r w:rsidRPr="000C43C5">
        <w:rPr>
          <w:rFonts w:ascii="Arial" w:hAnsi="Arial" w:cs="Arial"/>
          <w:lang w:val="fr-CA"/>
        </w:rPr>
        <w:t>Le Dr Michael Phillips, membre du public</w:t>
      </w:r>
    </w:p>
    <w:p w14:paraId="02F8A544" w14:textId="1C4B7AF1" w:rsidR="001F51FD" w:rsidRPr="000C43C5" w:rsidRDefault="001F51FD" w:rsidP="00EA2C1D">
      <w:pPr>
        <w:spacing w:after="240"/>
        <w:ind w:right="-448"/>
        <w:jc w:val="both"/>
        <w:rPr>
          <w:rFonts w:ascii="Arial" w:hAnsi="Arial" w:cs="Arial"/>
          <w:lang w:val="fr-CA"/>
        </w:rPr>
      </w:pPr>
    </w:p>
    <w:sectPr w:rsidR="001F51FD" w:rsidRPr="000C43C5" w:rsidSect="001D12AF">
      <w:headerReference w:type="default" r:id="rId8"/>
      <w:footerReference w:type="default" r:id="rId9"/>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D2622" w14:textId="77777777" w:rsidR="00733EA0" w:rsidRDefault="00733EA0">
      <w:r>
        <w:separator/>
      </w:r>
    </w:p>
  </w:endnote>
  <w:endnote w:type="continuationSeparator" w:id="0">
    <w:p w14:paraId="64A884C6" w14:textId="77777777" w:rsidR="00733EA0" w:rsidRDefault="0073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157758"/>
      <w:docPartObj>
        <w:docPartGallery w:val="Page Numbers (Bottom of Page)"/>
        <w:docPartUnique/>
      </w:docPartObj>
    </w:sdtPr>
    <w:sdtEndPr>
      <w:rPr>
        <w:noProof/>
      </w:rPr>
    </w:sdtEndPr>
    <w:sdtContent>
      <w:p w14:paraId="76AC2759" w14:textId="77777777" w:rsidR="002D1A17" w:rsidRDefault="002D1A17">
        <w:pPr>
          <w:pStyle w:val="Footer"/>
          <w:jc w:val="right"/>
        </w:pPr>
        <w:r>
          <w:fldChar w:fldCharType="begin"/>
        </w:r>
        <w:r>
          <w:instrText xml:space="preserve"> PAGE   \* MERGEFORMAT </w:instrText>
        </w:r>
        <w:r>
          <w:fldChar w:fldCharType="separate"/>
        </w:r>
        <w:r w:rsidR="002F7A3E">
          <w:rPr>
            <w:noProof/>
          </w:rPr>
          <w:t>21</w:t>
        </w:r>
        <w:r>
          <w:rPr>
            <w:noProof/>
          </w:rPr>
          <w:fldChar w:fldCharType="end"/>
        </w:r>
      </w:p>
    </w:sdtContent>
  </w:sdt>
  <w:p w14:paraId="456E7792" w14:textId="77777777" w:rsidR="002D1A17" w:rsidRDefault="002D1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07B20" w14:textId="77777777" w:rsidR="00733EA0" w:rsidRDefault="00733EA0">
      <w:r>
        <w:separator/>
      </w:r>
    </w:p>
  </w:footnote>
  <w:footnote w:type="continuationSeparator" w:id="0">
    <w:p w14:paraId="0C27CEB6" w14:textId="77777777" w:rsidR="00733EA0" w:rsidRDefault="00733EA0">
      <w:r>
        <w:continuationSeparator/>
      </w:r>
    </w:p>
  </w:footnote>
  <w:footnote w:id="1">
    <w:p w14:paraId="3F0C118F" w14:textId="5A1EF823" w:rsidR="002D1A17" w:rsidRPr="00A617B2" w:rsidRDefault="002D1A17">
      <w:pPr>
        <w:pStyle w:val="FootnoteText"/>
        <w:rPr>
          <w:lang w:val="fr-CA"/>
        </w:rPr>
      </w:pPr>
      <w:r w:rsidRPr="00A617B2">
        <w:rPr>
          <w:rStyle w:val="FootnoteReference"/>
          <w:lang w:val="fr-CA"/>
        </w:rPr>
        <w:footnoteRef/>
      </w:r>
      <w:r w:rsidRPr="00A617B2">
        <w:rPr>
          <w:lang w:val="fr-CA"/>
        </w:rPr>
        <w:t xml:space="preserve"> Transcript</w:t>
      </w:r>
      <w:r>
        <w:rPr>
          <w:lang w:val="fr-CA"/>
        </w:rPr>
        <w:t xml:space="preserve">ion de l’instance du 29 novembre </w:t>
      </w:r>
      <w:r w:rsidRPr="00A617B2">
        <w:rPr>
          <w:lang w:val="fr-CA"/>
        </w:rPr>
        <w:t xml:space="preserve">2013, </w:t>
      </w:r>
      <w:r>
        <w:rPr>
          <w:lang w:val="fr-CA"/>
        </w:rPr>
        <w:t xml:space="preserve">recueil conjoint de documents de l’avocate chargée de la présentation, pièce </w:t>
      </w:r>
      <w:r w:rsidRPr="00A617B2">
        <w:rPr>
          <w:lang w:val="fr-CA"/>
        </w:rPr>
        <w:t>2.</w:t>
      </w:r>
    </w:p>
  </w:footnote>
  <w:footnote w:id="2">
    <w:p w14:paraId="4A405F32" w14:textId="449143A5" w:rsidR="002D1A17" w:rsidRPr="00A617B2" w:rsidRDefault="002D1A17" w:rsidP="00C76466">
      <w:pPr>
        <w:pStyle w:val="FootnoteText"/>
        <w:rPr>
          <w:color w:val="000000" w:themeColor="text1"/>
          <w:lang w:val="fr-CA"/>
        </w:rPr>
      </w:pPr>
      <w:r w:rsidRPr="00A617B2">
        <w:rPr>
          <w:rStyle w:val="FootnoteReference"/>
          <w:color w:val="000000" w:themeColor="text1"/>
          <w:lang w:val="fr-CA"/>
        </w:rPr>
        <w:footnoteRef/>
      </w:r>
      <w:r w:rsidRPr="00A617B2">
        <w:rPr>
          <w:color w:val="00B0F0"/>
          <w:lang w:val="fr-CA"/>
        </w:rPr>
        <w:t xml:space="preserve"> </w:t>
      </w:r>
      <w:r w:rsidRPr="00A617B2">
        <w:rPr>
          <w:i/>
          <w:color w:val="000000" w:themeColor="text1"/>
          <w:lang w:val="fr-CA"/>
        </w:rPr>
        <w:t>R. c Silverthorne</w:t>
      </w:r>
      <w:r w:rsidRPr="00A617B2">
        <w:rPr>
          <w:color w:val="000000" w:themeColor="text1"/>
          <w:lang w:val="fr-CA"/>
        </w:rPr>
        <w:t xml:space="preserve"> (</w:t>
      </w:r>
      <w:r>
        <w:rPr>
          <w:color w:val="000000" w:themeColor="text1"/>
          <w:lang w:val="fr-CA"/>
        </w:rPr>
        <w:t xml:space="preserve">enquête sur le cautionnement, 29 novembre </w:t>
      </w:r>
      <w:r w:rsidRPr="00A617B2">
        <w:rPr>
          <w:color w:val="000000" w:themeColor="text1"/>
          <w:lang w:val="fr-CA"/>
        </w:rPr>
        <w:t>2013, page 11)</w:t>
      </w:r>
    </w:p>
  </w:footnote>
  <w:footnote w:id="3">
    <w:p w14:paraId="3B41E914" w14:textId="2FE87B27" w:rsidR="002D1A17" w:rsidRPr="00A617B2" w:rsidRDefault="002D1A17">
      <w:pPr>
        <w:pStyle w:val="FootnoteText"/>
        <w:rPr>
          <w:lang w:val="fr-CA"/>
        </w:rPr>
      </w:pPr>
      <w:r w:rsidRPr="00A617B2">
        <w:rPr>
          <w:rStyle w:val="FootnoteReference"/>
          <w:lang w:val="fr-CA"/>
        </w:rPr>
        <w:footnoteRef/>
      </w:r>
      <w:r w:rsidRPr="00A617B2">
        <w:rPr>
          <w:lang w:val="fr-CA"/>
        </w:rPr>
        <w:t xml:space="preserve"> </w:t>
      </w:r>
      <w:r w:rsidRPr="00A617B2">
        <w:rPr>
          <w:i/>
          <w:iCs/>
          <w:lang w:val="fr-CA"/>
        </w:rPr>
        <w:t>Therrien (Re</w:t>
      </w:r>
      <w:r w:rsidRPr="00A617B2">
        <w:rPr>
          <w:lang w:val="fr-CA"/>
        </w:rPr>
        <w:t xml:space="preserve">), 2001 </w:t>
      </w:r>
      <w:r>
        <w:rPr>
          <w:lang w:val="fr-CA"/>
        </w:rPr>
        <w:t>CSC</w:t>
      </w:r>
      <w:r w:rsidRPr="00A617B2">
        <w:rPr>
          <w:lang w:val="fr-CA"/>
        </w:rPr>
        <w:t xml:space="preserve"> 35, [2001] 2 </w:t>
      </w:r>
      <w:r>
        <w:rPr>
          <w:lang w:val="fr-CA"/>
        </w:rPr>
        <w:t>R</w:t>
      </w:r>
      <w:r w:rsidRPr="00A617B2">
        <w:rPr>
          <w:lang w:val="fr-CA"/>
        </w:rPr>
        <w:t>.C.</w:t>
      </w:r>
      <w:r>
        <w:rPr>
          <w:lang w:val="fr-CA"/>
        </w:rPr>
        <w:t>S</w:t>
      </w:r>
      <w:r w:rsidRPr="00A617B2">
        <w:rPr>
          <w:lang w:val="fr-CA"/>
        </w:rPr>
        <w:t>. 3</w:t>
      </w:r>
    </w:p>
  </w:footnote>
  <w:footnote w:id="4">
    <w:p w14:paraId="2912A256" w14:textId="2537FBDB" w:rsidR="002D1A17" w:rsidRPr="00A617B2" w:rsidRDefault="002D1A17">
      <w:pPr>
        <w:pStyle w:val="FootnoteText"/>
        <w:rPr>
          <w:lang w:val="fr-CA"/>
        </w:rPr>
      </w:pPr>
      <w:r w:rsidRPr="00A617B2">
        <w:rPr>
          <w:rStyle w:val="FootnoteReference"/>
          <w:lang w:val="fr-CA"/>
        </w:rPr>
        <w:footnoteRef/>
      </w:r>
      <w:r w:rsidRPr="00A617B2">
        <w:rPr>
          <w:lang w:val="fr-CA"/>
        </w:rPr>
        <w:t xml:space="preserve"> </w:t>
      </w:r>
      <w:r w:rsidRPr="00A617B2">
        <w:rPr>
          <w:i/>
          <w:lang w:val="fr-CA"/>
        </w:rPr>
        <w:t>R</w:t>
      </w:r>
      <w:r>
        <w:rPr>
          <w:i/>
          <w:lang w:val="fr-CA"/>
        </w:rPr>
        <w:t xml:space="preserve">apport du Conseil canadien de la magistrature au ministre de la Justice dans l’affaire du juge </w:t>
      </w:r>
      <w:r w:rsidRPr="00A617B2">
        <w:rPr>
          <w:i/>
          <w:lang w:val="fr-CA"/>
        </w:rPr>
        <w:t>Theodore Matlow,</w:t>
      </w:r>
      <w:r w:rsidRPr="00A617B2">
        <w:rPr>
          <w:lang w:val="fr-CA"/>
        </w:rPr>
        <w:t xml:space="preserve"> </w:t>
      </w:r>
      <w:r>
        <w:rPr>
          <w:lang w:val="fr-CA"/>
        </w:rPr>
        <w:t>3 décembre</w:t>
      </w:r>
      <w:r w:rsidRPr="00A617B2">
        <w:rPr>
          <w:lang w:val="fr-CA"/>
        </w:rPr>
        <w:t xml:space="preserve">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AD964" w14:textId="77777777" w:rsidR="002D1A17" w:rsidRDefault="002D1A17" w:rsidP="00F7015A">
    <w:pPr>
      <w:pStyle w:val="Header"/>
      <w:ind w:left="360"/>
      <w:jc w:val="center"/>
      <w:rPr>
        <w:bCs/>
        <w:sz w:val="20"/>
      </w:rPr>
    </w:pPr>
  </w:p>
  <w:p w14:paraId="6742A3D2" w14:textId="77777777" w:rsidR="002D1A17" w:rsidRDefault="002D1A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859AD"/>
    <w:multiLevelType w:val="multilevel"/>
    <w:tmpl w:val="304AECB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1CA77711"/>
    <w:multiLevelType w:val="hybridMultilevel"/>
    <w:tmpl w:val="26C2452A"/>
    <w:lvl w:ilvl="0" w:tplc="9AD6ABA4">
      <w:start w:val="1"/>
      <w:numFmt w:val="decimal"/>
      <w:lvlText w:val="%1)"/>
      <w:lvlJc w:val="left"/>
      <w:pPr>
        <w:ind w:left="1070" w:hanging="360"/>
      </w:pPr>
      <w:rPr>
        <w:rFonts w:hint="default"/>
        <w:b w:val="0"/>
        <w:color w:val="000000" w:themeColor="text1"/>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1CC3184E"/>
    <w:multiLevelType w:val="hybridMultilevel"/>
    <w:tmpl w:val="30860D78"/>
    <w:lvl w:ilvl="0" w:tplc="9AD6ABA4">
      <w:start w:val="1"/>
      <w:numFmt w:val="decimal"/>
      <w:lvlText w:val="%1)"/>
      <w:lvlJc w:val="left"/>
      <w:pPr>
        <w:ind w:left="360" w:hanging="360"/>
      </w:pPr>
      <w:rPr>
        <w:rFonts w:hint="default"/>
        <w:b w:val="0"/>
        <w:color w:val="000000" w:themeColor="text1"/>
      </w:rPr>
    </w:lvl>
    <w:lvl w:ilvl="1" w:tplc="94027D3A">
      <w:start w:val="1"/>
      <w:numFmt w:val="decimal"/>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1EC3448E"/>
    <w:multiLevelType w:val="hybridMultilevel"/>
    <w:tmpl w:val="92F2C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B644945"/>
    <w:multiLevelType w:val="multilevel"/>
    <w:tmpl w:val="688C3FC2"/>
    <w:lvl w:ilvl="0">
      <w:start w:val="6"/>
      <w:numFmt w:val="decimal"/>
      <w:pStyle w:val="AParaNumbering"/>
      <w:lvlText w:val="%1."/>
      <w:lvlJc w:val="left"/>
      <w:pPr>
        <w:tabs>
          <w:tab w:val="num" w:pos="1800"/>
        </w:tabs>
        <w:ind w:left="1800" w:hanging="360"/>
      </w:pPr>
      <w:rPr>
        <w:rFonts w:hint="default"/>
      </w:rPr>
    </w:lvl>
    <w:lvl w:ilvl="1">
      <w:start w:val="1"/>
      <w:numFmt w:val="decimal"/>
      <w:pStyle w:val="AParaNumbering"/>
      <w:lvlText w:val="[%2]"/>
      <w:lvlJc w:val="left"/>
      <w:pPr>
        <w:tabs>
          <w:tab w:val="num" w:pos="786"/>
        </w:tabs>
        <w:ind w:left="426" w:firstLine="0"/>
      </w:pPr>
      <w:rPr>
        <w:rFonts w:hint="default"/>
        <w:b w:val="0"/>
        <w:i w:val="0"/>
        <w:sz w:val="24"/>
      </w:rPr>
    </w:lvl>
    <w:lvl w:ilvl="2">
      <w:start w:val="1"/>
      <w:numFmt w:val="none"/>
      <w:lvlRestart w:val="0"/>
      <w:suff w:val="nothing"/>
      <w:lvlText w:val="%3"/>
      <w:lvlJc w:val="left"/>
      <w:pPr>
        <w:ind w:left="1440" w:firstLine="0"/>
      </w:pPr>
      <w:rPr>
        <w:rFonts w:hint="default"/>
      </w:rPr>
    </w:lvl>
    <w:lvl w:ilvl="3">
      <w:start w:val="1"/>
      <w:numFmt w:val="decimal"/>
      <w:lvlRestart w:val="0"/>
      <w:suff w:val="nothing"/>
      <w:lvlText w:val="%4."/>
      <w:lvlJc w:val="left"/>
      <w:pPr>
        <w:ind w:left="1440" w:firstLine="0"/>
      </w:pPr>
      <w:rPr>
        <w:rFonts w:hint="default"/>
      </w:rPr>
    </w:lvl>
    <w:lvl w:ilvl="4">
      <w:start w:val="1"/>
      <w:numFmt w:val="lowerLetter"/>
      <w:lvlRestart w:val="0"/>
      <w:suff w:val="nothing"/>
      <w:lvlText w:val="(%5)"/>
      <w:lvlJc w:val="left"/>
      <w:pPr>
        <w:ind w:left="1440" w:firstLine="0"/>
      </w:pPr>
      <w:rPr>
        <w:rFonts w:hint="default"/>
      </w:rPr>
    </w:lvl>
    <w:lvl w:ilvl="5">
      <w:start w:val="1"/>
      <w:numFmt w:val="lowerRoman"/>
      <w:lvlRestart w:val="0"/>
      <w:suff w:val="nothing"/>
      <w:lvlText w:val="(%6)"/>
      <w:lvlJc w:val="left"/>
      <w:pPr>
        <w:ind w:left="1440" w:firstLine="72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
    <w:nsid w:val="316F1E96"/>
    <w:multiLevelType w:val="multilevel"/>
    <w:tmpl w:val="121C0B9A"/>
    <w:styleLink w:val="List51"/>
    <w:lvl w:ilvl="0">
      <w:start w:val="12"/>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
    <w:nsid w:val="3B515BAA"/>
    <w:multiLevelType w:val="hybridMultilevel"/>
    <w:tmpl w:val="26C2452A"/>
    <w:lvl w:ilvl="0" w:tplc="9AD6ABA4">
      <w:start w:val="1"/>
      <w:numFmt w:val="decimal"/>
      <w:lvlText w:val="%1)"/>
      <w:lvlJc w:val="left"/>
      <w:pPr>
        <w:ind w:left="1070" w:hanging="360"/>
      </w:pPr>
      <w:rPr>
        <w:rFonts w:hint="default"/>
        <w:b w:val="0"/>
        <w:color w:val="000000" w:themeColor="text1"/>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4188459B"/>
    <w:multiLevelType w:val="hybridMultilevel"/>
    <w:tmpl w:val="280248CC"/>
    <w:lvl w:ilvl="0" w:tplc="72188F60">
      <w:start w:val="17"/>
      <w:numFmt w:val="decimal"/>
      <w:lvlText w:val="%1."/>
      <w:lvlJc w:val="left"/>
      <w:pPr>
        <w:ind w:left="1080" w:hanging="360"/>
      </w:pPr>
      <w:rPr>
        <w:rFonts w:hAnsi="Arial Unicode MS" w:cs="Arial Unicode M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48936D74"/>
    <w:multiLevelType w:val="multilevel"/>
    <w:tmpl w:val="B71AFC20"/>
    <w:styleLink w:val="List44"/>
    <w:lvl w:ilvl="0">
      <w:start w:val="1"/>
      <w:numFmt w:val="upperLetter"/>
      <w:lvlText w:val="%1."/>
      <w:lvlJc w:val="left"/>
      <w:pPr>
        <w:tabs>
          <w:tab w:val="num" w:pos="393"/>
        </w:tabs>
        <w:ind w:left="393" w:hanging="393"/>
      </w:pPr>
      <w:rPr>
        <w:rFonts w:ascii="Arial" w:eastAsia="Arial" w:hAnsi="Arial" w:cs="Arial"/>
        <w:position w:val="0"/>
        <w:sz w:val="24"/>
        <w:szCs w:val="24"/>
      </w:rPr>
    </w:lvl>
    <w:lvl w:ilvl="1">
      <w:start w:val="1"/>
      <w:numFmt w:val="upperLetter"/>
      <w:lvlText w:val="%2."/>
      <w:lvlJc w:val="left"/>
      <w:pPr>
        <w:tabs>
          <w:tab w:val="num" w:pos="753"/>
        </w:tabs>
        <w:ind w:left="753" w:hanging="393"/>
      </w:pPr>
      <w:rPr>
        <w:rFonts w:ascii="Arial" w:eastAsia="Arial" w:hAnsi="Arial" w:cs="Arial"/>
        <w:position w:val="0"/>
        <w:sz w:val="24"/>
        <w:szCs w:val="24"/>
      </w:rPr>
    </w:lvl>
    <w:lvl w:ilvl="2">
      <w:start w:val="1"/>
      <w:numFmt w:val="upperLetter"/>
      <w:lvlText w:val="%3."/>
      <w:lvlJc w:val="left"/>
      <w:pPr>
        <w:tabs>
          <w:tab w:val="num" w:pos="1113"/>
        </w:tabs>
        <w:ind w:left="1113" w:hanging="393"/>
      </w:pPr>
      <w:rPr>
        <w:rFonts w:ascii="Arial" w:eastAsia="Arial" w:hAnsi="Arial" w:cs="Arial"/>
        <w:position w:val="0"/>
        <w:sz w:val="24"/>
        <w:szCs w:val="24"/>
      </w:rPr>
    </w:lvl>
    <w:lvl w:ilvl="3">
      <w:start w:val="1"/>
      <w:numFmt w:val="upperLetter"/>
      <w:lvlText w:val="%4."/>
      <w:lvlJc w:val="left"/>
      <w:pPr>
        <w:tabs>
          <w:tab w:val="num" w:pos="1473"/>
        </w:tabs>
        <w:ind w:left="1473" w:hanging="393"/>
      </w:pPr>
      <w:rPr>
        <w:rFonts w:ascii="Arial" w:eastAsia="Arial" w:hAnsi="Arial" w:cs="Arial"/>
        <w:position w:val="0"/>
        <w:sz w:val="24"/>
        <w:szCs w:val="24"/>
      </w:rPr>
    </w:lvl>
    <w:lvl w:ilvl="4">
      <w:start w:val="1"/>
      <w:numFmt w:val="upperLetter"/>
      <w:lvlText w:val="%5."/>
      <w:lvlJc w:val="left"/>
      <w:pPr>
        <w:tabs>
          <w:tab w:val="num" w:pos="900"/>
        </w:tabs>
        <w:ind w:left="900" w:hanging="180"/>
      </w:pPr>
      <w:rPr>
        <w:rFonts w:ascii="Arial" w:eastAsia="Arial" w:hAnsi="Arial" w:cs="Arial"/>
        <w:position w:val="0"/>
        <w:sz w:val="24"/>
        <w:szCs w:val="24"/>
      </w:rPr>
    </w:lvl>
    <w:lvl w:ilvl="5">
      <w:start w:val="1"/>
      <w:numFmt w:val="upperLetter"/>
      <w:lvlText w:val="%6."/>
      <w:lvlJc w:val="left"/>
      <w:pPr>
        <w:tabs>
          <w:tab w:val="num" w:pos="2193"/>
        </w:tabs>
        <w:ind w:left="2193" w:hanging="393"/>
      </w:pPr>
      <w:rPr>
        <w:rFonts w:ascii="Arial" w:eastAsia="Arial" w:hAnsi="Arial" w:cs="Arial"/>
        <w:position w:val="0"/>
        <w:sz w:val="24"/>
        <w:szCs w:val="24"/>
      </w:rPr>
    </w:lvl>
    <w:lvl w:ilvl="6">
      <w:start w:val="1"/>
      <w:numFmt w:val="upperLetter"/>
      <w:lvlText w:val="%7."/>
      <w:lvlJc w:val="left"/>
      <w:pPr>
        <w:tabs>
          <w:tab w:val="num" w:pos="2553"/>
        </w:tabs>
        <w:ind w:left="2553" w:hanging="393"/>
      </w:pPr>
      <w:rPr>
        <w:rFonts w:ascii="Arial" w:eastAsia="Arial" w:hAnsi="Arial" w:cs="Arial"/>
        <w:position w:val="0"/>
        <w:sz w:val="24"/>
        <w:szCs w:val="24"/>
      </w:rPr>
    </w:lvl>
    <w:lvl w:ilvl="7">
      <w:start w:val="1"/>
      <w:numFmt w:val="upperLetter"/>
      <w:lvlText w:val="%8."/>
      <w:lvlJc w:val="left"/>
      <w:pPr>
        <w:tabs>
          <w:tab w:val="num" w:pos="2913"/>
        </w:tabs>
        <w:ind w:left="2913" w:hanging="393"/>
      </w:pPr>
      <w:rPr>
        <w:rFonts w:ascii="Arial" w:eastAsia="Arial" w:hAnsi="Arial" w:cs="Arial"/>
        <w:position w:val="0"/>
        <w:sz w:val="24"/>
        <w:szCs w:val="24"/>
      </w:rPr>
    </w:lvl>
    <w:lvl w:ilvl="8">
      <w:start w:val="1"/>
      <w:numFmt w:val="upperLetter"/>
      <w:lvlText w:val="%9."/>
      <w:lvlJc w:val="left"/>
      <w:pPr>
        <w:tabs>
          <w:tab w:val="num" w:pos="1390"/>
        </w:tabs>
        <w:ind w:left="1390" w:hanging="310"/>
      </w:pPr>
      <w:rPr>
        <w:rFonts w:ascii="Arial" w:eastAsia="Arial" w:hAnsi="Arial" w:cs="Arial"/>
        <w:position w:val="0"/>
        <w:sz w:val="24"/>
        <w:szCs w:val="24"/>
      </w:rPr>
    </w:lvl>
  </w:abstractNum>
  <w:abstractNum w:abstractNumId="9">
    <w:nsid w:val="4FC169A3"/>
    <w:multiLevelType w:val="multilevel"/>
    <w:tmpl w:val="C97AC450"/>
    <w:styleLink w:val="List13"/>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0">
    <w:nsid w:val="559C0563"/>
    <w:multiLevelType w:val="hybridMultilevel"/>
    <w:tmpl w:val="ACDAA6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D87A1D"/>
    <w:multiLevelType w:val="hybridMultilevel"/>
    <w:tmpl w:val="F5347540"/>
    <w:lvl w:ilvl="0" w:tplc="94027D3A">
      <w:start w:val="1"/>
      <w:numFmt w:val="decimal"/>
      <w:lvlText w:val="(%1)"/>
      <w:lvlJc w:val="left"/>
      <w:pPr>
        <w:ind w:left="1369" w:hanging="360"/>
      </w:pPr>
      <w:rPr>
        <w:rFonts w:hint="default"/>
      </w:rPr>
    </w:lvl>
    <w:lvl w:ilvl="1" w:tplc="10090019" w:tentative="1">
      <w:start w:val="1"/>
      <w:numFmt w:val="lowerLetter"/>
      <w:lvlText w:val="%2."/>
      <w:lvlJc w:val="left"/>
      <w:pPr>
        <w:ind w:left="1659" w:hanging="360"/>
      </w:pPr>
    </w:lvl>
    <w:lvl w:ilvl="2" w:tplc="1009001B" w:tentative="1">
      <w:start w:val="1"/>
      <w:numFmt w:val="lowerRoman"/>
      <w:lvlText w:val="%3."/>
      <w:lvlJc w:val="right"/>
      <w:pPr>
        <w:ind w:left="2379" w:hanging="180"/>
      </w:pPr>
    </w:lvl>
    <w:lvl w:ilvl="3" w:tplc="1009000F" w:tentative="1">
      <w:start w:val="1"/>
      <w:numFmt w:val="decimal"/>
      <w:lvlText w:val="%4."/>
      <w:lvlJc w:val="left"/>
      <w:pPr>
        <w:ind w:left="3099" w:hanging="360"/>
      </w:pPr>
    </w:lvl>
    <w:lvl w:ilvl="4" w:tplc="10090019" w:tentative="1">
      <w:start w:val="1"/>
      <w:numFmt w:val="lowerLetter"/>
      <w:lvlText w:val="%5."/>
      <w:lvlJc w:val="left"/>
      <w:pPr>
        <w:ind w:left="3819" w:hanging="360"/>
      </w:pPr>
    </w:lvl>
    <w:lvl w:ilvl="5" w:tplc="1009001B" w:tentative="1">
      <w:start w:val="1"/>
      <w:numFmt w:val="lowerRoman"/>
      <w:lvlText w:val="%6."/>
      <w:lvlJc w:val="right"/>
      <w:pPr>
        <w:ind w:left="4539" w:hanging="180"/>
      </w:pPr>
    </w:lvl>
    <w:lvl w:ilvl="6" w:tplc="1009000F" w:tentative="1">
      <w:start w:val="1"/>
      <w:numFmt w:val="decimal"/>
      <w:lvlText w:val="%7."/>
      <w:lvlJc w:val="left"/>
      <w:pPr>
        <w:ind w:left="5259" w:hanging="360"/>
      </w:pPr>
    </w:lvl>
    <w:lvl w:ilvl="7" w:tplc="10090019" w:tentative="1">
      <w:start w:val="1"/>
      <w:numFmt w:val="lowerLetter"/>
      <w:lvlText w:val="%8."/>
      <w:lvlJc w:val="left"/>
      <w:pPr>
        <w:ind w:left="5979" w:hanging="360"/>
      </w:pPr>
    </w:lvl>
    <w:lvl w:ilvl="8" w:tplc="1009001B" w:tentative="1">
      <w:start w:val="1"/>
      <w:numFmt w:val="lowerRoman"/>
      <w:lvlText w:val="%9."/>
      <w:lvlJc w:val="right"/>
      <w:pPr>
        <w:ind w:left="6699" w:hanging="180"/>
      </w:pPr>
    </w:lvl>
  </w:abstractNum>
  <w:abstractNum w:abstractNumId="12">
    <w:nsid w:val="570E7B23"/>
    <w:multiLevelType w:val="multilevel"/>
    <w:tmpl w:val="879619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9F41C79"/>
    <w:multiLevelType w:val="multilevel"/>
    <w:tmpl w:val="C2FCE938"/>
    <w:lvl w:ilvl="0">
      <w:start w:val="1"/>
      <w:numFmt w:val="decimal"/>
      <w:pStyle w:val="Mainparagraph"/>
      <w:lvlText w:val="[%1]     "/>
      <w:lvlJc w:val="left"/>
      <w:pPr>
        <w:tabs>
          <w:tab w:val="num" w:pos="2340"/>
        </w:tabs>
      </w:pPr>
      <w:rPr>
        <w:b w:val="0"/>
        <w:sz w:val="26"/>
        <w:szCs w:val="26"/>
      </w:rPr>
    </w:lvl>
    <w:lvl w:ilvl="1">
      <w:start w:val="1"/>
      <w:numFmt w:val="none"/>
      <w:pStyle w:val="Doubleindent-quote"/>
      <w:lvlText w:val="%2"/>
      <w:lvlJc w:val="left"/>
      <w:pPr>
        <w:tabs>
          <w:tab w:val="num" w:pos="720"/>
        </w:tabs>
        <w:ind w:left="720" w:hanging="720"/>
      </w:pPr>
    </w:lvl>
    <w:lvl w:ilvl="2">
      <w:start w:val="1"/>
      <w:numFmt w:val="lowerLetter"/>
      <w:lvlText w:val="%3)"/>
      <w:lvlJc w:val="left"/>
      <w:pPr>
        <w:tabs>
          <w:tab w:val="num" w:pos="1296"/>
        </w:tabs>
        <w:ind w:left="1296" w:hanging="576"/>
      </w:pPr>
    </w:lvl>
    <w:lvl w:ilvl="3">
      <w:start w:val="1"/>
      <w:numFmt w:val="decimal"/>
      <w:lvlText w:val="%4)"/>
      <w:lvlJc w:val="left"/>
      <w:pPr>
        <w:tabs>
          <w:tab w:val="num" w:pos="1080"/>
        </w:tabs>
        <w:ind w:left="720"/>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numFmt w:val="decimal"/>
      <w:lvlText w:val=""/>
      <w:lvlJc w:val="left"/>
      <w:pPr>
        <w:tabs>
          <w:tab w:val="num" w:pos="0"/>
        </w:tabs>
      </w:pPr>
    </w:lvl>
  </w:abstractNum>
  <w:abstractNum w:abstractNumId="14">
    <w:nsid w:val="5A7C07B6"/>
    <w:multiLevelType w:val="multilevel"/>
    <w:tmpl w:val="0F267CB6"/>
    <w:styleLink w:val="List513"/>
    <w:lvl w:ilvl="0">
      <w:start w:val="155"/>
      <w:numFmt w:val="decimal"/>
      <w:lvlText w:val="%1."/>
      <w:lvlJc w:val="left"/>
      <w:pPr>
        <w:tabs>
          <w:tab w:val="num" w:pos="555"/>
        </w:tabs>
        <w:ind w:left="555" w:hanging="555"/>
      </w:pPr>
      <w:rPr>
        <w:rFonts w:ascii="Arial" w:eastAsia="Arial" w:hAnsi="Arial" w:cs="Arial"/>
        <w:position w:val="0"/>
        <w:sz w:val="24"/>
        <w:szCs w:val="24"/>
      </w:rPr>
    </w:lvl>
    <w:lvl w:ilvl="1">
      <w:start w:val="1"/>
      <w:numFmt w:val="decimal"/>
      <w:lvlText w:val="%2."/>
      <w:lvlJc w:val="left"/>
      <w:pPr>
        <w:tabs>
          <w:tab w:val="num" w:pos="116"/>
        </w:tabs>
      </w:pPr>
      <w:rPr>
        <w:rFonts w:ascii="Arial" w:eastAsia="Arial" w:hAnsi="Arial" w:cs="Arial"/>
        <w:position w:val="0"/>
        <w:sz w:val="24"/>
        <w:szCs w:val="24"/>
      </w:rPr>
    </w:lvl>
    <w:lvl w:ilvl="2">
      <w:start w:val="1"/>
      <w:numFmt w:val="lowerRoman"/>
      <w:lvlText w:val="%3."/>
      <w:lvlJc w:val="left"/>
      <w:pPr>
        <w:tabs>
          <w:tab w:val="num" w:pos="116"/>
        </w:tabs>
      </w:pPr>
      <w:rPr>
        <w:rFonts w:ascii="Arial" w:eastAsia="Arial" w:hAnsi="Arial" w:cs="Arial"/>
        <w:position w:val="0"/>
        <w:sz w:val="24"/>
        <w:szCs w:val="24"/>
      </w:rPr>
    </w:lvl>
    <w:lvl w:ilvl="3">
      <w:start w:val="1"/>
      <w:numFmt w:val="decimal"/>
      <w:lvlText w:val="%4."/>
      <w:lvlJc w:val="left"/>
      <w:pPr>
        <w:tabs>
          <w:tab w:val="num" w:pos="116"/>
        </w:tabs>
      </w:pPr>
      <w:rPr>
        <w:rFonts w:ascii="Arial" w:eastAsia="Arial" w:hAnsi="Arial" w:cs="Arial"/>
        <w:position w:val="0"/>
        <w:sz w:val="24"/>
        <w:szCs w:val="24"/>
      </w:rPr>
    </w:lvl>
    <w:lvl w:ilvl="4">
      <w:start w:val="1"/>
      <w:numFmt w:val="lowerLetter"/>
      <w:lvlText w:val="%5."/>
      <w:lvlJc w:val="left"/>
      <w:pPr>
        <w:tabs>
          <w:tab w:val="num" w:pos="116"/>
        </w:tabs>
      </w:pPr>
      <w:rPr>
        <w:rFonts w:ascii="Arial" w:eastAsia="Arial" w:hAnsi="Arial" w:cs="Arial"/>
        <w:position w:val="0"/>
        <w:sz w:val="24"/>
        <w:szCs w:val="24"/>
      </w:rPr>
    </w:lvl>
    <w:lvl w:ilvl="5">
      <w:start w:val="1"/>
      <w:numFmt w:val="lowerRoman"/>
      <w:lvlText w:val="%6."/>
      <w:lvlJc w:val="left"/>
      <w:pPr>
        <w:tabs>
          <w:tab w:val="num" w:pos="116"/>
        </w:tabs>
      </w:pPr>
      <w:rPr>
        <w:rFonts w:ascii="Arial" w:eastAsia="Arial" w:hAnsi="Arial" w:cs="Arial"/>
        <w:position w:val="0"/>
        <w:sz w:val="24"/>
        <w:szCs w:val="24"/>
      </w:rPr>
    </w:lvl>
    <w:lvl w:ilvl="6">
      <w:start w:val="1"/>
      <w:numFmt w:val="decimal"/>
      <w:lvlText w:val="%7."/>
      <w:lvlJc w:val="left"/>
      <w:pPr>
        <w:tabs>
          <w:tab w:val="num" w:pos="116"/>
        </w:tabs>
      </w:pPr>
      <w:rPr>
        <w:rFonts w:ascii="Arial" w:eastAsia="Arial" w:hAnsi="Arial" w:cs="Arial"/>
        <w:position w:val="0"/>
        <w:sz w:val="24"/>
        <w:szCs w:val="24"/>
      </w:rPr>
    </w:lvl>
    <w:lvl w:ilvl="7">
      <w:start w:val="1"/>
      <w:numFmt w:val="lowerLetter"/>
      <w:lvlText w:val="%8."/>
      <w:lvlJc w:val="left"/>
      <w:pPr>
        <w:tabs>
          <w:tab w:val="num" w:pos="116"/>
        </w:tabs>
      </w:pPr>
      <w:rPr>
        <w:rFonts w:ascii="Arial" w:eastAsia="Arial" w:hAnsi="Arial" w:cs="Arial"/>
        <w:position w:val="0"/>
        <w:sz w:val="24"/>
        <w:szCs w:val="24"/>
      </w:rPr>
    </w:lvl>
    <w:lvl w:ilvl="8">
      <w:start w:val="1"/>
      <w:numFmt w:val="lowerRoman"/>
      <w:lvlText w:val="%9."/>
      <w:lvlJc w:val="left"/>
      <w:pPr>
        <w:tabs>
          <w:tab w:val="num" w:pos="116"/>
        </w:tabs>
      </w:pPr>
      <w:rPr>
        <w:rFonts w:ascii="Arial" w:eastAsia="Arial" w:hAnsi="Arial" w:cs="Arial"/>
        <w:position w:val="0"/>
        <w:sz w:val="24"/>
        <w:szCs w:val="24"/>
      </w:rPr>
    </w:lvl>
  </w:abstractNum>
  <w:abstractNum w:abstractNumId="15">
    <w:nsid w:val="5F494031"/>
    <w:multiLevelType w:val="hybridMultilevel"/>
    <w:tmpl w:val="26C2452A"/>
    <w:lvl w:ilvl="0" w:tplc="9AD6ABA4">
      <w:start w:val="1"/>
      <w:numFmt w:val="decimal"/>
      <w:lvlText w:val="%1)"/>
      <w:lvlJc w:val="left"/>
      <w:pPr>
        <w:ind w:left="1070" w:hanging="360"/>
      </w:pPr>
      <w:rPr>
        <w:rFonts w:hint="default"/>
        <w:b w:val="0"/>
        <w:color w:val="000000" w:themeColor="text1"/>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62D560DB"/>
    <w:multiLevelType w:val="hybridMultilevel"/>
    <w:tmpl w:val="767E35A8"/>
    <w:lvl w:ilvl="0" w:tplc="9AD6ABA4">
      <w:start w:val="1"/>
      <w:numFmt w:val="decimal"/>
      <w:lvlText w:val="%1)"/>
      <w:lvlJc w:val="left"/>
      <w:pPr>
        <w:ind w:left="360" w:hanging="360"/>
      </w:pPr>
      <w:rPr>
        <w:rFonts w:hint="default"/>
        <w:b w:val="0"/>
        <w:color w:val="000000" w:themeColor="text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67296852"/>
    <w:multiLevelType w:val="hybridMultilevel"/>
    <w:tmpl w:val="1FFEADA0"/>
    <w:lvl w:ilvl="0" w:tplc="539E6FD8">
      <w:start w:val="1"/>
      <w:numFmt w:val="decimal"/>
      <w:pStyle w:val="NUMBEREDParagraph"/>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6D0074D4"/>
    <w:multiLevelType w:val="hybridMultilevel"/>
    <w:tmpl w:val="1624D578"/>
    <w:lvl w:ilvl="0" w:tplc="9AD6ABA4">
      <w:start w:val="1"/>
      <w:numFmt w:val="decimal"/>
      <w:lvlText w:val="%1)"/>
      <w:lvlJc w:val="left"/>
      <w:pPr>
        <w:ind w:left="360" w:hanging="360"/>
      </w:pPr>
      <w:rPr>
        <w:rFonts w:hint="default"/>
        <w:b w:val="0"/>
        <w:color w:val="000000" w:themeColor="text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6D0655E9"/>
    <w:multiLevelType w:val="hybridMultilevel"/>
    <w:tmpl w:val="49687C5E"/>
    <w:styleLink w:val="List512"/>
    <w:lvl w:ilvl="0" w:tplc="46721834">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D8C71FA"/>
    <w:multiLevelType w:val="hybridMultilevel"/>
    <w:tmpl w:val="FBEC4DFC"/>
    <w:lvl w:ilvl="0" w:tplc="1A601B6E">
      <w:start w:val="1"/>
      <w:numFmt w:val="lowerLetter"/>
      <w:lvlText w:val="(%1)"/>
      <w:lvlJc w:val="left"/>
      <w:pPr>
        <w:ind w:left="928" w:hanging="360"/>
      </w:pPr>
      <w:rPr>
        <w:rFonts w:hint="default"/>
      </w:rPr>
    </w:lvl>
    <w:lvl w:ilvl="1" w:tplc="10090019" w:tentative="1">
      <w:start w:val="1"/>
      <w:numFmt w:val="lowerLetter"/>
      <w:lvlText w:val="%2."/>
      <w:lvlJc w:val="left"/>
      <w:pPr>
        <w:ind w:left="1648" w:hanging="360"/>
      </w:pPr>
    </w:lvl>
    <w:lvl w:ilvl="2" w:tplc="1009001B" w:tentative="1">
      <w:start w:val="1"/>
      <w:numFmt w:val="lowerRoman"/>
      <w:lvlText w:val="%3."/>
      <w:lvlJc w:val="right"/>
      <w:pPr>
        <w:ind w:left="2368" w:hanging="180"/>
      </w:pPr>
    </w:lvl>
    <w:lvl w:ilvl="3" w:tplc="1009000F" w:tentative="1">
      <w:start w:val="1"/>
      <w:numFmt w:val="decimal"/>
      <w:lvlText w:val="%4."/>
      <w:lvlJc w:val="left"/>
      <w:pPr>
        <w:ind w:left="3088" w:hanging="360"/>
      </w:pPr>
    </w:lvl>
    <w:lvl w:ilvl="4" w:tplc="10090019" w:tentative="1">
      <w:start w:val="1"/>
      <w:numFmt w:val="lowerLetter"/>
      <w:lvlText w:val="%5."/>
      <w:lvlJc w:val="left"/>
      <w:pPr>
        <w:ind w:left="3808" w:hanging="360"/>
      </w:pPr>
    </w:lvl>
    <w:lvl w:ilvl="5" w:tplc="1009001B" w:tentative="1">
      <w:start w:val="1"/>
      <w:numFmt w:val="lowerRoman"/>
      <w:lvlText w:val="%6."/>
      <w:lvlJc w:val="right"/>
      <w:pPr>
        <w:ind w:left="4528" w:hanging="180"/>
      </w:pPr>
    </w:lvl>
    <w:lvl w:ilvl="6" w:tplc="1009000F" w:tentative="1">
      <w:start w:val="1"/>
      <w:numFmt w:val="decimal"/>
      <w:lvlText w:val="%7."/>
      <w:lvlJc w:val="left"/>
      <w:pPr>
        <w:ind w:left="5248" w:hanging="360"/>
      </w:pPr>
    </w:lvl>
    <w:lvl w:ilvl="7" w:tplc="10090019" w:tentative="1">
      <w:start w:val="1"/>
      <w:numFmt w:val="lowerLetter"/>
      <w:lvlText w:val="%8."/>
      <w:lvlJc w:val="left"/>
      <w:pPr>
        <w:ind w:left="5968" w:hanging="360"/>
      </w:pPr>
    </w:lvl>
    <w:lvl w:ilvl="8" w:tplc="1009001B" w:tentative="1">
      <w:start w:val="1"/>
      <w:numFmt w:val="lowerRoman"/>
      <w:lvlText w:val="%9."/>
      <w:lvlJc w:val="right"/>
      <w:pPr>
        <w:ind w:left="6688" w:hanging="180"/>
      </w:pPr>
    </w:lvl>
  </w:abstractNum>
  <w:abstractNum w:abstractNumId="21">
    <w:nsid w:val="70D44ED9"/>
    <w:multiLevelType w:val="hybridMultilevel"/>
    <w:tmpl w:val="0B0E8718"/>
    <w:lvl w:ilvl="0" w:tplc="BB34555C">
      <w:start w:val="17"/>
      <w:numFmt w:val="decimal"/>
      <w:lvlText w:val="%1."/>
      <w:lvlJc w:val="left"/>
      <w:pPr>
        <w:ind w:left="1080" w:hanging="360"/>
      </w:pPr>
      <w:rPr>
        <w:rFonts w:eastAsia="Arial Unicode MS" w:hAnsi="Arial Unicode MS" w:cs="Arial Unicode M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7"/>
  </w:num>
  <w:num w:numId="2">
    <w:abstractNumId w:val="13"/>
  </w:num>
  <w:num w:numId="3">
    <w:abstractNumId w:val="19"/>
  </w:num>
  <w:num w:numId="4">
    <w:abstractNumId w:val="0"/>
  </w:num>
  <w:num w:numId="5">
    <w:abstractNumId w:val="15"/>
  </w:num>
  <w:num w:numId="6">
    <w:abstractNumId w:val="20"/>
  </w:num>
  <w:num w:numId="7">
    <w:abstractNumId w:val="11"/>
  </w:num>
  <w:num w:numId="8">
    <w:abstractNumId w:val="5"/>
  </w:num>
  <w:num w:numId="9">
    <w:abstractNumId w:val="16"/>
  </w:num>
  <w:num w:numId="10">
    <w:abstractNumId w:val="7"/>
  </w:num>
  <w:num w:numId="11">
    <w:abstractNumId w:val="9"/>
  </w:num>
  <w:num w:numId="12">
    <w:abstractNumId w:val="8"/>
  </w:num>
  <w:num w:numId="13">
    <w:abstractNumId w:val="14"/>
  </w:num>
  <w:num w:numId="14">
    <w:abstractNumId w:val="21"/>
  </w:num>
  <w:num w:numId="15">
    <w:abstractNumId w:val="18"/>
  </w:num>
  <w:num w:numId="16">
    <w:abstractNumId w:val="2"/>
  </w:num>
  <w:num w:numId="17">
    <w:abstractNumId w:val="12"/>
  </w:num>
  <w:num w:numId="18">
    <w:abstractNumId w:val="1"/>
  </w:num>
  <w:num w:numId="19">
    <w:abstractNumId w:val="6"/>
  </w:num>
  <w:num w:numId="20">
    <w:abstractNumId w:val="4"/>
  </w:num>
  <w:num w:numId="21">
    <w:abstractNumId w:val="3"/>
  </w:num>
  <w:num w:numId="22">
    <w:abstractNumId w:val="10"/>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lvlOverride w:ilvl="0">
      <w:startOverride w:val="14"/>
    </w:lvlOverride>
  </w:num>
  <w:num w:numId="42">
    <w:abstractNumId w:val="4"/>
    <w:lvlOverride w:ilvl="0">
      <w:startOverride w:val="14"/>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86"/>
    <w:rsid w:val="0000288F"/>
    <w:rsid w:val="00003EA7"/>
    <w:rsid w:val="00004D94"/>
    <w:rsid w:val="00006954"/>
    <w:rsid w:val="00007A11"/>
    <w:rsid w:val="000105EC"/>
    <w:rsid w:val="00010B7A"/>
    <w:rsid w:val="00010D45"/>
    <w:rsid w:val="000119C7"/>
    <w:rsid w:val="000123B8"/>
    <w:rsid w:val="0001313A"/>
    <w:rsid w:val="00013A91"/>
    <w:rsid w:val="00014451"/>
    <w:rsid w:val="00014D97"/>
    <w:rsid w:val="00015862"/>
    <w:rsid w:val="000160C5"/>
    <w:rsid w:val="00016852"/>
    <w:rsid w:val="000169CA"/>
    <w:rsid w:val="000173D4"/>
    <w:rsid w:val="00017471"/>
    <w:rsid w:val="0001785E"/>
    <w:rsid w:val="00020BAA"/>
    <w:rsid w:val="000228B2"/>
    <w:rsid w:val="00025972"/>
    <w:rsid w:val="00026AB7"/>
    <w:rsid w:val="0002772F"/>
    <w:rsid w:val="000279B5"/>
    <w:rsid w:val="000304C3"/>
    <w:rsid w:val="000304D7"/>
    <w:rsid w:val="0003146D"/>
    <w:rsid w:val="00031D28"/>
    <w:rsid w:val="00033055"/>
    <w:rsid w:val="000337B5"/>
    <w:rsid w:val="000342D6"/>
    <w:rsid w:val="000362BD"/>
    <w:rsid w:val="00036F8B"/>
    <w:rsid w:val="00040563"/>
    <w:rsid w:val="0004168E"/>
    <w:rsid w:val="00043988"/>
    <w:rsid w:val="00044877"/>
    <w:rsid w:val="00045446"/>
    <w:rsid w:val="00047160"/>
    <w:rsid w:val="00047A60"/>
    <w:rsid w:val="00050FF4"/>
    <w:rsid w:val="00051AA7"/>
    <w:rsid w:val="00051B05"/>
    <w:rsid w:val="000528C8"/>
    <w:rsid w:val="00054A5B"/>
    <w:rsid w:val="000564E3"/>
    <w:rsid w:val="000572EF"/>
    <w:rsid w:val="0005751B"/>
    <w:rsid w:val="00060C93"/>
    <w:rsid w:val="0006118B"/>
    <w:rsid w:val="00063B3F"/>
    <w:rsid w:val="00063E93"/>
    <w:rsid w:val="00064712"/>
    <w:rsid w:val="00066FE7"/>
    <w:rsid w:val="0006783D"/>
    <w:rsid w:val="0007004F"/>
    <w:rsid w:val="0007283D"/>
    <w:rsid w:val="000729B9"/>
    <w:rsid w:val="00072D7E"/>
    <w:rsid w:val="000739D4"/>
    <w:rsid w:val="0008264B"/>
    <w:rsid w:val="00082EB0"/>
    <w:rsid w:val="000842DF"/>
    <w:rsid w:val="00085AE7"/>
    <w:rsid w:val="00086683"/>
    <w:rsid w:val="00091EDF"/>
    <w:rsid w:val="00091F82"/>
    <w:rsid w:val="000923E4"/>
    <w:rsid w:val="000941C2"/>
    <w:rsid w:val="00094888"/>
    <w:rsid w:val="00094BD0"/>
    <w:rsid w:val="00095AAB"/>
    <w:rsid w:val="00095E39"/>
    <w:rsid w:val="000A0193"/>
    <w:rsid w:val="000A1E86"/>
    <w:rsid w:val="000A4578"/>
    <w:rsid w:val="000A4B11"/>
    <w:rsid w:val="000A4D9C"/>
    <w:rsid w:val="000A5E25"/>
    <w:rsid w:val="000A6142"/>
    <w:rsid w:val="000A7074"/>
    <w:rsid w:val="000B0772"/>
    <w:rsid w:val="000B0823"/>
    <w:rsid w:val="000B2A49"/>
    <w:rsid w:val="000B341D"/>
    <w:rsid w:val="000B371B"/>
    <w:rsid w:val="000B6221"/>
    <w:rsid w:val="000B685E"/>
    <w:rsid w:val="000B7CF7"/>
    <w:rsid w:val="000C1BE4"/>
    <w:rsid w:val="000C2DA1"/>
    <w:rsid w:val="000C425B"/>
    <w:rsid w:val="000C43C5"/>
    <w:rsid w:val="000C4637"/>
    <w:rsid w:val="000C5654"/>
    <w:rsid w:val="000C5A73"/>
    <w:rsid w:val="000C633A"/>
    <w:rsid w:val="000D4C21"/>
    <w:rsid w:val="000D5BD3"/>
    <w:rsid w:val="000D61E3"/>
    <w:rsid w:val="000E2C4F"/>
    <w:rsid w:val="000E4114"/>
    <w:rsid w:val="000E52B0"/>
    <w:rsid w:val="000E5AA8"/>
    <w:rsid w:val="000E5E9F"/>
    <w:rsid w:val="000E6253"/>
    <w:rsid w:val="000E66C8"/>
    <w:rsid w:val="000F0330"/>
    <w:rsid w:val="000F0DC1"/>
    <w:rsid w:val="000F2648"/>
    <w:rsid w:val="000F2C48"/>
    <w:rsid w:val="000F481F"/>
    <w:rsid w:val="000F524E"/>
    <w:rsid w:val="000F67BF"/>
    <w:rsid w:val="00101A0E"/>
    <w:rsid w:val="00101B9E"/>
    <w:rsid w:val="001020A0"/>
    <w:rsid w:val="00102645"/>
    <w:rsid w:val="0010330F"/>
    <w:rsid w:val="00103B86"/>
    <w:rsid w:val="001042CB"/>
    <w:rsid w:val="001067E7"/>
    <w:rsid w:val="0010701B"/>
    <w:rsid w:val="00112360"/>
    <w:rsid w:val="00113004"/>
    <w:rsid w:val="001134AA"/>
    <w:rsid w:val="0011454F"/>
    <w:rsid w:val="001152A2"/>
    <w:rsid w:val="00116282"/>
    <w:rsid w:val="001164D8"/>
    <w:rsid w:val="00117D36"/>
    <w:rsid w:val="00120312"/>
    <w:rsid w:val="00121820"/>
    <w:rsid w:val="00123151"/>
    <w:rsid w:val="00124889"/>
    <w:rsid w:val="0012520F"/>
    <w:rsid w:val="001301E3"/>
    <w:rsid w:val="00130AC9"/>
    <w:rsid w:val="001313A1"/>
    <w:rsid w:val="00131420"/>
    <w:rsid w:val="001314E9"/>
    <w:rsid w:val="00131B8D"/>
    <w:rsid w:val="001350A6"/>
    <w:rsid w:val="00136E55"/>
    <w:rsid w:val="001418BF"/>
    <w:rsid w:val="001423F7"/>
    <w:rsid w:val="00142A4B"/>
    <w:rsid w:val="001436DC"/>
    <w:rsid w:val="00144537"/>
    <w:rsid w:val="0014470D"/>
    <w:rsid w:val="0014502B"/>
    <w:rsid w:val="00145C49"/>
    <w:rsid w:val="00146B6E"/>
    <w:rsid w:val="00147DBC"/>
    <w:rsid w:val="00150E2B"/>
    <w:rsid w:val="001513D5"/>
    <w:rsid w:val="00152D3E"/>
    <w:rsid w:val="00152FB6"/>
    <w:rsid w:val="00155356"/>
    <w:rsid w:val="00156C97"/>
    <w:rsid w:val="0016058C"/>
    <w:rsid w:val="00164DE4"/>
    <w:rsid w:val="00165570"/>
    <w:rsid w:val="00166599"/>
    <w:rsid w:val="001705F8"/>
    <w:rsid w:val="00170A91"/>
    <w:rsid w:val="00171715"/>
    <w:rsid w:val="001729E9"/>
    <w:rsid w:val="00173844"/>
    <w:rsid w:val="00174476"/>
    <w:rsid w:val="0017453C"/>
    <w:rsid w:val="001750E8"/>
    <w:rsid w:val="001768D0"/>
    <w:rsid w:val="001770B5"/>
    <w:rsid w:val="00180C92"/>
    <w:rsid w:val="00181ADC"/>
    <w:rsid w:val="00182217"/>
    <w:rsid w:val="0018235A"/>
    <w:rsid w:val="0018483D"/>
    <w:rsid w:val="00184E09"/>
    <w:rsid w:val="0018560F"/>
    <w:rsid w:val="001859CF"/>
    <w:rsid w:val="0018667B"/>
    <w:rsid w:val="001872ED"/>
    <w:rsid w:val="0018746D"/>
    <w:rsid w:val="00190AEE"/>
    <w:rsid w:val="001914DE"/>
    <w:rsid w:val="0019337E"/>
    <w:rsid w:val="00195B0D"/>
    <w:rsid w:val="00196276"/>
    <w:rsid w:val="0019678E"/>
    <w:rsid w:val="001974DE"/>
    <w:rsid w:val="00197E45"/>
    <w:rsid w:val="001A10C3"/>
    <w:rsid w:val="001A16C9"/>
    <w:rsid w:val="001A2182"/>
    <w:rsid w:val="001A315D"/>
    <w:rsid w:val="001A4C8B"/>
    <w:rsid w:val="001A6D33"/>
    <w:rsid w:val="001B00C6"/>
    <w:rsid w:val="001B1460"/>
    <w:rsid w:val="001B3B58"/>
    <w:rsid w:val="001B3F67"/>
    <w:rsid w:val="001B4591"/>
    <w:rsid w:val="001B4B35"/>
    <w:rsid w:val="001B78FE"/>
    <w:rsid w:val="001B79B1"/>
    <w:rsid w:val="001C1541"/>
    <w:rsid w:val="001C1728"/>
    <w:rsid w:val="001C28B6"/>
    <w:rsid w:val="001C6BB1"/>
    <w:rsid w:val="001C6D53"/>
    <w:rsid w:val="001D0061"/>
    <w:rsid w:val="001D12AF"/>
    <w:rsid w:val="001D16CE"/>
    <w:rsid w:val="001D1A07"/>
    <w:rsid w:val="001D2CC5"/>
    <w:rsid w:val="001D43EA"/>
    <w:rsid w:val="001D4735"/>
    <w:rsid w:val="001D610B"/>
    <w:rsid w:val="001D7F3C"/>
    <w:rsid w:val="001E025C"/>
    <w:rsid w:val="001E1129"/>
    <w:rsid w:val="001E1DE2"/>
    <w:rsid w:val="001E2586"/>
    <w:rsid w:val="001E2DD1"/>
    <w:rsid w:val="001E2E58"/>
    <w:rsid w:val="001E3110"/>
    <w:rsid w:val="001E3989"/>
    <w:rsid w:val="001E6EB8"/>
    <w:rsid w:val="001E73A6"/>
    <w:rsid w:val="001F09B4"/>
    <w:rsid w:val="001F137E"/>
    <w:rsid w:val="001F13D9"/>
    <w:rsid w:val="001F1522"/>
    <w:rsid w:val="001F296A"/>
    <w:rsid w:val="001F51FD"/>
    <w:rsid w:val="001F5A88"/>
    <w:rsid w:val="001F5B30"/>
    <w:rsid w:val="001F6009"/>
    <w:rsid w:val="001F741A"/>
    <w:rsid w:val="001F78DF"/>
    <w:rsid w:val="002010D6"/>
    <w:rsid w:val="00201A72"/>
    <w:rsid w:val="00201EC0"/>
    <w:rsid w:val="0020738F"/>
    <w:rsid w:val="002114E2"/>
    <w:rsid w:val="002123E5"/>
    <w:rsid w:val="002131EB"/>
    <w:rsid w:val="0021395C"/>
    <w:rsid w:val="00214C82"/>
    <w:rsid w:val="00214F87"/>
    <w:rsid w:val="00215AD3"/>
    <w:rsid w:val="0021632F"/>
    <w:rsid w:val="0021677F"/>
    <w:rsid w:val="00222706"/>
    <w:rsid w:val="00222F7A"/>
    <w:rsid w:val="0022381C"/>
    <w:rsid w:val="002242F9"/>
    <w:rsid w:val="00225FD8"/>
    <w:rsid w:val="00226054"/>
    <w:rsid w:val="002277FE"/>
    <w:rsid w:val="002278E9"/>
    <w:rsid w:val="002300AB"/>
    <w:rsid w:val="002306C0"/>
    <w:rsid w:val="00230FFD"/>
    <w:rsid w:val="002315C6"/>
    <w:rsid w:val="00236260"/>
    <w:rsid w:val="002363A4"/>
    <w:rsid w:val="002370ED"/>
    <w:rsid w:val="00240AAD"/>
    <w:rsid w:val="00247EBC"/>
    <w:rsid w:val="00250B12"/>
    <w:rsid w:val="002518B9"/>
    <w:rsid w:val="00251F4C"/>
    <w:rsid w:val="002528E9"/>
    <w:rsid w:val="00253A31"/>
    <w:rsid w:val="00254792"/>
    <w:rsid w:val="00254DEC"/>
    <w:rsid w:val="00257D56"/>
    <w:rsid w:val="0026063D"/>
    <w:rsid w:val="00261BB3"/>
    <w:rsid w:val="002622A7"/>
    <w:rsid w:val="002630C9"/>
    <w:rsid w:val="0026524D"/>
    <w:rsid w:val="002668C0"/>
    <w:rsid w:val="002677A9"/>
    <w:rsid w:val="00273CC0"/>
    <w:rsid w:val="002743AE"/>
    <w:rsid w:val="002744CE"/>
    <w:rsid w:val="00274850"/>
    <w:rsid w:val="00276F8A"/>
    <w:rsid w:val="00280BB0"/>
    <w:rsid w:val="002817B3"/>
    <w:rsid w:val="00281A52"/>
    <w:rsid w:val="002825C9"/>
    <w:rsid w:val="0028339D"/>
    <w:rsid w:val="002841A6"/>
    <w:rsid w:val="00284B2A"/>
    <w:rsid w:val="002864AA"/>
    <w:rsid w:val="00286552"/>
    <w:rsid w:val="002873FD"/>
    <w:rsid w:val="00287F67"/>
    <w:rsid w:val="002903BD"/>
    <w:rsid w:val="002950DE"/>
    <w:rsid w:val="00295BED"/>
    <w:rsid w:val="0029609B"/>
    <w:rsid w:val="00297357"/>
    <w:rsid w:val="002A0FCA"/>
    <w:rsid w:val="002A3AA0"/>
    <w:rsid w:val="002A3D36"/>
    <w:rsid w:val="002A50D6"/>
    <w:rsid w:val="002A681B"/>
    <w:rsid w:val="002A6916"/>
    <w:rsid w:val="002A6939"/>
    <w:rsid w:val="002A7021"/>
    <w:rsid w:val="002A7431"/>
    <w:rsid w:val="002A7FDB"/>
    <w:rsid w:val="002B3A22"/>
    <w:rsid w:val="002B3D64"/>
    <w:rsid w:val="002B4C3F"/>
    <w:rsid w:val="002B547A"/>
    <w:rsid w:val="002B7FBC"/>
    <w:rsid w:val="002C1A24"/>
    <w:rsid w:val="002C2A92"/>
    <w:rsid w:val="002C4383"/>
    <w:rsid w:val="002C5A0D"/>
    <w:rsid w:val="002C5E41"/>
    <w:rsid w:val="002D02E3"/>
    <w:rsid w:val="002D0B90"/>
    <w:rsid w:val="002D1A17"/>
    <w:rsid w:val="002D1F64"/>
    <w:rsid w:val="002D401B"/>
    <w:rsid w:val="002D6233"/>
    <w:rsid w:val="002D6BF1"/>
    <w:rsid w:val="002E196F"/>
    <w:rsid w:val="002E2812"/>
    <w:rsid w:val="002E3C87"/>
    <w:rsid w:val="002E7FCF"/>
    <w:rsid w:val="002F0C9D"/>
    <w:rsid w:val="002F2E9C"/>
    <w:rsid w:val="002F3725"/>
    <w:rsid w:val="002F6977"/>
    <w:rsid w:val="002F7A3E"/>
    <w:rsid w:val="00301C09"/>
    <w:rsid w:val="00301FE7"/>
    <w:rsid w:val="00303CA5"/>
    <w:rsid w:val="00310E08"/>
    <w:rsid w:val="00313CD2"/>
    <w:rsid w:val="00315080"/>
    <w:rsid w:val="00316286"/>
    <w:rsid w:val="003179B1"/>
    <w:rsid w:val="00320939"/>
    <w:rsid w:val="003218F5"/>
    <w:rsid w:val="00325E0E"/>
    <w:rsid w:val="003271C8"/>
    <w:rsid w:val="00327383"/>
    <w:rsid w:val="00330192"/>
    <w:rsid w:val="00330613"/>
    <w:rsid w:val="0033091B"/>
    <w:rsid w:val="00331C04"/>
    <w:rsid w:val="00331E07"/>
    <w:rsid w:val="00332F78"/>
    <w:rsid w:val="00335050"/>
    <w:rsid w:val="00336373"/>
    <w:rsid w:val="00336A81"/>
    <w:rsid w:val="00341AF8"/>
    <w:rsid w:val="00343B53"/>
    <w:rsid w:val="00343F15"/>
    <w:rsid w:val="00345BAE"/>
    <w:rsid w:val="00345F06"/>
    <w:rsid w:val="00346585"/>
    <w:rsid w:val="00347100"/>
    <w:rsid w:val="00350655"/>
    <w:rsid w:val="00357BA4"/>
    <w:rsid w:val="00361515"/>
    <w:rsid w:val="00365C6E"/>
    <w:rsid w:val="0037069A"/>
    <w:rsid w:val="00371209"/>
    <w:rsid w:val="00371D1A"/>
    <w:rsid w:val="003749CD"/>
    <w:rsid w:val="00375C6D"/>
    <w:rsid w:val="00375C7C"/>
    <w:rsid w:val="00375F58"/>
    <w:rsid w:val="00376660"/>
    <w:rsid w:val="00384D3E"/>
    <w:rsid w:val="003863EE"/>
    <w:rsid w:val="0038797E"/>
    <w:rsid w:val="0039011A"/>
    <w:rsid w:val="00390D08"/>
    <w:rsid w:val="003914AC"/>
    <w:rsid w:val="00391C5A"/>
    <w:rsid w:val="00392DD6"/>
    <w:rsid w:val="0039413F"/>
    <w:rsid w:val="003A2B9A"/>
    <w:rsid w:val="003A59A0"/>
    <w:rsid w:val="003A5D84"/>
    <w:rsid w:val="003A71EA"/>
    <w:rsid w:val="003B0C3F"/>
    <w:rsid w:val="003B1D2B"/>
    <w:rsid w:val="003B53FF"/>
    <w:rsid w:val="003B61E5"/>
    <w:rsid w:val="003C0B63"/>
    <w:rsid w:val="003C1206"/>
    <w:rsid w:val="003C2B41"/>
    <w:rsid w:val="003C2EA0"/>
    <w:rsid w:val="003C39FE"/>
    <w:rsid w:val="003C433E"/>
    <w:rsid w:val="003C4B57"/>
    <w:rsid w:val="003C4F7A"/>
    <w:rsid w:val="003C6924"/>
    <w:rsid w:val="003D07A1"/>
    <w:rsid w:val="003D17DA"/>
    <w:rsid w:val="003D2BE7"/>
    <w:rsid w:val="003D63CE"/>
    <w:rsid w:val="003D7E0D"/>
    <w:rsid w:val="003E47D2"/>
    <w:rsid w:val="003E5589"/>
    <w:rsid w:val="003E5919"/>
    <w:rsid w:val="003E5B63"/>
    <w:rsid w:val="003E5EFF"/>
    <w:rsid w:val="003E6C6C"/>
    <w:rsid w:val="003E72C9"/>
    <w:rsid w:val="003E7543"/>
    <w:rsid w:val="003F0525"/>
    <w:rsid w:val="003F2BB8"/>
    <w:rsid w:val="003F4724"/>
    <w:rsid w:val="003F5C87"/>
    <w:rsid w:val="003F5FE3"/>
    <w:rsid w:val="003F70D9"/>
    <w:rsid w:val="003F7304"/>
    <w:rsid w:val="00403898"/>
    <w:rsid w:val="00404633"/>
    <w:rsid w:val="00406FBD"/>
    <w:rsid w:val="004119B2"/>
    <w:rsid w:val="004126EC"/>
    <w:rsid w:val="00412BA1"/>
    <w:rsid w:val="00412C42"/>
    <w:rsid w:val="00416A18"/>
    <w:rsid w:val="00417961"/>
    <w:rsid w:val="00417DA8"/>
    <w:rsid w:val="004214DE"/>
    <w:rsid w:val="00422809"/>
    <w:rsid w:val="00426347"/>
    <w:rsid w:val="0042723D"/>
    <w:rsid w:val="00430565"/>
    <w:rsid w:val="0043095F"/>
    <w:rsid w:val="004311F5"/>
    <w:rsid w:val="00432376"/>
    <w:rsid w:val="00432B98"/>
    <w:rsid w:val="0043415C"/>
    <w:rsid w:val="00435CD1"/>
    <w:rsid w:val="00437797"/>
    <w:rsid w:val="0043798E"/>
    <w:rsid w:val="00440A35"/>
    <w:rsid w:val="00441DF0"/>
    <w:rsid w:val="0044217D"/>
    <w:rsid w:val="0044231D"/>
    <w:rsid w:val="0044328C"/>
    <w:rsid w:val="00443E09"/>
    <w:rsid w:val="00444708"/>
    <w:rsid w:val="00444D65"/>
    <w:rsid w:val="00445F31"/>
    <w:rsid w:val="00447646"/>
    <w:rsid w:val="00450D15"/>
    <w:rsid w:val="00451EAA"/>
    <w:rsid w:val="0045272E"/>
    <w:rsid w:val="00453429"/>
    <w:rsid w:val="00453444"/>
    <w:rsid w:val="0045363A"/>
    <w:rsid w:val="00454278"/>
    <w:rsid w:val="00454567"/>
    <w:rsid w:val="00455CBB"/>
    <w:rsid w:val="004568FD"/>
    <w:rsid w:val="00460D07"/>
    <w:rsid w:val="00464C05"/>
    <w:rsid w:val="00465046"/>
    <w:rsid w:val="00465FBC"/>
    <w:rsid w:val="00466C8A"/>
    <w:rsid w:val="00467223"/>
    <w:rsid w:val="00467545"/>
    <w:rsid w:val="00470492"/>
    <w:rsid w:val="00471680"/>
    <w:rsid w:val="00474487"/>
    <w:rsid w:val="0047580E"/>
    <w:rsid w:val="0047641A"/>
    <w:rsid w:val="00480EBF"/>
    <w:rsid w:val="0048232E"/>
    <w:rsid w:val="00482CD1"/>
    <w:rsid w:val="00485AE4"/>
    <w:rsid w:val="00491E16"/>
    <w:rsid w:val="004933CC"/>
    <w:rsid w:val="004934AF"/>
    <w:rsid w:val="00496B26"/>
    <w:rsid w:val="00496B45"/>
    <w:rsid w:val="00497715"/>
    <w:rsid w:val="00497B98"/>
    <w:rsid w:val="004A063F"/>
    <w:rsid w:val="004A14B5"/>
    <w:rsid w:val="004A1967"/>
    <w:rsid w:val="004A29E4"/>
    <w:rsid w:val="004A3202"/>
    <w:rsid w:val="004A5B69"/>
    <w:rsid w:val="004A699A"/>
    <w:rsid w:val="004A69A6"/>
    <w:rsid w:val="004B2CE0"/>
    <w:rsid w:val="004B410E"/>
    <w:rsid w:val="004B493E"/>
    <w:rsid w:val="004B542D"/>
    <w:rsid w:val="004B69A3"/>
    <w:rsid w:val="004B71A8"/>
    <w:rsid w:val="004B756E"/>
    <w:rsid w:val="004C023A"/>
    <w:rsid w:val="004C16BB"/>
    <w:rsid w:val="004C3B05"/>
    <w:rsid w:val="004C3F27"/>
    <w:rsid w:val="004C404C"/>
    <w:rsid w:val="004C468D"/>
    <w:rsid w:val="004C646C"/>
    <w:rsid w:val="004C7484"/>
    <w:rsid w:val="004D043C"/>
    <w:rsid w:val="004D1470"/>
    <w:rsid w:val="004D1BAC"/>
    <w:rsid w:val="004D2048"/>
    <w:rsid w:val="004D5B20"/>
    <w:rsid w:val="004D6303"/>
    <w:rsid w:val="004D72A9"/>
    <w:rsid w:val="004D7650"/>
    <w:rsid w:val="004E094C"/>
    <w:rsid w:val="004E0F52"/>
    <w:rsid w:val="004E27CB"/>
    <w:rsid w:val="004E4CF3"/>
    <w:rsid w:val="004E79F9"/>
    <w:rsid w:val="004F292A"/>
    <w:rsid w:val="004F294B"/>
    <w:rsid w:val="004F38AE"/>
    <w:rsid w:val="004F61DA"/>
    <w:rsid w:val="004F685B"/>
    <w:rsid w:val="00500120"/>
    <w:rsid w:val="005003A1"/>
    <w:rsid w:val="00504880"/>
    <w:rsid w:val="005067D2"/>
    <w:rsid w:val="00512753"/>
    <w:rsid w:val="00512E9F"/>
    <w:rsid w:val="005134D2"/>
    <w:rsid w:val="00513E23"/>
    <w:rsid w:val="005155D9"/>
    <w:rsid w:val="00517026"/>
    <w:rsid w:val="00522F37"/>
    <w:rsid w:val="005236B6"/>
    <w:rsid w:val="00524958"/>
    <w:rsid w:val="00524BDB"/>
    <w:rsid w:val="00525D91"/>
    <w:rsid w:val="00526F13"/>
    <w:rsid w:val="005314F7"/>
    <w:rsid w:val="00533B76"/>
    <w:rsid w:val="005345C8"/>
    <w:rsid w:val="005351FA"/>
    <w:rsid w:val="00536AED"/>
    <w:rsid w:val="00540F0E"/>
    <w:rsid w:val="005418E6"/>
    <w:rsid w:val="0054227A"/>
    <w:rsid w:val="00542426"/>
    <w:rsid w:val="005437BC"/>
    <w:rsid w:val="00544D19"/>
    <w:rsid w:val="005456AC"/>
    <w:rsid w:val="005463BB"/>
    <w:rsid w:val="00546804"/>
    <w:rsid w:val="00546902"/>
    <w:rsid w:val="0055037F"/>
    <w:rsid w:val="00550E2E"/>
    <w:rsid w:val="00550E8B"/>
    <w:rsid w:val="005524D3"/>
    <w:rsid w:val="005547B2"/>
    <w:rsid w:val="005549C7"/>
    <w:rsid w:val="005550FB"/>
    <w:rsid w:val="00557532"/>
    <w:rsid w:val="00560257"/>
    <w:rsid w:val="005625AD"/>
    <w:rsid w:val="00562643"/>
    <w:rsid w:val="005629F5"/>
    <w:rsid w:val="00562DBF"/>
    <w:rsid w:val="00564816"/>
    <w:rsid w:val="00564D0A"/>
    <w:rsid w:val="005652EC"/>
    <w:rsid w:val="005653B4"/>
    <w:rsid w:val="0056574F"/>
    <w:rsid w:val="00566C5F"/>
    <w:rsid w:val="00570ACE"/>
    <w:rsid w:val="0057194B"/>
    <w:rsid w:val="00571C81"/>
    <w:rsid w:val="00572692"/>
    <w:rsid w:val="00574AB3"/>
    <w:rsid w:val="00574E64"/>
    <w:rsid w:val="0057617E"/>
    <w:rsid w:val="00577AA5"/>
    <w:rsid w:val="00580EAF"/>
    <w:rsid w:val="0058428F"/>
    <w:rsid w:val="005842E0"/>
    <w:rsid w:val="00584AEC"/>
    <w:rsid w:val="00584AFF"/>
    <w:rsid w:val="00585713"/>
    <w:rsid w:val="00586ADD"/>
    <w:rsid w:val="00587BC4"/>
    <w:rsid w:val="00591914"/>
    <w:rsid w:val="00592216"/>
    <w:rsid w:val="005923D6"/>
    <w:rsid w:val="00593A0F"/>
    <w:rsid w:val="00594095"/>
    <w:rsid w:val="00594A71"/>
    <w:rsid w:val="005A0300"/>
    <w:rsid w:val="005A109D"/>
    <w:rsid w:val="005A3131"/>
    <w:rsid w:val="005A489A"/>
    <w:rsid w:val="005A4CAB"/>
    <w:rsid w:val="005A4FBC"/>
    <w:rsid w:val="005B0E49"/>
    <w:rsid w:val="005B0FB0"/>
    <w:rsid w:val="005B3AB4"/>
    <w:rsid w:val="005B54E7"/>
    <w:rsid w:val="005B6BB9"/>
    <w:rsid w:val="005C3374"/>
    <w:rsid w:val="005C417D"/>
    <w:rsid w:val="005C5734"/>
    <w:rsid w:val="005C69A1"/>
    <w:rsid w:val="005C7A84"/>
    <w:rsid w:val="005C7D06"/>
    <w:rsid w:val="005D08D3"/>
    <w:rsid w:val="005D10C7"/>
    <w:rsid w:val="005D16F2"/>
    <w:rsid w:val="005D2822"/>
    <w:rsid w:val="005D3AB7"/>
    <w:rsid w:val="005D4EB9"/>
    <w:rsid w:val="005D55B9"/>
    <w:rsid w:val="005D6D2C"/>
    <w:rsid w:val="005D7780"/>
    <w:rsid w:val="005E3434"/>
    <w:rsid w:val="005E3B6D"/>
    <w:rsid w:val="005E5B3D"/>
    <w:rsid w:val="005E7FDC"/>
    <w:rsid w:val="005F07E6"/>
    <w:rsid w:val="005F136A"/>
    <w:rsid w:val="005F40B7"/>
    <w:rsid w:val="005F546B"/>
    <w:rsid w:val="005F7F37"/>
    <w:rsid w:val="00601623"/>
    <w:rsid w:val="00602C87"/>
    <w:rsid w:val="00602D3C"/>
    <w:rsid w:val="006038E5"/>
    <w:rsid w:val="00605099"/>
    <w:rsid w:val="006056BB"/>
    <w:rsid w:val="00605734"/>
    <w:rsid w:val="00606952"/>
    <w:rsid w:val="00606FCE"/>
    <w:rsid w:val="00607187"/>
    <w:rsid w:val="006101CF"/>
    <w:rsid w:val="006115EC"/>
    <w:rsid w:val="00611BF6"/>
    <w:rsid w:val="0061371C"/>
    <w:rsid w:val="006143F5"/>
    <w:rsid w:val="006155B9"/>
    <w:rsid w:val="00615C42"/>
    <w:rsid w:val="00615EDA"/>
    <w:rsid w:val="00616098"/>
    <w:rsid w:val="00617258"/>
    <w:rsid w:val="006207A8"/>
    <w:rsid w:val="006223E6"/>
    <w:rsid w:val="0062288D"/>
    <w:rsid w:val="00626D0A"/>
    <w:rsid w:val="00630D93"/>
    <w:rsid w:val="006316F2"/>
    <w:rsid w:val="00632B8F"/>
    <w:rsid w:val="0063331A"/>
    <w:rsid w:val="006334F8"/>
    <w:rsid w:val="00633B04"/>
    <w:rsid w:val="00635686"/>
    <w:rsid w:val="00635BEE"/>
    <w:rsid w:val="00636989"/>
    <w:rsid w:val="00640F7B"/>
    <w:rsid w:val="0064149A"/>
    <w:rsid w:val="00642144"/>
    <w:rsid w:val="00642379"/>
    <w:rsid w:val="006429D1"/>
    <w:rsid w:val="00645242"/>
    <w:rsid w:val="006456EA"/>
    <w:rsid w:val="00646D96"/>
    <w:rsid w:val="00647264"/>
    <w:rsid w:val="00647CDE"/>
    <w:rsid w:val="00650710"/>
    <w:rsid w:val="00653E89"/>
    <w:rsid w:val="00653F5C"/>
    <w:rsid w:val="00654384"/>
    <w:rsid w:val="006578AD"/>
    <w:rsid w:val="006605E3"/>
    <w:rsid w:val="00661593"/>
    <w:rsid w:val="00661CDD"/>
    <w:rsid w:val="00665B55"/>
    <w:rsid w:val="006671A8"/>
    <w:rsid w:val="00667FDF"/>
    <w:rsid w:val="0067021C"/>
    <w:rsid w:val="00671A2C"/>
    <w:rsid w:val="006750AA"/>
    <w:rsid w:val="006760A7"/>
    <w:rsid w:val="00676D96"/>
    <w:rsid w:val="0067752B"/>
    <w:rsid w:val="00680A36"/>
    <w:rsid w:val="00680C3B"/>
    <w:rsid w:val="00681A4D"/>
    <w:rsid w:val="006835FF"/>
    <w:rsid w:val="00685E0F"/>
    <w:rsid w:val="006868B1"/>
    <w:rsid w:val="00687277"/>
    <w:rsid w:val="006876E8"/>
    <w:rsid w:val="00691218"/>
    <w:rsid w:val="00694BCE"/>
    <w:rsid w:val="00694D26"/>
    <w:rsid w:val="00695438"/>
    <w:rsid w:val="0069747F"/>
    <w:rsid w:val="006A0D26"/>
    <w:rsid w:val="006A2941"/>
    <w:rsid w:val="006A3482"/>
    <w:rsid w:val="006A40ED"/>
    <w:rsid w:val="006A4F9C"/>
    <w:rsid w:val="006A6940"/>
    <w:rsid w:val="006B0BF3"/>
    <w:rsid w:val="006B3737"/>
    <w:rsid w:val="006B40ED"/>
    <w:rsid w:val="006B4BEC"/>
    <w:rsid w:val="006B676C"/>
    <w:rsid w:val="006C06E4"/>
    <w:rsid w:val="006C3507"/>
    <w:rsid w:val="006C5808"/>
    <w:rsid w:val="006C6D21"/>
    <w:rsid w:val="006D07B2"/>
    <w:rsid w:val="006D094A"/>
    <w:rsid w:val="006D116F"/>
    <w:rsid w:val="006D1F46"/>
    <w:rsid w:val="006D270E"/>
    <w:rsid w:val="006D6079"/>
    <w:rsid w:val="006D634E"/>
    <w:rsid w:val="006D707C"/>
    <w:rsid w:val="006E0145"/>
    <w:rsid w:val="006E21A0"/>
    <w:rsid w:val="006E2C58"/>
    <w:rsid w:val="006E6ADC"/>
    <w:rsid w:val="006E73CA"/>
    <w:rsid w:val="006E7F5C"/>
    <w:rsid w:val="006F0E3E"/>
    <w:rsid w:val="006F14CF"/>
    <w:rsid w:val="006F2736"/>
    <w:rsid w:val="006F3F3F"/>
    <w:rsid w:val="006F4DB4"/>
    <w:rsid w:val="006F53DB"/>
    <w:rsid w:val="006F57CA"/>
    <w:rsid w:val="006F64C8"/>
    <w:rsid w:val="006F64DB"/>
    <w:rsid w:val="006F6552"/>
    <w:rsid w:val="006F6665"/>
    <w:rsid w:val="007079C2"/>
    <w:rsid w:val="00711677"/>
    <w:rsid w:val="00715934"/>
    <w:rsid w:val="00716A10"/>
    <w:rsid w:val="00717126"/>
    <w:rsid w:val="00717BA3"/>
    <w:rsid w:val="007206ED"/>
    <w:rsid w:val="00721C4C"/>
    <w:rsid w:val="00722F98"/>
    <w:rsid w:val="007239DD"/>
    <w:rsid w:val="007241EE"/>
    <w:rsid w:val="00725E63"/>
    <w:rsid w:val="007266D3"/>
    <w:rsid w:val="00727914"/>
    <w:rsid w:val="007317BD"/>
    <w:rsid w:val="00731997"/>
    <w:rsid w:val="007338F1"/>
    <w:rsid w:val="00733EA0"/>
    <w:rsid w:val="00735572"/>
    <w:rsid w:val="0074477E"/>
    <w:rsid w:val="0074516B"/>
    <w:rsid w:val="0074519F"/>
    <w:rsid w:val="007453B7"/>
    <w:rsid w:val="00747C9E"/>
    <w:rsid w:val="00750952"/>
    <w:rsid w:val="007522B6"/>
    <w:rsid w:val="00755323"/>
    <w:rsid w:val="0075690A"/>
    <w:rsid w:val="007607D1"/>
    <w:rsid w:val="00761545"/>
    <w:rsid w:val="00765BFB"/>
    <w:rsid w:val="0076656E"/>
    <w:rsid w:val="007701DD"/>
    <w:rsid w:val="00773807"/>
    <w:rsid w:val="00775DFE"/>
    <w:rsid w:val="00776B2D"/>
    <w:rsid w:val="00781527"/>
    <w:rsid w:val="007817EF"/>
    <w:rsid w:val="00782803"/>
    <w:rsid w:val="00783390"/>
    <w:rsid w:val="007838B0"/>
    <w:rsid w:val="007838E4"/>
    <w:rsid w:val="00785FE9"/>
    <w:rsid w:val="00787B0A"/>
    <w:rsid w:val="00790935"/>
    <w:rsid w:val="00792F2F"/>
    <w:rsid w:val="00793709"/>
    <w:rsid w:val="00794CF0"/>
    <w:rsid w:val="00794F51"/>
    <w:rsid w:val="00795866"/>
    <w:rsid w:val="00795C24"/>
    <w:rsid w:val="007A073E"/>
    <w:rsid w:val="007A2DAB"/>
    <w:rsid w:val="007A30CB"/>
    <w:rsid w:val="007A3DCC"/>
    <w:rsid w:val="007A3EDD"/>
    <w:rsid w:val="007A3F49"/>
    <w:rsid w:val="007A47C2"/>
    <w:rsid w:val="007A55EE"/>
    <w:rsid w:val="007A5F96"/>
    <w:rsid w:val="007A6725"/>
    <w:rsid w:val="007A69CE"/>
    <w:rsid w:val="007A749F"/>
    <w:rsid w:val="007A7CFD"/>
    <w:rsid w:val="007B19D2"/>
    <w:rsid w:val="007B28A4"/>
    <w:rsid w:val="007B2CAE"/>
    <w:rsid w:val="007B3768"/>
    <w:rsid w:val="007B59E9"/>
    <w:rsid w:val="007B6746"/>
    <w:rsid w:val="007C43E1"/>
    <w:rsid w:val="007C4EC8"/>
    <w:rsid w:val="007C52A0"/>
    <w:rsid w:val="007C613B"/>
    <w:rsid w:val="007C7012"/>
    <w:rsid w:val="007D03FA"/>
    <w:rsid w:val="007D1106"/>
    <w:rsid w:val="007D177D"/>
    <w:rsid w:val="007D21A5"/>
    <w:rsid w:val="007D336E"/>
    <w:rsid w:val="007D4726"/>
    <w:rsid w:val="007D5220"/>
    <w:rsid w:val="007D5956"/>
    <w:rsid w:val="007D669E"/>
    <w:rsid w:val="007D67FC"/>
    <w:rsid w:val="007D7395"/>
    <w:rsid w:val="007E0878"/>
    <w:rsid w:val="007E1A60"/>
    <w:rsid w:val="007E40A0"/>
    <w:rsid w:val="007E5183"/>
    <w:rsid w:val="007E72E4"/>
    <w:rsid w:val="007F1E2A"/>
    <w:rsid w:val="007F1EC7"/>
    <w:rsid w:val="007F27E8"/>
    <w:rsid w:val="007F3A7F"/>
    <w:rsid w:val="007F46CA"/>
    <w:rsid w:val="007F53E3"/>
    <w:rsid w:val="007F6AFB"/>
    <w:rsid w:val="00801C0D"/>
    <w:rsid w:val="00807228"/>
    <w:rsid w:val="00811633"/>
    <w:rsid w:val="0081311C"/>
    <w:rsid w:val="00814FC3"/>
    <w:rsid w:val="00816796"/>
    <w:rsid w:val="00816E83"/>
    <w:rsid w:val="00817171"/>
    <w:rsid w:val="008173AC"/>
    <w:rsid w:val="0081749E"/>
    <w:rsid w:val="00817F66"/>
    <w:rsid w:val="00820CDD"/>
    <w:rsid w:val="00820EC5"/>
    <w:rsid w:val="008213CF"/>
    <w:rsid w:val="00821498"/>
    <w:rsid w:val="008228C6"/>
    <w:rsid w:val="00823124"/>
    <w:rsid w:val="008232EC"/>
    <w:rsid w:val="00826E08"/>
    <w:rsid w:val="00830AF0"/>
    <w:rsid w:val="008341D2"/>
    <w:rsid w:val="00834843"/>
    <w:rsid w:val="00834D2E"/>
    <w:rsid w:val="00837F64"/>
    <w:rsid w:val="00840226"/>
    <w:rsid w:val="00841F73"/>
    <w:rsid w:val="0084200F"/>
    <w:rsid w:val="008447E2"/>
    <w:rsid w:val="00846361"/>
    <w:rsid w:val="008470CE"/>
    <w:rsid w:val="00847110"/>
    <w:rsid w:val="008476D9"/>
    <w:rsid w:val="00852ACF"/>
    <w:rsid w:val="00854E98"/>
    <w:rsid w:val="00854FC0"/>
    <w:rsid w:val="008559E7"/>
    <w:rsid w:val="00855FE6"/>
    <w:rsid w:val="00856243"/>
    <w:rsid w:val="00856253"/>
    <w:rsid w:val="00857523"/>
    <w:rsid w:val="00857586"/>
    <w:rsid w:val="0086138B"/>
    <w:rsid w:val="00861F90"/>
    <w:rsid w:val="00863A11"/>
    <w:rsid w:val="008666E5"/>
    <w:rsid w:val="008674BC"/>
    <w:rsid w:val="00867628"/>
    <w:rsid w:val="008701DA"/>
    <w:rsid w:val="00870504"/>
    <w:rsid w:val="008709BF"/>
    <w:rsid w:val="00870B8B"/>
    <w:rsid w:val="00870C5F"/>
    <w:rsid w:val="0087225D"/>
    <w:rsid w:val="00872844"/>
    <w:rsid w:val="00872B5D"/>
    <w:rsid w:val="008734A0"/>
    <w:rsid w:val="00873CD6"/>
    <w:rsid w:val="008754BA"/>
    <w:rsid w:val="0087627C"/>
    <w:rsid w:val="00876B33"/>
    <w:rsid w:val="00876C40"/>
    <w:rsid w:val="0087734F"/>
    <w:rsid w:val="008803AD"/>
    <w:rsid w:val="00880E8A"/>
    <w:rsid w:val="00881459"/>
    <w:rsid w:val="008835BA"/>
    <w:rsid w:val="008836DA"/>
    <w:rsid w:val="0088389A"/>
    <w:rsid w:val="008868D9"/>
    <w:rsid w:val="00886E6D"/>
    <w:rsid w:val="00887A68"/>
    <w:rsid w:val="00887FC6"/>
    <w:rsid w:val="008902B5"/>
    <w:rsid w:val="0089090F"/>
    <w:rsid w:val="00891D29"/>
    <w:rsid w:val="008925A1"/>
    <w:rsid w:val="008927CB"/>
    <w:rsid w:val="00893D3D"/>
    <w:rsid w:val="0089689D"/>
    <w:rsid w:val="00897F47"/>
    <w:rsid w:val="008A2197"/>
    <w:rsid w:val="008A2686"/>
    <w:rsid w:val="008A271D"/>
    <w:rsid w:val="008A4DFC"/>
    <w:rsid w:val="008A4FF1"/>
    <w:rsid w:val="008B0653"/>
    <w:rsid w:val="008B12E1"/>
    <w:rsid w:val="008B1830"/>
    <w:rsid w:val="008B2014"/>
    <w:rsid w:val="008B58E0"/>
    <w:rsid w:val="008B662E"/>
    <w:rsid w:val="008B6726"/>
    <w:rsid w:val="008B7583"/>
    <w:rsid w:val="008C114E"/>
    <w:rsid w:val="008C11E0"/>
    <w:rsid w:val="008C4843"/>
    <w:rsid w:val="008C6C82"/>
    <w:rsid w:val="008D1260"/>
    <w:rsid w:val="008D27D8"/>
    <w:rsid w:val="008D327E"/>
    <w:rsid w:val="008D3F2F"/>
    <w:rsid w:val="008D421D"/>
    <w:rsid w:val="008D61F8"/>
    <w:rsid w:val="008D74D3"/>
    <w:rsid w:val="008E0E11"/>
    <w:rsid w:val="008E2279"/>
    <w:rsid w:val="008E3455"/>
    <w:rsid w:val="008E404A"/>
    <w:rsid w:val="008E4126"/>
    <w:rsid w:val="008E4E9A"/>
    <w:rsid w:val="008F18D1"/>
    <w:rsid w:val="008F24A1"/>
    <w:rsid w:val="008F2680"/>
    <w:rsid w:val="008F29B7"/>
    <w:rsid w:val="008F369C"/>
    <w:rsid w:val="008F7EC1"/>
    <w:rsid w:val="009006EB"/>
    <w:rsid w:val="0090241A"/>
    <w:rsid w:val="009028C2"/>
    <w:rsid w:val="009034E0"/>
    <w:rsid w:val="00904C03"/>
    <w:rsid w:val="009065FF"/>
    <w:rsid w:val="00906710"/>
    <w:rsid w:val="0090774B"/>
    <w:rsid w:val="00910B00"/>
    <w:rsid w:val="00911A84"/>
    <w:rsid w:val="00914FA2"/>
    <w:rsid w:val="009158DB"/>
    <w:rsid w:val="0091768D"/>
    <w:rsid w:val="00917840"/>
    <w:rsid w:val="00917C2B"/>
    <w:rsid w:val="00921541"/>
    <w:rsid w:val="00921601"/>
    <w:rsid w:val="00921DB3"/>
    <w:rsid w:val="00923C4C"/>
    <w:rsid w:val="00923DEE"/>
    <w:rsid w:val="00925037"/>
    <w:rsid w:val="00927611"/>
    <w:rsid w:val="009278F7"/>
    <w:rsid w:val="00927E37"/>
    <w:rsid w:val="00930CC2"/>
    <w:rsid w:val="00931AE0"/>
    <w:rsid w:val="00934AD1"/>
    <w:rsid w:val="00935E41"/>
    <w:rsid w:val="009361F1"/>
    <w:rsid w:val="0093647F"/>
    <w:rsid w:val="00940530"/>
    <w:rsid w:val="00943C2E"/>
    <w:rsid w:val="00944140"/>
    <w:rsid w:val="0094481A"/>
    <w:rsid w:val="009453CD"/>
    <w:rsid w:val="00946426"/>
    <w:rsid w:val="0095025B"/>
    <w:rsid w:val="009513E1"/>
    <w:rsid w:val="009517E8"/>
    <w:rsid w:val="009517F4"/>
    <w:rsid w:val="00951F0D"/>
    <w:rsid w:val="00952D4D"/>
    <w:rsid w:val="00953048"/>
    <w:rsid w:val="00953BB5"/>
    <w:rsid w:val="0095408E"/>
    <w:rsid w:val="009559F6"/>
    <w:rsid w:val="009570CF"/>
    <w:rsid w:val="00957F3E"/>
    <w:rsid w:val="009608A7"/>
    <w:rsid w:val="0096268C"/>
    <w:rsid w:val="00963E77"/>
    <w:rsid w:val="00964B05"/>
    <w:rsid w:val="00964F8B"/>
    <w:rsid w:val="00965174"/>
    <w:rsid w:val="00965C1C"/>
    <w:rsid w:val="00967B21"/>
    <w:rsid w:val="00970018"/>
    <w:rsid w:val="00970021"/>
    <w:rsid w:val="009702B1"/>
    <w:rsid w:val="00970571"/>
    <w:rsid w:val="00972108"/>
    <w:rsid w:val="00972645"/>
    <w:rsid w:val="00972661"/>
    <w:rsid w:val="00972DB2"/>
    <w:rsid w:val="00973E1F"/>
    <w:rsid w:val="009749D6"/>
    <w:rsid w:val="00975868"/>
    <w:rsid w:val="009767AA"/>
    <w:rsid w:val="00983564"/>
    <w:rsid w:val="00984DA1"/>
    <w:rsid w:val="00990385"/>
    <w:rsid w:val="00990BD7"/>
    <w:rsid w:val="00991B51"/>
    <w:rsid w:val="00991C59"/>
    <w:rsid w:val="009931AB"/>
    <w:rsid w:val="009936BD"/>
    <w:rsid w:val="00993926"/>
    <w:rsid w:val="00994304"/>
    <w:rsid w:val="009951CF"/>
    <w:rsid w:val="009954D6"/>
    <w:rsid w:val="00996388"/>
    <w:rsid w:val="009977F3"/>
    <w:rsid w:val="009A09FA"/>
    <w:rsid w:val="009A2649"/>
    <w:rsid w:val="009A2B15"/>
    <w:rsid w:val="009A41BF"/>
    <w:rsid w:val="009A76F1"/>
    <w:rsid w:val="009A784C"/>
    <w:rsid w:val="009B0B2E"/>
    <w:rsid w:val="009B2B01"/>
    <w:rsid w:val="009B6282"/>
    <w:rsid w:val="009B663F"/>
    <w:rsid w:val="009C06FB"/>
    <w:rsid w:val="009C1C74"/>
    <w:rsid w:val="009C2CAE"/>
    <w:rsid w:val="009C35BC"/>
    <w:rsid w:val="009C37A2"/>
    <w:rsid w:val="009C5112"/>
    <w:rsid w:val="009C7687"/>
    <w:rsid w:val="009D156B"/>
    <w:rsid w:val="009D2095"/>
    <w:rsid w:val="009D3494"/>
    <w:rsid w:val="009D50BC"/>
    <w:rsid w:val="009D60FE"/>
    <w:rsid w:val="009E001A"/>
    <w:rsid w:val="009E0E12"/>
    <w:rsid w:val="009E23E8"/>
    <w:rsid w:val="009E289D"/>
    <w:rsid w:val="009E4B3E"/>
    <w:rsid w:val="009E5A3C"/>
    <w:rsid w:val="009E6DB0"/>
    <w:rsid w:val="009E7F0B"/>
    <w:rsid w:val="009F0AF8"/>
    <w:rsid w:val="009F0B25"/>
    <w:rsid w:val="009F0CDA"/>
    <w:rsid w:val="009F0D84"/>
    <w:rsid w:val="009F2818"/>
    <w:rsid w:val="009F493E"/>
    <w:rsid w:val="009F4B88"/>
    <w:rsid w:val="009F7A19"/>
    <w:rsid w:val="009F7ACE"/>
    <w:rsid w:val="00A01F65"/>
    <w:rsid w:val="00A022D0"/>
    <w:rsid w:val="00A05DEF"/>
    <w:rsid w:val="00A06013"/>
    <w:rsid w:val="00A07362"/>
    <w:rsid w:val="00A0781E"/>
    <w:rsid w:val="00A07FFC"/>
    <w:rsid w:val="00A10F0B"/>
    <w:rsid w:val="00A116FE"/>
    <w:rsid w:val="00A11C48"/>
    <w:rsid w:val="00A134D6"/>
    <w:rsid w:val="00A145E7"/>
    <w:rsid w:val="00A149BB"/>
    <w:rsid w:val="00A15180"/>
    <w:rsid w:val="00A159C7"/>
    <w:rsid w:val="00A20092"/>
    <w:rsid w:val="00A20710"/>
    <w:rsid w:val="00A221E5"/>
    <w:rsid w:val="00A22F26"/>
    <w:rsid w:val="00A231A2"/>
    <w:rsid w:val="00A24E48"/>
    <w:rsid w:val="00A26531"/>
    <w:rsid w:val="00A27108"/>
    <w:rsid w:val="00A278DB"/>
    <w:rsid w:val="00A30FFF"/>
    <w:rsid w:val="00A3141A"/>
    <w:rsid w:val="00A32676"/>
    <w:rsid w:val="00A35287"/>
    <w:rsid w:val="00A35291"/>
    <w:rsid w:val="00A4085A"/>
    <w:rsid w:val="00A4115B"/>
    <w:rsid w:val="00A41A01"/>
    <w:rsid w:val="00A41F1A"/>
    <w:rsid w:val="00A4366B"/>
    <w:rsid w:val="00A46761"/>
    <w:rsid w:val="00A46F99"/>
    <w:rsid w:val="00A51CED"/>
    <w:rsid w:val="00A5268F"/>
    <w:rsid w:val="00A5305A"/>
    <w:rsid w:val="00A54854"/>
    <w:rsid w:val="00A556D2"/>
    <w:rsid w:val="00A5717C"/>
    <w:rsid w:val="00A57CA8"/>
    <w:rsid w:val="00A60BD4"/>
    <w:rsid w:val="00A60CCC"/>
    <w:rsid w:val="00A617B2"/>
    <w:rsid w:val="00A64473"/>
    <w:rsid w:val="00A65A5B"/>
    <w:rsid w:val="00A66415"/>
    <w:rsid w:val="00A67483"/>
    <w:rsid w:val="00A723A1"/>
    <w:rsid w:val="00A7488B"/>
    <w:rsid w:val="00A76EB5"/>
    <w:rsid w:val="00A801C1"/>
    <w:rsid w:val="00A837AA"/>
    <w:rsid w:val="00A8487D"/>
    <w:rsid w:val="00A87ED4"/>
    <w:rsid w:val="00A87FE5"/>
    <w:rsid w:val="00A92420"/>
    <w:rsid w:val="00A93EE0"/>
    <w:rsid w:val="00A9590D"/>
    <w:rsid w:val="00A95DA2"/>
    <w:rsid w:val="00A97CE3"/>
    <w:rsid w:val="00A97FD9"/>
    <w:rsid w:val="00AA0823"/>
    <w:rsid w:val="00AA5D1C"/>
    <w:rsid w:val="00AA6C59"/>
    <w:rsid w:val="00AA799A"/>
    <w:rsid w:val="00AB11FE"/>
    <w:rsid w:val="00AB14CF"/>
    <w:rsid w:val="00AB150B"/>
    <w:rsid w:val="00AB1ABA"/>
    <w:rsid w:val="00AB1D1C"/>
    <w:rsid w:val="00AB2BE6"/>
    <w:rsid w:val="00AB3395"/>
    <w:rsid w:val="00AB4528"/>
    <w:rsid w:val="00AC3268"/>
    <w:rsid w:val="00AC4563"/>
    <w:rsid w:val="00AC5B59"/>
    <w:rsid w:val="00AC694F"/>
    <w:rsid w:val="00AC72F0"/>
    <w:rsid w:val="00AD0F71"/>
    <w:rsid w:val="00AD157A"/>
    <w:rsid w:val="00AD228C"/>
    <w:rsid w:val="00AD50CF"/>
    <w:rsid w:val="00AD6BF9"/>
    <w:rsid w:val="00AD6DFC"/>
    <w:rsid w:val="00AD7911"/>
    <w:rsid w:val="00AD7D63"/>
    <w:rsid w:val="00AE149F"/>
    <w:rsid w:val="00AE198B"/>
    <w:rsid w:val="00AE1A3B"/>
    <w:rsid w:val="00AE3B3C"/>
    <w:rsid w:val="00AE6574"/>
    <w:rsid w:val="00AF02DF"/>
    <w:rsid w:val="00AF27A7"/>
    <w:rsid w:val="00AF2F19"/>
    <w:rsid w:val="00AF3DF5"/>
    <w:rsid w:val="00AF4735"/>
    <w:rsid w:val="00AF48A1"/>
    <w:rsid w:val="00AF6A27"/>
    <w:rsid w:val="00B0079E"/>
    <w:rsid w:val="00B0346A"/>
    <w:rsid w:val="00B06713"/>
    <w:rsid w:val="00B06CC4"/>
    <w:rsid w:val="00B0769C"/>
    <w:rsid w:val="00B07C08"/>
    <w:rsid w:val="00B07D56"/>
    <w:rsid w:val="00B07DDB"/>
    <w:rsid w:val="00B14FF8"/>
    <w:rsid w:val="00B164E4"/>
    <w:rsid w:val="00B17458"/>
    <w:rsid w:val="00B179C5"/>
    <w:rsid w:val="00B17FCE"/>
    <w:rsid w:val="00B205DB"/>
    <w:rsid w:val="00B213D2"/>
    <w:rsid w:val="00B221C3"/>
    <w:rsid w:val="00B22DA0"/>
    <w:rsid w:val="00B23CCB"/>
    <w:rsid w:val="00B25C8E"/>
    <w:rsid w:val="00B2603C"/>
    <w:rsid w:val="00B2697E"/>
    <w:rsid w:val="00B27703"/>
    <w:rsid w:val="00B27FC2"/>
    <w:rsid w:val="00B30533"/>
    <w:rsid w:val="00B320AE"/>
    <w:rsid w:val="00B33A15"/>
    <w:rsid w:val="00B36374"/>
    <w:rsid w:val="00B37A39"/>
    <w:rsid w:val="00B40A5F"/>
    <w:rsid w:val="00B40FE1"/>
    <w:rsid w:val="00B41606"/>
    <w:rsid w:val="00B4162C"/>
    <w:rsid w:val="00B41B2C"/>
    <w:rsid w:val="00B42D9E"/>
    <w:rsid w:val="00B42FD0"/>
    <w:rsid w:val="00B44D10"/>
    <w:rsid w:val="00B44E1E"/>
    <w:rsid w:val="00B528EA"/>
    <w:rsid w:val="00B52C3F"/>
    <w:rsid w:val="00B533DD"/>
    <w:rsid w:val="00B54D82"/>
    <w:rsid w:val="00B55815"/>
    <w:rsid w:val="00B55AF2"/>
    <w:rsid w:val="00B55F6E"/>
    <w:rsid w:val="00B60A95"/>
    <w:rsid w:val="00B617F8"/>
    <w:rsid w:val="00B61883"/>
    <w:rsid w:val="00B643F0"/>
    <w:rsid w:val="00B65576"/>
    <w:rsid w:val="00B67279"/>
    <w:rsid w:val="00B70A2A"/>
    <w:rsid w:val="00B71194"/>
    <w:rsid w:val="00B71C68"/>
    <w:rsid w:val="00B722D8"/>
    <w:rsid w:val="00B7621C"/>
    <w:rsid w:val="00B7745E"/>
    <w:rsid w:val="00B8402C"/>
    <w:rsid w:val="00B87471"/>
    <w:rsid w:val="00B902A6"/>
    <w:rsid w:val="00B90EEE"/>
    <w:rsid w:val="00B92235"/>
    <w:rsid w:val="00B94D82"/>
    <w:rsid w:val="00B94FFB"/>
    <w:rsid w:val="00BA0496"/>
    <w:rsid w:val="00BA2CF2"/>
    <w:rsid w:val="00BA2E05"/>
    <w:rsid w:val="00BA3150"/>
    <w:rsid w:val="00BA3A36"/>
    <w:rsid w:val="00BA46E0"/>
    <w:rsid w:val="00BA5291"/>
    <w:rsid w:val="00BA7B59"/>
    <w:rsid w:val="00BB0773"/>
    <w:rsid w:val="00BB083F"/>
    <w:rsid w:val="00BB0A04"/>
    <w:rsid w:val="00BB0B1A"/>
    <w:rsid w:val="00BB0DF9"/>
    <w:rsid w:val="00BB318A"/>
    <w:rsid w:val="00BB3CEB"/>
    <w:rsid w:val="00BB41D8"/>
    <w:rsid w:val="00BB4D4E"/>
    <w:rsid w:val="00BB57C9"/>
    <w:rsid w:val="00BB6DC8"/>
    <w:rsid w:val="00BB7A4A"/>
    <w:rsid w:val="00BC106C"/>
    <w:rsid w:val="00BC15EF"/>
    <w:rsid w:val="00BC434A"/>
    <w:rsid w:val="00BC554B"/>
    <w:rsid w:val="00BC5B43"/>
    <w:rsid w:val="00BC608B"/>
    <w:rsid w:val="00BC6315"/>
    <w:rsid w:val="00BC7CCD"/>
    <w:rsid w:val="00BD092A"/>
    <w:rsid w:val="00BD09C0"/>
    <w:rsid w:val="00BD23C9"/>
    <w:rsid w:val="00BD3797"/>
    <w:rsid w:val="00BD407C"/>
    <w:rsid w:val="00BD42CD"/>
    <w:rsid w:val="00BD48C5"/>
    <w:rsid w:val="00BD6701"/>
    <w:rsid w:val="00BD68D4"/>
    <w:rsid w:val="00BD7B16"/>
    <w:rsid w:val="00BD7B71"/>
    <w:rsid w:val="00BE060A"/>
    <w:rsid w:val="00BE3954"/>
    <w:rsid w:val="00BE4FC6"/>
    <w:rsid w:val="00BE5783"/>
    <w:rsid w:val="00BF0A36"/>
    <w:rsid w:val="00BF1C9D"/>
    <w:rsid w:val="00BF45B2"/>
    <w:rsid w:val="00BF485A"/>
    <w:rsid w:val="00BF514D"/>
    <w:rsid w:val="00BF6B61"/>
    <w:rsid w:val="00BF723B"/>
    <w:rsid w:val="00C0032F"/>
    <w:rsid w:val="00C01F68"/>
    <w:rsid w:val="00C03CED"/>
    <w:rsid w:val="00C04E03"/>
    <w:rsid w:val="00C07020"/>
    <w:rsid w:val="00C10829"/>
    <w:rsid w:val="00C113AF"/>
    <w:rsid w:val="00C116FC"/>
    <w:rsid w:val="00C143FC"/>
    <w:rsid w:val="00C15567"/>
    <w:rsid w:val="00C16960"/>
    <w:rsid w:val="00C16A30"/>
    <w:rsid w:val="00C16A46"/>
    <w:rsid w:val="00C20155"/>
    <w:rsid w:val="00C20639"/>
    <w:rsid w:val="00C2166C"/>
    <w:rsid w:val="00C23C19"/>
    <w:rsid w:val="00C268C7"/>
    <w:rsid w:val="00C26E6C"/>
    <w:rsid w:val="00C27262"/>
    <w:rsid w:val="00C27984"/>
    <w:rsid w:val="00C35D0A"/>
    <w:rsid w:val="00C36329"/>
    <w:rsid w:val="00C37E35"/>
    <w:rsid w:val="00C41DFD"/>
    <w:rsid w:val="00C420A5"/>
    <w:rsid w:val="00C42F92"/>
    <w:rsid w:val="00C436CC"/>
    <w:rsid w:val="00C463C0"/>
    <w:rsid w:val="00C471E5"/>
    <w:rsid w:val="00C47419"/>
    <w:rsid w:val="00C513AD"/>
    <w:rsid w:val="00C55653"/>
    <w:rsid w:val="00C55F99"/>
    <w:rsid w:val="00C57B6B"/>
    <w:rsid w:val="00C62A8C"/>
    <w:rsid w:val="00C6393A"/>
    <w:rsid w:val="00C63AFD"/>
    <w:rsid w:val="00C65DC0"/>
    <w:rsid w:val="00C669F7"/>
    <w:rsid w:val="00C73710"/>
    <w:rsid w:val="00C73AD2"/>
    <w:rsid w:val="00C76466"/>
    <w:rsid w:val="00C7774C"/>
    <w:rsid w:val="00C77AEE"/>
    <w:rsid w:val="00C800C8"/>
    <w:rsid w:val="00C80803"/>
    <w:rsid w:val="00C8160B"/>
    <w:rsid w:val="00C817BD"/>
    <w:rsid w:val="00C82AD0"/>
    <w:rsid w:val="00C83B19"/>
    <w:rsid w:val="00C84740"/>
    <w:rsid w:val="00C852A4"/>
    <w:rsid w:val="00C86CF0"/>
    <w:rsid w:val="00C9032D"/>
    <w:rsid w:val="00C917ED"/>
    <w:rsid w:val="00C9254F"/>
    <w:rsid w:val="00C93019"/>
    <w:rsid w:val="00C97A15"/>
    <w:rsid w:val="00C97B18"/>
    <w:rsid w:val="00CA08AD"/>
    <w:rsid w:val="00CA113E"/>
    <w:rsid w:val="00CA144F"/>
    <w:rsid w:val="00CA1903"/>
    <w:rsid w:val="00CA20A0"/>
    <w:rsid w:val="00CA3ACF"/>
    <w:rsid w:val="00CA66E9"/>
    <w:rsid w:val="00CA6978"/>
    <w:rsid w:val="00CA6A26"/>
    <w:rsid w:val="00CA75DD"/>
    <w:rsid w:val="00CB0439"/>
    <w:rsid w:val="00CB0FC9"/>
    <w:rsid w:val="00CB1209"/>
    <w:rsid w:val="00CB3E03"/>
    <w:rsid w:val="00CB4169"/>
    <w:rsid w:val="00CB55C3"/>
    <w:rsid w:val="00CB7865"/>
    <w:rsid w:val="00CC0EA1"/>
    <w:rsid w:val="00CC15B7"/>
    <w:rsid w:val="00CC232D"/>
    <w:rsid w:val="00CC5236"/>
    <w:rsid w:val="00CC5AAE"/>
    <w:rsid w:val="00CC6EEB"/>
    <w:rsid w:val="00CD22A0"/>
    <w:rsid w:val="00CD271E"/>
    <w:rsid w:val="00CD356A"/>
    <w:rsid w:val="00CD45C1"/>
    <w:rsid w:val="00CD47BA"/>
    <w:rsid w:val="00CD7044"/>
    <w:rsid w:val="00CD714F"/>
    <w:rsid w:val="00CD7C69"/>
    <w:rsid w:val="00CE081A"/>
    <w:rsid w:val="00CE1AB3"/>
    <w:rsid w:val="00CE1B96"/>
    <w:rsid w:val="00CE1C97"/>
    <w:rsid w:val="00CE21F7"/>
    <w:rsid w:val="00CE39AF"/>
    <w:rsid w:val="00CE3FC9"/>
    <w:rsid w:val="00CE575D"/>
    <w:rsid w:val="00CE5CDD"/>
    <w:rsid w:val="00CE6ACB"/>
    <w:rsid w:val="00CE7403"/>
    <w:rsid w:val="00CF0FC3"/>
    <w:rsid w:val="00CF1B89"/>
    <w:rsid w:val="00CF21D9"/>
    <w:rsid w:val="00CF287B"/>
    <w:rsid w:val="00CF324A"/>
    <w:rsid w:val="00CF4BBF"/>
    <w:rsid w:val="00CF5F56"/>
    <w:rsid w:val="00D0319F"/>
    <w:rsid w:val="00D03422"/>
    <w:rsid w:val="00D047DD"/>
    <w:rsid w:val="00D05BAA"/>
    <w:rsid w:val="00D0619B"/>
    <w:rsid w:val="00D07DD7"/>
    <w:rsid w:val="00D07FA6"/>
    <w:rsid w:val="00D10169"/>
    <w:rsid w:val="00D1189F"/>
    <w:rsid w:val="00D148F6"/>
    <w:rsid w:val="00D20E4A"/>
    <w:rsid w:val="00D2239D"/>
    <w:rsid w:val="00D252FA"/>
    <w:rsid w:val="00D27446"/>
    <w:rsid w:val="00D3116E"/>
    <w:rsid w:val="00D31EE1"/>
    <w:rsid w:val="00D40558"/>
    <w:rsid w:val="00D40734"/>
    <w:rsid w:val="00D41AB1"/>
    <w:rsid w:val="00D42106"/>
    <w:rsid w:val="00D44AED"/>
    <w:rsid w:val="00D45037"/>
    <w:rsid w:val="00D501AD"/>
    <w:rsid w:val="00D511AE"/>
    <w:rsid w:val="00D51DE0"/>
    <w:rsid w:val="00D5311A"/>
    <w:rsid w:val="00D55242"/>
    <w:rsid w:val="00D56E29"/>
    <w:rsid w:val="00D5711C"/>
    <w:rsid w:val="00D5734B"/>
    <w:rsid w:val="00D6034D"/>
    <w:rsid w:val="00D61BAA"/>
    <w:rsid w:val="00D63163"/>
    <w:rsid w:val="00D6499A"/>
    <w:rsid w:val="00D711B6"/>
    <w:rsid w:val="00D72595"/>
    <w:rsid w:val="00D74E56"/>
    <w:rsid w:val="00D75E2D"/>
    <w:rsid w:val="00D77397"/>
    <w:rsid w:val="00D77502"/>
    <w:rsid w:val="00D77F2B"/>
    <w:rsid w:val="00D80F18"/>
    <w:rsid w:val="00D8180A"/>
    <w:rsid w:val="00D81C78"/>
    <w:rsid w:val="00D81ED6"/>
    <w:rsid w:val="00D81F4E"/>
    <w:rsid w:val="00D8504E"/>
    <w:rsid w:val="00D85D78"/>
    <w:rsid w:val="00D8658A"/>
    <w:rsid w:val="00D8689E"/>
    <w:rsid w:val="00D93075"/>
    <w:rsid w:val="00D93A2E"/>
    <w:rsid w:val="00D955FB"/>
    <w:rsid w:val="00D95758"/>
    <w:rsid w:val="00D97C8E"/>
    <w:rsid w:val="00DA2ADE"/>
    <w:rsid w:val="00DA32F6"/>
    <w:rsid w:val="00DA4C6D"/>
    <w:rsid w:val="00DA7D9B"/>
    <w:rsid w:val="00DB10F3"/>
    <w:rsid w:val="00DB3296"/>
    <w:rsid w:val="00DC1868"/>
    <w:rsid w:val="00DC2117"/>
    <w:rsid w:val="00DC2809"/>
    <w:rsid w:val="00DC4DEA"/>
    <w:rsid w:val="00DC4EAB"/>
    <w:rsid w:val="00DC5FA4"/>
    <w:rsid w:val="00DC645F"/>
    <w:rsid w:val="00DC650B"/>
    <w:rsid w:val="00DC6A1E"/>
    <w:rsid w:val="00DC6E1B"/>
    <w:rsid w:val="00DD005C"/>
    <w:rsid w:val="00DD1F45"/>
    <w:rsid w:val="00DD25CF"/>
    <w:rsid w:val="00DD35AF"/>
    <w:rsid w:val="00DD4599"/>
    <w:rsid w:val="00DD560D"/>
    <w:rsid w:val="00DE041B"/>
    <w:rsid w:val="00DE1107"/>
    <w:rsid w:val="00DE11A3"/>
    <w:rsid w:val="00DE2843"/>
    <w:rsid w:val="00DE44E9"/>
    <w:rsid w:val="00DE4EED"/>
    <w:rsid w:val="00DE5082"/>
    <w:rsid w:val="00DE60CC"/>
    <w:rsid w:val="00DE6E65"/>
    <w:rsid w:val="00DF0C4F"/>
    <w:rsid w:val="00DF32CE"/>
    <w:rsid w:val="00DF4916"/>
    <w:rsid w:val="00DF580F"/>
    <w:rsid w:val="00DF64AA"/>
    <w:rsid w:val="00E00E44"/>
    <w:rsid w:val="00E01FB1"/>
    <w:rsid w:val="00E02CC4"/>
    <w:rsid w:val="00E03718"/>
    <w:rsid w:val="00E049C9"/>
    <w:rsid w:val="00E111AF"/>
    <w:rsid w:val="00E11F42"/>
    <w:rsid w:val="00E125B5"/>
    <w:rsid w:val="00E12E1B"/>
    <w:rsid w:val="00E1327A"/>
    <w:rsid w:val="00E146EE"/>
    <w:rsid w:val="00E14E4E"/>
    <w:rsid w:val="00E14EC9"/>
    <w:rsid w:val="00E16DDB"/>
    <w:rsid w:val="00E17810"/>
    <w:rsid w:val="00E17BD5"/>
    <w:rsid w:val="00E201C2"/>
    <w:rsid w:val="00E22379"/>
    <w:rsid w:val="00E224DD"/>
    <w:rsid w:val="00E22B9E"/>
    <w:rsid w:val="00E22CCC"/>
    <w:rsid w:val="00E22F86"/>
    <w:rsid w:val="00E235DF"/>
    <w:rsid w:val="00E23C76"/>
    <w:rsid w:val="00E23DDC"/>
    <w:rsid w:val="00E2594A"/>
    <w:rsid w:val="00E26A6A"/>
    <w:rsid w:val="00E31284"/>
    <w:rsid w:val="00E31B48"/>
    <w:rsid w:val="00E352D2"/>
    <w:rsid w:val="00E36374"/>
    <w:rsid w:val="00E36A5E"/>
    <w:rsid w:val="00E37B52"/>
    <w:rsid w:val="00E417EA"/>
    <w:rsid w:val="00E4204A"/>
    <w:rsid w:val="00E42621"/>
    <w:rsid w:val="00E45333"/>
    <w:rsid w:val="00E462C8"/>
    <w:rsid w:val="00E46479"/>
    <w:rsid w:val="00E50AB5"/>
    <w:rsid w:val="00E50CE6"/>
    <w:rsid w:val="00E51CC8"/>
    <w:rsid w:val="00E52B98"/>
    <w:rsid w:val="00E535DC"/>
    <w:rsid w:val="00E54E60"/>
    <w:rsid w:val="00E55BBD"/>
    <w:rsid w:val="00E56E08"/>
    <w:rsid w:val="00E576C6"/>
    <w:rsid w:val="00E5782D"/>
    <w:rsid w:val="00E57BBB"/>
    <w:rsid w:val="00E57EA1"/>
    <w:rsid w:val="00E60511"/>
    <w:rsid w:val="00E60BB1"/>
    <w:rsid w:val="00E61AAF"/>
    <w:rsid w:val="00E620EC"/>
    <w:rsid w:val="00E62269"/>
    <w:rsid w:val="00E633DF"/>
    <w:rsid w:val="00E659B5"/>
    <w:rsid w:val="00E65EFE"/>
    <w:rsid w:val="00E660FD"/>
    <w:rsid w:val="00E66A42"/>
    <w:rsid w:val="00E66E96"/>
    <w:rsid w:val="00E6736B"/>
    <w:rsid w:val="00E711C9"/>
    <w:rsid w:val="00E72395"/>
    <w:rsid w:val="00E732BD"/>
    <w:rsid w:val="00E74602"/>
    <w:rsid w:val="00E76E7B"/>
    <w:rsid w:val="00E775BC"/>
    <w:rsid w:val="00E77814"/>
    <w:rsid w:val="00E80338"/>
    <w:rsid w:val="00E810BB"/>
    <w:rsid w:val="00E81291"/>
    <w:rsid w:val="00E81623"/>
    <w:rsid w:val="00E8186E"/>
    <w:rsid w:val="00E83203"/>
    <w:rsid w:val="00E84A46"/>
    <w:rsid w:val="00E86A8B"/>
    <w:rsid w:val="00E86D29"/>
    <w:rsid w:val="00E90DA6"/>
    <w:rsid w:val="00E91A80"/>
    <w:rsid w:val="00E91AD5"/>
    <w:rsid w:val="00E93A39"/>
    <w:rsid w:val="00E9421D"/>
    <w:rsid w:val="00E97C14"/>
    <w:rsid w:val="00EA0643"/>
    <w:rsid w:val="00EA241A"/>
    <w:rsid w:val="00EA2C1D"/>
    <w:rsid w:val="00EA38AD"/>
    <w:rsid w:val="00EA5D2F"/>
    <w:rsid w:val="00EA7A92"/>
    <w:rsid w:val="00EA7EC3"/>
    <w:rsid w:val="00EB1644"/>
    <w:rsid w:val="00EB2376"/>
    <w:rsid w:val="00EB382D"/>
    <w:rsid w:val="00EB46F1"/>
    <w:rsid w:val="00EB6901"/>
    <w:rsid w:val="00EB768C"/>
    <w:rsid w:val="00EC0FB3"/>
    <w:rsid w:val="00EC1245"/>
    <w:rsid w:val="00EC23B4"/>
    <w:rsid w:val="00EC37EB"/>
    <w:rsid w:val="00EC583B"/>
    <w:rsid w:val="00EC653F"/>
    <w:rsid w:val="00EC67FD"/>
    <w:rsid w:val="00EC69C8"/>
    <w:rsid w:val="00ED1E5A"/>
    <w:rsid w:val="00ED20EE"/>
    <w:rsid w:val="00ED44D1"/>
    <w:rsid w:val="00ED587F"/>
    <w:rsid w:val="00ED5948"/>
    <w:rsid w:val="00ED5BAD"/>
    <w:rsid w:val="00ED6EED"/>
    <w:rsid w:val="00EE002F"/>
    <w:rsid w:val="00EE206A"/>
    <w:rsid w:val="00EE287B"/>
    <w:rsid w:val="00EE516C"/>
    <w:rsid w:val="00EE5D84"/>
    <w:rsid w:val="00EE7234"/>
    <w:rsid w:val="00EF12AE"/>
    <w:rsid w:val="00EF1974"/>
    <w:rsid w:val="00EF3006"/>
    <w:rsid w:val="00EF43C5"/>
    <w:rsid w:val="00EF4E7D"/>
    <w:rsid w:val="00EF520D"/>
    <w:rsid w:val="00EF5F8F"/>
    <w:rsid w:val="00F00129"/>
    <w:rsid w:val="00F01669"/>
    <w:rsid w:val="00F03FD3"/>
    <w:rsid w:val="00F040A0"/>
    <w:rsid w:val="00F04298"/>
    <w:rsid w:val="00F04746"/>
    <w:rsid w:val="00F04EFF"/>
    <w:rsid w:val="00F06554"/>
    <w:rsid w:val="00F12199"/>
    <w:rsid w:val="00F1373B"/>
    <w:rsid w:val="00F13CA1"/>
    <w:rsid w:val="00F171E1"/>
    <w:rsid w:val="00F213B9"/>
    <w:rsid w:val="00F24080"/>
    <w:rsid w:val="00F252A8"/>
    <w:rsid w:val="00F25453"/>
    <w:rsid w:val="00F3180B"/>
    <w:rsid w:val="00F35265"/>
    <w:rsid w:val="00F35399"/>
    <w:rsid w:val="00F35DFF"/>
    <w:rsid w:val="00F3771C"/>
    <w:rsid w:val="00F42416"/>
    <w:rsid w:val="00F42954"/>
    <w:rsid w:val="00F43785"/>
    <w:rsid w:val="00F452EB"/>
    <w:rsid w:val="00F46F40"/>
    <w:rsid w:val="00F51285"/>
    <w:rsid w:val="00F514CE"/>
    <w:rsid w:val="00F5199C"/>
    <w:rsid w:val="00F52320"/>
    <w:rsid w:val="00F53F99"/>
    <w:rsid w:val="00F541B3"/>
    <w:rsid w:val="00F54989"/>
    <w:rsid w:val="00F55548"/>
    <w:rsid w:val="00F625F3"/>
    <w:rsid w:val="00F66FE8"/>
    <w:rsid w:val="00F6707F"/>
    <w:rsid w:val="00F7015A"/>
    <w:rsid w:val="00F73047"/>
    <w:rsid w:val="00F7448F"/>
    <w:rsid w:val="00F76996"/>
    <w:rsid w:val="00F80FD3"/>
    <w:rsid w:val="00F836C6"/>
    <w:rsid w:val="00F83A73"/>
    <w:rsid w:val="00F83AA3"/>
    <w:rsid w:val="00F83EE8"/>
    <w:rsid w:val="00F84EF4"/>
    <w:rsid w:val="00F8503C"/>
    <w:rsid w:val="00F853AF"/>
    <w:rsid w:val="00F85DC0"/>
    <w:rsid w:val="00F8607D"/>
    <w:rsid w:val="00F86B2A"/>
    <w:rsid w:val="00F8737F"/>
    <w:rsid w:val="00F8764E"/>
    <w:rsid w:val="00F90C43"/>
    <w:rsid w:val="00F937D2"/>
    <w:rsid w:val="00F9533D"/>
    <w:rsid w:val="00F96A13"/>
    <w:rsid w:val="00F96C87"/>
    <w:rsid w:val="00F96F09"/>
    <w:rsid w:val="00FA0E16"/>
    <w:rsid w:val="00FA131E"/>
    <w:rsid w:val="00FA237D"/>
    <w:rsid w:val="00FA3190"/>
    <w:rsid w:val="00FA5AF2"/>
    <w:rsid w:val="00FA62F9"/>
    <w:rsid w:val="00FB1593"/>
    <w:rsid w:val="00FB1726"/>
    <w:rsid w:val="00FB3991"/>
    <w:rsid w:val="00FB4F17"/>
    <w:rsid w:val="00FB4F18"/>
    <w:rsid w:val="00FC0A89"/>
    <w:rsid w:val="00FC1239"/>
    <w:rsid w:val="00FC18CE"/>
    <w:rsid w:val="00FC2CE9"/>
    <w:rsid w:val="00FC2D58"/>
    <w:rsid w:val="00FC2DC1"/>
    <w:rsid w:val="00FC3B4F"/>
    <w:rsid w:val="00FC3F61"/>
    <w:rsid w:val="00FC4E61"/>
    <w:rsid w:val="00FC5B0F"/>
    <w:rsid w:val="00FC5B9E"/>
    <w:rsid w:val="00FC5E68"/>
    <w:rsid w:val="00FD0037"/>
    <w:rsid w:val="00FD028D"/>
    <w:rsid w:val="00FD0477"/>
    <w:rsid w:val="00FD129B"/>
    <w:rsid w:val="00FD193F"/>
    <w:rsid w:val="00FD204C"/>
    <w:rsid w:val="00FD2A22"/>
    <w:rsid w:val="00FD2F6E"/>
    <w:rsid w:val="00FD316F"/>
    <w:rsid w:val="00FD783D"/>
    <w:rsid w:val="00FE0330"/>
    <w:rsid w:val="00FE0515"/>
    <w:rsid w:val="00FE1F7E"/>
    <w:rsid w:val="00FE3572"/>
    <w:rsid w:val="00FE5719"/>
    <w:rsid w:val="00FE61E3"/>
    <w:rsid w:val="00FE713E"/>
    <w:rsid w:val="00FE7167"/>
    <w:rsid w:val="00FF4EC0"/>
    <w:rsid w:val="00FF6083"/>
    <w:rsid w:val="00FF70F3"/>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69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314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qFormat/>
    <w:pPr>
      <w:keepNext/>
      <w:spacing w:line="360" w:lineRule="auto"/>
      <w:ind w:left="720"/>
      <w:jc w:val="both"/>
      <w:outlineLvl w:val="7"/>
    </w:pPr>
    <w:rPr>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Title">
    <w:name w:val="Title"/>
    <w:basedOn w:val="Normal"/>
    <w:qFormat/>
    <w:pPr>
      <w:jc w:val="center"/>
    </w:pPr>
    <w:rPr>
      <w:b/>
      <w:bCs/>
      <w:sz w:val="28"/>
      <w:lang w:val="en-US" w:eastAsia="en-US"/>
    </w:rPr>
  </w:style>
  <w:style w:type="paragraph" w:styleId="BodyText2">
    <w:name w:val="Body Text 2"/>
    <w:basedOn w:val="Normal"/>
    <w:pPr>
      <w:jc w:val="both"/>
    </w:pPr>
    <w:rPr>
      <w:lang w:eastAsia="en-U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ListParagraph">
    <w:name w:val="List Paragraph"/>
    <w:basedOn w:val="Normal"/>
    <w:uiPriority w:val="34"/>
    <w:qFormat/>
    <w:rsid w:val="00F96F09"/>
    <w:pPr>
      <w:ind w:left="720"/>
    </w:pPr>
  </w:style>
  <w:style w:type="paragraph" w:styleId="Header">
    <w:name w:val="header"/>
    <w:basedOn w:val="Normal"/>
    <w:link w:val="HeaderChar"/>
    <w:rsid w:val="00DC2809"/>
    <w:pPr>
      <w:tabs>
        <w:tab w:val="center" w:pos="4680"/>
        <w:tab w:val="right" w:pos="9360"/>
      </w:tabs>
    </w:pPr>
    <w:rPr>
      <w:lang w:val="x-none" w:eastAsia="x-none"/>
    </w:rPr>
  </w:style>
  <w:style w:type="character" w:customStyle="1" w:styleId="HeaderChar">
    <w:name w:val="Header Char"/>
    <w:link w:val="Header"/>
    <w:uiPriority w:val="99"/>
    <w:rsid w:val="00DC2809"/>
    <w:rPr>
      <w:sz w:val="24"/>
      <w:szCs w:val="24"/>
    </w:rPr>
  </w:style>
  <w:style w:type="character" w:styleId="Hyperlink">
    <w:name w:val="Hyperlink"/>
    <w:uiPriority w:val="99"/>
    <w:unhideWhenUsed/>
    <w:rsid w:val="007B59E9"/>
    <w:rPr>
      <w:color w:val="0000FF"/>
      <w:u w:val="single"/>
    </w:rPr>
  </w:style>
  <w:style w:type="paragraph" w:customStyle="1" w:styleId="subsection-e">
    <w:name w:val="subsection-e"/>
    <w:basedOn w:val="Normal"/>
    <w:rsid w:val="007B59E9"/>
    <w:pPr>
      <w:snapToGrid w:val="0"/>
      <w:spacing w:after="120"/>
      <w:ind w:firstLine="600"/>
    </w:pPr>
    <w:rPr>
      <w:color w:val="000000"/>
      <w:sz w:val="26"/>
      <w:szCs w:val="26"/>
    </w:rPr>
  </w:style>
  <w:style w:type="paragraph" w:customStyle="1" w:styleId="headnote-e">
    <w:name w:val="headnote-e"/>
    <w:basedOn w:val="Normal"/>
    <w:rsid w:val="007B59E9"/>
    <w:pPr>
      <w:keepNext/>
      <w:snapToGrid w:val="0"/>
    </w:pPr>
    <w:rPr>
      <w:b/>
      <w:bCs/>
      <w:color w:val="000000"/>
      <w:sz w:val="26"/>
      <w:szCs w:val="26"/>
    </w:rPr>
  </w:style>
  <w:style w:type="character" w:customStyle="1" w:styleId="FooterChar">
    <w:name w:val="Footer Char"/>
    <w:link w:val="Footer"/>
    <w:uiPriority w:val="99"/>
    <w:rsid w:val="00F8737F"/>
    <w:rPr>
      <w:sz w:val="24"/>
      <w:szCs w:val="24"/>
    </w:rPr>
  </w:style>
  <w:style w:type="character" w:styleId="CommentReference">
    <w:name w:val="annotation reference"/>
    <w:rsid w:val="00BB4D4E"/>
    <w:rPr>
      <w:sz w:val="16"/>
      <w:szCs w:val="16"/>
    </w:rPr>
  </w:style>
  <w:style w:type="paragraph" w:styleId="CommentText">
    <w:name w:val="annotation text"/>
    <w:basedOn w:val="Normal"/>
    <w:link w:val="CommentTextChar"/>
    <w:rsid w:val="00BB4D4E"/>
    <w:rPr>
      <w:sz w:val="20"/>
      <w:szCs w:val="20"/>
    </w:rPr>
  </w:style>
  <w:style w:type="character" w:customStyle="1" w:styleId="CommentTextChar">
    <w:name w:val="Comment Text Char"/>
    <w:basedOn w:val="DefaultParagraphFont"/>
    <w:link w:val="CommentText"/>
    <w:rsid w:val="00BB4D4E"/>
  </w:style>
  <w:style w:type="paragraph" w:styleId="CommentSubject">
    <w:name w:val="annotation subject"/>
    <w:basedOn w:val="CommentText"/>
    <w:next w:val="CommentText"/>
    <w:link w:val="CommentSubjectChar"/>
    <w:rsid w:val="00BB4D4E"/>
    <w:rPr>
      <w:b/>
      <w:bCs/>
      <w:lang w:val="x-none" w:eastAsia="x-none"/>
    </w:rPr>
  </w:style>
  <w:style w:type="character" w:customStyle="1" w:styleId="CommentSubjectChar">
    <w:name w:val="Comment Subject Char"/>
    <w:link w:val="CommentSubject"/>
    <w:rsid w:val="00BB4D4E"/>
    <w:rPr>
      <w:b/>
      <w:bCs/>
    </w:rPr>
  </w:style>
  <w:style w:type="paragraph" w:styleId="PlainText">
    <w:name w:val="Plain Text"/>
    <w:basedOn w:val="Normal"/>
    <w:link w:val="PlainTextChar"/>
    <w:uiPriority w:val="99"/>
    <w:unhideWhenUsed/>
    <w:rsid w:val="00B71C68"/>
    <w:rPr>
      <w:rFonts w:ascii="Calibri" w:hAnsi="Calibri"/>
      <w:sz w:val="22"/>
      <w:szCs w:val="21"/>
      <w:lang w:val="x-none" w:eastAsia="x-none"/>
    </w:rPr>
  </w:style>
  <w:style w:type="character" w:customStyle="1" w:styleId="PlainTextChar">
    <w:name w:val="Plain Text Char"/>
    <w:link w:val="PlainText"/>
    <w:uiPriority w:val="99"/>
    <w:rsid w:val="00B71C68"/>
    <w:rPr>
      <w:rFonts w:ascii="Calibri" w:hAnsi="Calibri"/>
      <w:sz w:val="22"/>
      <w:szCs w:val="21"/>
    </w:rPr>
  </w:style>
  <w:style w:type="paragraph" w:customStyle="1" w:styleId="NUMBEREDParagraph">
    <w:name w:val="NUMBERED Paragraph"/>
    <w:basedOn w:val="Normal"/>
    <w:autoRedefine/>
    <w:rsid w:val="000105EC"/>
    <w:pPr>
      <w:widowControl w:val="0"/>
      <w:numPr>
        <w:numId w:val="1"/>
      </w:numPr>
      <w:ind w:left="900" w:right="4" w:hanging="900"/>
      <w:jc w:val="both"/>
    </w:pPr>
    <w:rPr>
      <w:rFonts w:ascii="Arial" w:hAnsi="Arial" w:cs="Arial"/>
      <w:kern w:val="26"/>
      <w:lang w:eastAsia="en-US"/>
    </w:rPr>
  </w:style>
  <w:style w:type="paragraph" w:customStyle="1" w:styleId="SignatureLine">
    <w:name w:val="Signature Line"/>
    <w:basedOn w:val="Normal"/>
    <w:rsid w:val="002306C0"/>
    <w:pPr>
      <w:keepNext/>
      <w:tabs>
        <w:tab w:val="right" w:leader="underscore" w:pos="9360"/>
      </w:tabs>
      <w:spacing w:before="720"/>
      <w:ind w:left="4680"/>
      <w:jc w:val="both"/>
    </w:pPr>
    <w:rPr>
      <w:kern w:val="26"/>
      <w:sz w:val="26"/>
      <w:szCs w:val="20"/>
      <w:lang w:eastAsia="en-US"/>
    </w:rPr>
  </w:style>
  <w:style w:type="paragraph" w:styleId="NormalWeb">
    <w:name w:val="Normal (Web)"/>
    <w:basedOn w:val="Normal"/>
    <w:rsid w:val="00404633"/>
  </w:style>
  <w:style w:type="paragraph" w:customStyle="1" w:styleId="CentredEntry">
    <w:name w:val="Centred Entry"/>
    <w:basedOn w:val="Normal"/>
    <w:autoRedefine/>
    <w:rsid w:val="005F7F37"/>
    <w:pPr>
      <w:ind w:firstLine="720"/>
      <w:jc w:val="center"/>
    </w:pPr>
    <w:rPr>
      <w:rFonts w:ascii="Arial" w:hAnsi="Arial" w:cs="Arial"/>
      <w:b/>
      <w:kern w:val="26"/>
      <w:sz w:val="28"/>
      <w:szCs w:val="28"/>
      <w:lang w:eastAsia="en-US"/>
    </w:rPr>
  </w:style>
  <w:style w:type="paragraph" w:customStyle="1" w:styleId="Mainparagraph">
    <w:name w:val="Main paragraph"/>
    <w:basedOn w:val="Normal"/>
    <w:uiPriority w:val="99"/>
    <w:rsid w:val="005F7F37"/>
    <w:pPr>
      <w:numPr>
        <w:numId w:val="2"/>
      </w:numPr>
      <w:tabs>
        <w:tab w:val="clear" w:pos="2340"/>
        <w:tab w:val="num" w:pos="1350"/>
      </w:tabs>
      <w:spacing w:after="240"/>
      <w:jc w:val="both"/>
    </w:pPr>
    <w:rPr>
      <w:szCs w:val="20"/>
      <w:lang w:eastAsia="en-US"/>
    </w:rPr>
  </w:style>
  <w:style w:type="paragraph" w:customStyle="1" w:styleId="Doubleindent-quote">
    <w:name w:val="Double indent-quote"/>
    <w:basedOn w:val="Normal"/>
    <w:uiPriority w:val="99"/>
    <w:rsid w:val="005F7F37"/>
    <w:pPr>
      <w:numPr>
        <w:ilvl w:val="1"/>
        <w:numId w:val="2"/>
      </w:numPr>
      <w:ind w:right="720"/>
      <w:jc w:val="both"/>
    </w:pPr>
    <w:rPr>
      <w:szCs w:val="20"/>
      <w:lang w:eastAsia="en-US"/>
    </w:rPr>
  </w:style>
  <w:style w:type="character" w:customStyle="1" w:styleId="Heading1Char">
    <w:name w:val="Heading 1 Char"/>
    <w:basedOn w:val="DefaultParagraphFont"/>
    <w:link w:val="Heading1"/>
    <w:rsid w:val="00A3141A"/>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5D282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D2822"/>
    <w:rPr>
      <w:rFonts w:asciiTheme="minorHAnsi" w:eastAsiaTheme="minorHAnsi" w:hAnsiTheme="minorHAnsi" w:cstheme="minorBidi"/>
      <w:lang w:eastAsia="en-US"/>
    </w:rPr>
  </w:style>
  <w:style w:type="character" w:styleId="FootnoteReference">
    <w:name w:val="footnote reference"/>
    <w:uiPriority w:val="99"/>
    <w:semiHidden/>
    <w:unhideWhenUsed/>
    <w:rsid w:val="005D2822"/>
    <w:rPr>
      <w:vertAlign w:val="superscript"/>
    </w:rPr>
  </w:style>
  <w:style w:type="character" w:customStyle="1" w:styleId="blue1">
    <w:name w:val="blue1"/>
    <w:basedOn w:val="DefaultParagraphFont"/>
    <w:rsid w:val="00F3771C"/>
    <w:rPr>
      <w:color w:val="004B91"/>
    </w:rPr>
  </w:style>
  <w:style w:type="paragraph" w:styleId="BodyTextIndent">
    <w:name w:val="Body Text Indent"/>
    <w:basedOn w:val="Normal"/>
    <w:link w:val="BodyTextIndentChar"/>
    <w:semiHidden/>
    <w:unhideWhenUsed/>
    <w:rsid w:val="0010701B"/>
    <w:pPr>
      <w:spacing w:after="120"/>
      <w:ind w:left="283"/>
    </w:pPr>
  </w:style>
  <w:style w:type="character" w:customStyle="1" w:styleId="BodyTextIndentChar">
    <w:name w:val="Body Text Indent Char"/>
    <w:basedOn w:val="DefaultParagraphFont"/>
    <w:link w:val="BodyTextIndent"/>
    <w:semiHidden/>
    <w:rsid w:val="0010701B"/>
    <w:rPr>
      <w:sz w:val="24"/>
      <w:szCs w:val="24"/>
    </w:rPr>
  </w:style>
  <w:style w:type="paragraph" w:customStyle="1" w:styleId="lettered">
    <w:name w:val="lettered"/>
    <w:basedOn w:val="Normal"/>
    <w:rsid w:val="0010701B"/>
    <w:pPr>
      <w:spacing w:line="360" w:lineRule="atLeast"/>
      <w:ind w:left="1440" w:hanging="720"/>
      <w:jc w:val="both"/>
    </w:pPr>
    <w:rPr>
      <w:rFonts w:ascii="Palatino" w:hAnsi="Palatino"/>
      <w:szCs w:val="20"/>
      <w:lang w:val="en-US" w:eastAsia="en-US"/>
    </w:rPr>
  </w:style>
  <w:style w:type="paragraph" w:customStyle="1" w:styleId="BodyB">
    <w:name w:val="Body B"/>
    <w:rsid w:val="00546804"/>
    <w:pPr>
      <w:pBdr>
        <w:top w:val="nil"/>
        <w:left w:val="nil"/>
        <w:bottom w:val="nil"/>
        <w:right w:val="nil"/>
        <w:between w:val="nil"/>
        <w:bar w:val="nil"/>
      </w:pBdr>
    </w:pPr>
    <w:rPr>
      <w:rFonts w:ascii="Cambria" w:eastAsia="Arial Unicode MS" w:hAnsi="Arial Unicode MS" w:cs="Arial Unicode MS"/>
      <w:color w:val="000000"/>
      <w:sz w:val="24"/>
      <w:szCs w:val="24"/>
      <w:u w:color="000000"/>
      <w:bdr w:val="nil"/>
      <w:lang w:val="en-US"/>
    </w:rPr>
  </w:style>
  <w:style w:type="numbering" w:customStyle="1" w:styleId="List51">
    <w:name w:val="List 51"/>
    <w:basedOn w:val="NoList"/>
    <w:rsid w:val="00546804"/>
    <w:pPr>
      <w:numPr>
        <w:numId w:val="8"/>
      </w:numPr>
    </w:pPr>
  </w:style>
  <w:style w:type="numbering" w:customStyle="1" w:styleId="List511">
    <w:name w:val="List 511"/>
    <w:basedOn w:val="NoList"/>
    <w:rsid w:val="00AB1D1C"/>
  </w:style>
  <w:style w:type="numbering" w:customStyle="1" w:styleId="List512">
    <w:name w:val="List 512"/>
    <w:basedOn w:val="NoList"/>
    <w:rsid w:val="00D5311A"/>
    <w:pPr>
      <w:numPr>
        <w:numId w:val="3"/>
      </w:numPr>
    </w:pPr>
  </w:style>
  <w:style w:type="numbering" w:customStyle="1" w:styleId="List13">
    <w:name w:val="List 13"/>
    <w:basedOn w:val="NoList"/>
    <w:rsid w:val="00D5311A"/>
    <w:pPr>
      <w:numPr>
        <w:numId w:val="11"/>
      </w:numPr>
    </w:pPr>
  </w:style>
  <w:style w:type="numbering" w:customStyle="1" w:styleId="List44">
    <w:name w:val="List 44"/>
    <w:basedOn w:val="NoList"/>
    <w:rsid w:val="00D5311A"/>
    <w:pPr>
      <w:numPr>
        <w:numId w:val="12"/>
      </w:numPr>
    </w:pPr>
  </w:style>
  <w:style w:type="numbering" w:customStyle="1" w:styleId="List513">
    <w:name w:val="List 513"/>
    <w:basedOn w:val="NoList"/>
    <w:rsid w:val="00D5311A"/>
    <w:pPr>
      <w:numPr>
        <w:numId w:val="13"/>
      </w:numPr>
    </w:pPr>
  </w:style>
  <w:style w:type="paragraph" w:customStyle="1" w:styleId="AParaNumbering">
    <w:name w:val="A. Para Numbering"/>
    <w:basedOn w:val="Normal"/>
    <w:link w:val="AParaNumberingChar"/>
    <w:autoRedefine/>
    <w:qFormat/>
    <w:rsid w:val="00BF514D"/>
    <w:pPr>
      <w:numPr>
        <w:ilvl w:val="1"/>
        <w:numId w:val="20"/>
      </w:numPr>
      <w:tabs>
        <w:tab w:val="clear" w:pos="786"/>
      </w:tabs>
      <w:spacing w:before="120" w:after="240" w:line="480" w:lineRule="auto"/>
      <w:ind w:left="0"/>
      <w:jc w:val="both"/>
    </w:pPr>
    <w:rPr>
      <w:rFonts w:ascii="Arial" w:hAnsi="Arial" w:cs="Arial"/>
      <w:lang w:eastAsia="en-US"/>
    </w:rPr>
  </w:style>
  <w:style w:type="character" w:customStyle="1" w:styleId="AParaNumberingChar">
    <w:name w:val="A. Para Numbering Char"/>
    <w:basedOn w:val="DefaultParagraphFont"/>
    <w:link w:val="AParaNumbering"/>
    <w:rsid w:val="00BF514D"/>
    <w:rPr>
      <w:rFonts w:ascii="Arial" w:hAnsi="Arial" w:cs="Arial"/>
      <w:sz w:val="24"/>
      <w:szCs w:val="24"/>
      <w:lang w:eastAsia="en-US"/>
    </w:rPr>
  </w:style>
  <w:style w:type="character" w:styleId="Emphasis">
    <w:name w:val="Emphasis"/>
    <w:basedOn w:val="DefaultParagraphFont"/>
    <w:qFormat/>
    <w:rsid w:val="004D1BAC"/>
    <w:rPr>
      <w:i/>
      <w:iCs/>
    </w:rPr>
  </w:style>
  <w:style w:type="character" w:styleId="FollowedHyperlink">
    <w:name w:val="FollowedHyperlink"/>
    <w:basedOn w:val="DefaultParagraphFont"/>
    <w:semiHidden/>
    <w:unhideWhenUsed/>
    <w:rsid w:val="009077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5341">
      <w:bodyDiv w:val="1"/>
      <w:marLeft w:val="0"/>
      <w:marRight w:val="0"/>
      <w:marTop w:val="0"/>
      <w:marBottom w:val="0"/>
      <w:divBdr>
        <w:top w:val="none" w:sz="0" w:space="0" w:color="auto"/>
        <w:left w:val="none" w:sz="0" w:space="0" w:color="auto"/>
        <w:bottom w:val="none" w:sz="0" w:space="0" w:color="auto"/>
        <w:right w:val="none" w:sz="0" w:space="0" w:color="auto"/>
      </w:divBdr>
      <w:divsChild>
        <w:div w:id="1812405650">
          <w:marLeft w:val="0"/>
          <w:marRight w:val="0"/>
          <w:marTop w:val="0"/>
          <w:marBottom w:val="0"/>
          <w:divBdr>
            <w:top w:val="none" w:sz="0" w:space="0" w:color="auto"/>
            <w:left w:val="none" w:sz="0" w:space="0" w:color="auto"/>
            <w:bottom w:val="none" w:sz="0" w:space="0" w:color="auto"/>
            <w:right w:val="none" w:sz="0" w:space="0" w:color="auto"/>
          </w:divBdr>
          <w:divsChild>
            <w:div w:id="51124218">
              <w:marLeft w:val="0"/>
              <w:marRight w:val="0"/>
              <w:marTop w:val="0"/>
              <w:marBottom w:val="0"/>
              <w:divBdr>
                <w:top w:val="none" w:sz="0" w:space="0" w:color="auto"/>
                <w:left w:val="none" w:sz="0" w:space="0" w:color="auto"/>
                <w:bottom w:val="none" w:sz="0" w:space="0" w:color="auto"/>
                <w:right w:val="none" w:sz="0" w:space="0" w:color="auto"/>
              </w:divBdr>
              <w:divsChild>
                <w:div w:id="1567185783">
                  <w:marLeft w:val="0"/>
                  <w:marRight w:val="-32"/>
                  <w:marTop w:val="75"/>
                  <w:marBottom w:val="0"/>
                  <w:divBdr>
                    <w:top w:val="none" w:sz="0" w:space="0" w:color="auto"/>
                    <w:left w:val="none" w:sz="0" w:space="0" w:color="auto"/>
                    <w:bottom w:val="none" w:sz="0" w:space="0" w:color="auto"/>
                    <w:right w:val="none" w:sz="0" w:space="0" w:color="auto"/>
                  </w:divBdr>
                  <w:divsChild>
                    <w:div w:id="696547606">
                      <w:marLeft w:val="0"/>
                      <w:marRight w:val="0"/>
                      <w:marTop w:val="0"/>
                      <w:marBottom w:val="0"/>
                      <w:divBdr>
                        <w:top w:val="none" w:sz="0" w:space="0" w:color="auto"/>
                        <w:left w:val="none" w:sz="0" w:space="0" w:color="auto"/>
                        <w:bottom w:val="none" w:sz="0" w:space="0" w:color="auto"/>
                        <w:right w:val="none" w:sz="0" w:space="0" w:color="auto"/>
                      </w:divBdr>
                      <w:divsChild>
                        <w:div w:id="5581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345806">
      <w:bodyDiv w:val="1"/>
      <w:marLeft w:val="0"/>
      <w:marRight w:val="0"/>
      <w:marTop w:val="0"/>
      <w:marBottom w:val="0"/>
      <w:divBdr>
        <w:top w:val="none" w:sz="0" w:space="0" w:color="auto"/>
        <w:left w:val="none" w:sz="0" w:space="0" w:color="auto"/>
        <w:bottom w:val="none" w:sz="0" w:space="0" w:color="auto"/>
        <w:right w:val="none" w:sz="0" w:space="0" w:color="auto"/>
      </w:divBdr>
    </w:div>
    <w:div w:id="470951068">
      <w:bodyDiv w:val="1"/>
      <w:marLeft w:val="0"/>
      <w:marRight w:val="0"/>
      <w:marTop w:val="0"/>
      <w:marBottom w:val="0"/>
      <w:divBdr>
        <w:top w:val="none" w:sz="0" w:space="0" w:color="auto"/>
        <w:left w:val="none" w:sz="0" w:space="0" w:color="auto"/>
        <w:bottom w:val="none" w:sz="0" w:space="0" w:color="auto"/>
        <w:right w:val="none" w:sz="0" w:space="0" w:color="auto"/>
      </w:divBdr>
    </w:div>
    <w:div w:id="600381412">
      <w:bodyDiv w:val="1"/>
      <w:marLeft w:val="0"/>
      <w:marRight w:val="0"/>
      <w:marTop w:val="0"/>
      <w:marBottom w:val="0"/>
      <w:divBdr>
        <w:top w:val="none" w:sz="0" w:space="0" w:color="auto"/>
        <w:left w:val="none" w:sz="0" w:space="0" w:color="auto"/>
        <w:bottom w:val="none" w:sz="0" w:space="0" w:color="auto"/>
        <w:right w:val="none" w:sz="0" w:space="0" w:color="auto"/>
      </w:divBdr>
      <w:divsChild>
        <w:div w:id="1168595445">
          <w:marLeft w:val="0"/>
          <w:marRight w:val="0"/>
          <w:marTop w:val="0"/>
          <w:marBottom w:val="0"/>
          <w:divBdr>
            <w:top w:val="none" w:sz="0" w:space="0" w:color="auto"/>
            <w:left w:val="none" w:sz="0" w:space="0" w:color="auto"/>
            <w:bottom w:val="none" w:sz="0" w:space="0" w:color="auto"/>
            <w:right w:val="none" w:sz="0" w:space="0" w:color="auto"/>
          </w:divBdr>
          <w:divsChild>
            <w:div w:id="445395773">
              <w:marLeft w:val="0"/>
              <w:marRight w:val="0"/>
              <w:marTop w:val="0"/>
              <w:marBottom w:val="0"/>
              <w:divBdr>
                <w:top w:val="none" w:sz="0" w:space="0" w:color="auto"/>
                <w:left w:val="none" w:sz="0" w:space="0" w:color="auto"/>
                <w:bottom w:val="none" w:sz="0" w:space="0" w:color="auto"/>
                <w:right w:val="none" w:sz="0" w:space="0" w:color="auto"/>
              </w:divBdr>
              <w:divsChild>
                <w:div w:id="1894924226">
                  <w:marLeft w:val="0"/>
                  <w:marRight w:val="-32"/>
                  <w:marTop w:val="75"/>
                  <w:marBottom w:val="0"/>
                  <w:divBdr>
                    <w:top w:val="none" w:sz="0" w:space="0" w:color="auto"/>
                    <w:left w:val="none" w:sz="0" w:space="0" w:color="auto"/>
                    <w:bottom w:val="none" w:sz="0" w:space="0" w:color="auto"/>
                    <w:right w:val="none" w:sz="0" w:space="0" w:color="auto"/>
                  </w:divBdr>
                  <w:divsChild>
                    <w:div w:id="1517839543">
                      <w:marLeft w:val="0"/>
                      <w:marRight w:val="0"/>
                      <w:marTop w:val="0"/>
                      <w:marBottom w:val="0"/>
                      <w:divBdr>
                        <w:top w:val="none" w:sz="0" w:space="0" w:color="auto"/>
                        <w:left w:val="none" w:sz="0" w:space="0" w:color="auto"/>
                        <w:bottom w:val="none" w:sz="0" w:space="0" w:color="auto"/>
                        <w:right w:val="none" w:sz="0" w:space="0" w:color="auto"/>
                      </w:divBdr>
                      <w:divsChild>
                        <w:div w:id="18301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630441">
      <w:bodyDiv w:val="1"/>
      <w:marLeft w:val="0"/>
      <w:marRight w:val="0"/>
      <w:marTop w:val="0"/>
      <w:marBottom w:val="0"/>
      <w:divBdr>
        <w:top w:val="none" w:sz="0" w:space="0" w:color="auto"/>
        <w:left w:val="none" w:sz="0" w:space="0" w:color="auto"/>
        <w:bottom w:val="none" w:sz="0" w:space="0" w:color="auto"/>
        <w:right w:val="none" w:sz="0" w:space="0" w:color="auto"/>
      </w:divBdr>
    </w:div>
    <w:div w:id="1006251288">
      <w:bodyDiv w:val="1"/>
      <w:marLeft w:val="0"/>
      <w:marRight w:val="0"/>
      <w:marTop w:val="0"/>
      <w:marBottom w:val="0"/>
      <w:divBdr>
        <w:top w:val="none" w:sz="0" w:space="0" w:color="auto"/>
        <w:left w:val="none" w:sz="0" w:space="0" w:color="auto"/>
        <w:bottom w:val="none" w:sz="0" w:space="0" w:color="auto"/>
        <w:right w:val="none" w:sz="0" w:space="0" w:color="auto"/>
      </w:divBdr>
    </w:div>
    <w:div w:id="1143960111">
      <w:bodyDiv w:val="1"/>
      <w:marLeft w:val="0"/>
      <w:marRight w:val="0"/>
      <w:marTop w:val="0"/>
      <w:marBottom w:val="0"/>
      <w:divBdr>
        <w:top w:val="none" w:sz="0" w:space="0" w:color="auto"/>
        <w:left w:val="none" w:sz="0" w:space="0" w:color="auto"/>
        <w:bottom w:val="none" w:sz="0" w:space="0" w:color="auto"/>
        <w:right w:val="none" w:sz="0" w:space="0" w:color="auto"/>
      </w:divBdr>
      <w:divsChild>
        <w:div w:id="1273365990">
          <w:marLeft w:val="0"/>
          <w:marRight w:val="0"/>
          <w:marTop w:val="0"/>
          <w:marBottom w:val="600"/>
          <w:divBdr>
            <w:top w:val="none" w:sz="0" w:space="0" w:color="auto"/>
            <w:left w:val="none" w:sz="0" w:space="0" w:color="auto"/>
            <w:bottom w:val="none" w:sz="0" w:space="0" w:color="auto"/>
            <w:right w:val="none" w:sz="0" w:space="0" w:color="auto"/>
          </w:divBdr>
          <w:divsChild>
            <w:div w:id="1348486404">
              <w:marLeft w:val="72"/>
              <w:marRight w:val="72"/>
              <w:marTop w:val="0"/>
              <w:marBottom w:val="0"/>
              <w:divBdr>
                <w:top w:val="none" w:sz="0" w:space="0" w:color="auto"/>
                <w:left w:val="none" w:sz="0" w:space="0" w:color="auto"/>
                <w:bottom w:val="none" w:sz="0" w:space="0" w:color="auto"/>
                <w:right w:val="none" w:sz="0" w:space="0" w:color="auto"/>
              </w:divBdr>
              <w:divsChild>
                <w:div w:id="4839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2146">
      <w:bodyDiv w:val="1"/>
      <w:marLeft w:val="0"/>
      <w:marRight w:val="0"/>
      <w:marTop w:val="0"/>
      <w:marBottom w:val="0"/>
      <w:divBdr>
        <w:top w:val="none" w:sz="0" w:space="0" w:color="auto"/>
        <w:left w:val="none" w:sz="0" w:space="0" w:color="auto"/>
        <w:bottom w:val="none" w:sz="0" w:space="0" w:color="auto"/>
        <w:right w:val="none" w:sz="0" w:space="0" w:color="auto"/>
      </w:divBdr>
      <w:divsChild>
        <w:div w:id="1572037321">
          <w:marLeft w:val="0"/>
          <w:marRight w:val="0"/>
          <w:marTop w:val="0"/>
          <w:marBottom w:val="0"/>
          <w:divBdr>
            <w:top w:val="none" w:sz="0" w:space="0" w:color="auto"/>
            <w:left w:val="none" w:sz="0" w:space="0" w:color="auto"/>
            <w:bottom w:val="none" w:sz="0" w:space="0" w:color="auto"/>
            <w:right w:val="none" w:sz="0" w:space="0" w:color="auto"/>
          </w:divBdr>
          <w:divsChild>
            <w:div w:id="597099609">
              <w:marLeft w:val="0"/>
              <w:marRight w:val="0"/>
              <w:marTop w:val="0"/>
              <w:marBottom w:val="0"/>
              <w:divBdr>
                <w:top w:val="none" w:sz="0" w:space="0" w:color="auto"/>
                <w:left w:val="none" w:sz="0" w:space="0" w:color="auto"/>
                <w:bottom w:val="none" w:sz="0" w:space="0" w:color="auto"/>
                <w:right w:val="none" w:sz="0" w:space="0" w:color="auto"/>
              </w:divBdr>
              <w:divsChild>
                <w:div w:id="378674322">
                  <w:marLeft w:val="0"/>
                  <w:marRight w:val="-32"/>
                  <w:marTop w:val="75"/>
                  <w:marBottom w:val="0"/>
                  <w:divBdr>
                    <w:top w:val="none" w:sz="0" w:space="0" w:color="auto"/>
                    <w:left w:val="none" w:sz="0" w:space="0" w:color="auto"/>
                    <w:bottom w:val="none" w:sz="0" w:space="0" w:color="auto"/>
                    <w:right w:val="none" w:sz="0" w:space="0" w:color="auto"/>
                  </w:divBdr>
                  <w:divsChild>
                    <w:div w:id="293877251">
                      <w:marLeft w:val="0"/>
                      <w:marRight w:val="0"/>
                      <w:marTop w:val="0"/>
                      <w:marBottom w:val="0"/>
                      <w:divBdr>
                        <w:top w:val="none" w:sz="0" w:space="0" w:color="auto"/>
                        <w:left w:val="none" w:sz="0" w:space="0" w:color="auto"/>
                        <w:bottom w:val="none" w:sz="0" w:space="0" w:color="auto"/>
                        <w:right w:val="none" w:sz="0" w:space="0" w:color="auto"/>
                      </w:divBdr>
                      <w:divsChild>
                        <w:div w:id="3879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83843">
      <w:bodyDiv w:val="1"/>
      <w:marLeft w:val="0"/>
      <w:marRight w:val="0"/>
      <w:marTop w:val="0"/>
      <w:marBottom w:val="0"/>
      <w:divBdr>
        <w:top w:val="none" w:sz="0" w:space="0" w:color="auto"/>
        <w:left w:val="none" w:sz="0" w:space="0" w:color="auto"/>
        <w:bottom w:val="none" w:sz="0" w:space="0" w:color="auto"/>
        <w:right w:val="none" w:sz="0" w:space="0" w:color="auto"/>
      </w:divBdr>
      <w:divsChild>
        <w:div w:id="2138447850">
          <w:marLeft w:val="0"/>
          <w:marRight w:val="0"/>
          <w:marTop w:val="0"/>
          <w:marBottom w:val="0"/>
          <w:divBdr>
            <w:top w:val="none" w:sz="0" w:space="0" w:color="auto"/>
            <w:left w:val="none" w:sz="0" w:space="0" w:color="auto"/>
            <w:bottom w:val="none" w:sz="0" w:space="0" w:color="auto"/>
            <w:right w:val="none" w:sz="0" w:space="0" w:color="auto"/>
          </w:divBdr>
          <w:divsChild>
            <w:div w:id="729353624">
              <w:marLeft w:val="0"/>
              <w:marRight w:val="0"/>
              <w:marTop w:val="0"/>
              <w:marBottom w:val="0"/>
              <w:divBdr>
                <w:top w:val="none" w:sz="0" w:space="0" w:color="auto"/>
                <w:left w:val="none" w:sz="0" w:space="0" w:color="auto"/>
                <w:bottom w:val="none" w:sz="0" w:space="0" w:color="auto"/>
                <w:right w:val="none" w:sz="0" w:space="0" w:color="auto"/>
              </w:divBdr>
              <w:divsChild>
                <w:div w:id="727805998">
                  <w:marLeft w:val="0"/>
                  <w:marRight w:val="-32"/>
                  <w:marTop w:val="75"/>
                  <w:marBottom w:val="0"/>
                  <w:divBdr>
                    <w:top w:val="none" w:sz="0" w:space="0" w:color="auto"/>
                    <w:left w:val="none" w:sz="0" w:space="0" w:color="auto"/>
                    <w:bottom w:val="none" w:sz="0" w:space="0" w:color="auto"/>
                    <w:right w:val="none" w:sz="0" w:space="0" w:color="auto"/>
                  </w:divBdr>
                  <w:divsChild>
                    <w:div w:id="2090536552">
                      <w:marLeft w:val="0"/>
                      <w:marRight w:val="0"/>
                      <w:marTop w:val="0"/>
                      <w:marBottom w:val="0"/>
                      <w:divBdr>
                        <w:top w:val="none" w:sz="0" w:space="0" w:color="auto"/>
                        <w:left w:val="none" w:sz="0" w:space="0" w:color="auto"/>
                        <w:bottom w:val="none" w:sz="0" w:space="0" w:color="auto"/>
                        <w:right w:val="none" w:sz="0" w:space="0" w:color="auto"/>
                      </w:divBdr>
                      <w:divsChild>
                        <w:div w:id="12659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90767">
      <w:bodyDiv w:val="1"/>
      <w:marLeft w:val="0"/>
      <w:marRight w:val="0"/>
      <w:marTop w:val="0"/>
      <w:marBottom w:val="0"/>
      <w:divBdr>
        <w:top w:val="none" w:sz="0" w:space="0" w:color="auto"/>
        <w:left w:val="none" w:sz="0" w:space="0" w:color="auto"/>
        <w:bottom w:val="none" w:sz="0" w:space="0" w:color="auto"/>
        <w:right w:val="none" w:sz="0" w:space="0" w:color="auto"/>
      </w:divBdr>
      <w:divsChild>
        <w:div w:id="845947312">
          <w:marLeft w:val="0"/>
          <w:marRight w:val="0"/>
          <w:marTop w:val="0"/>
          <w:marBottom w:val="0"/>
          <w:divBdr>
            <w:top w:val="none" w:sz="0" w:space="0" w:color="auto"/>
            <w:left w:val="none" w:sz="0" w:space="0" w:color="auto"/>
            <w:bottom w:val="none" w:sz="0" w:space="0" w:color="auto"/>
            <w:right w:val="none" w:sz="0" w:space="0" w:color="auto"/>
          </w:divBdr>
          <w:divsChild>
            <w:div w:id="14238309">
              <w:marLeft w:val="0"/>
              <w:marRight w:val="0"/>
              <w:marTop w:val="0"/>
              <w:marBottom w:val="0"/>
              <w:divBdr>
                <w:top w:val="none" w:sz="0" w:space="0" w:color="auto"/>
                <w:left w:val="none" w:sz="0" w:space="0" w:color="auto"/>
                <w:bottom w:val="none" w:sz="0" w:space="0" w:color="auto"/>
                <w:right w:val="none" w:sz="0" w:space="0" w:color="auto"/>
              </w:divBdr>
              <w:divsChild>
                <w:div w:id="1797749215">
                  <w:marLeft w:val="0"/>
                  <w:marRight w:val="-32"/>
                  <w:marTop w:val="75"/>
                  <w:marBottom w:val="0"/>
                  <w:divBdr>
                    <w:top w:val="none" w:sz="0" w:space="0" w:color="auto"/>
                    <w:left w:val="none" w:sz="0" w:space="0" w:color="auto"/>
                    <w:bottom w:val="none" w:sz="0" w:space="0" w:color="auto"/>
                    <w:right w:val="none" w:sz="0" w:space="0" w:color="auto"/>
                  </w:divBdr>
                  <w:divsChild>
                    <w:div w:id="1095246439">
                      <w:marLeft w:val="0"/>
                      <w:marRight w:val="0"/>
                      <w:marTop w:val="0"/>
                      <w:marBottom w:val="0"/>
                      <w:divBdr>
                        <w:top w:val="none" w:sz="0" w:space="0" w:color="auto"/>
                        <w:left w:val="none" w:sz="0" w:space="0" w:color="auto"/>
                        <w:bottom w:val="none" w:sz="0" w:space="0" w:color="auto"/>
                        <w:right w:val="none" w:sz="0" w:space="0" w:color="auto"/>
                      </w:divBdr>
                      <w:divsChild>
                        <w:div w:id="2086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0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8A4A1-359E-40BC-9A38-04BB087E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9036</Words>
  <Characters>45488</Characters>
  <Application>Microsoft Office Word</Application>
  <DocSecurity>4</DocSecurity>
  <Lines>379</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 de paix Paul Welsh</dc:title>
  <dc:subject>Conduite, plainte</dc:subject>
  <dc:creator/>
  <cp:keywords>Conduite, plainte</cp:keywords>
  <cp:lastModifiedBy/>
  <cp:revision>1</cp:revision>
  <dcterms:created xsi:type="dcterms:W3CDTF">2018-04-03T14:09:00Z</dcterms:created>
  <dcterms:modified xsi:type="dcterms:W3CDTF">2018-04-03T14:09:00Z</dcterms:modified>
</cp:coreProperties>
</file>