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710FA" w14:textId="14A041C6" w:rsidR="00D12C1C" w:rsidRPr="004C29A3" w:rsidRDefault="000E1119" w:rsidP="00D12C1C">
      <w:pPr>
        <w:spacing w:after="960"/>
        <w:ind w:right="-180"/>
        <w:jc w:val="center"/>
        <w:rPr>
          <w:rFonts w:ascii="Arial" w:hAnsi="Arial" w:cs="Arial"/>
          <w:b/>
          <w:sz w:val="36"/>
          <w:szCs w:val="36"/>
          <w:lang w:val="fr-CA"/>
        </w:rPr>
      </w:pPr>
      <w:bookmarkStart w:id="0" w:name="_GoBack"/>
      <w:bookmarkEnd w:id="0"/>
      <w:r w:rsidRPr="004C29A3">
        <w:rPr>
          <w:rFonts w:ascii="Arial" w:hAnsi="Arial" w:cs="Arial"/>
          <w:b/>
          <w:bCs/>
          <w:sz w:val="36"/>
          <w:szCs w:val="36"/>
          <w:lang w:val="fr-CA"/>
        </w:rPr>
        <w:t>Conseil d’évaluation des juges de paix</w:t>
      </w:r>
    </w:p>
    <w:p w14:paraId="4602F0EE" w14:textId="47F6F767" w:rsidR="00D12C1C" w:rsidRPr="004C29A3" w:rsidRDefault="000E1119" w:rsidP="00371DD6">
      <w:pPr>
        <w:spacing w:after="120" w:line="240" w:lineRule="auto"/>
        <w:ind w:right="-181"/>
        <w:jc w:val="center"/>
        <w:rPr>
          <w:rFonts w:ascii="Arial" w:hAnsi="Arial" w:cs="Arial"/>
          <w:b/>
          <w:sz w:val="32"/>
          <w:szCs w:val="32"/>
          <w:lang w:val="fr-CA"/>
        </w:rPr>
      </w:pPr>
      <w:r w:rsidRPr="004C29A3">
        <w:rPr>
          <w:rFonts w:ascii="Arial" w:hAnsi="Arial" w:cs="Arial"/>
          <w:b/>
          <w:bCs/>
          <w:sz w:val="32"/>
          <w:szCs w:val="32"/>
          <w:lang w:val="fr-CA"/>
        </w:rPr>
        <w:t xml:space="preserve">DANS L’AFFAIRE D’UNE AUDIENCE EN VERTU DE L'ARTICLE 11.1 DE LA </w:t>
      </w:r>
      <w:r w:rsidRPr="004C29A3">
        <w:rPr>
          <w:rFonts w:ascii="Arial" w:hAnsi="Arial" w:cs="Arial"/>
          <w:b/>
          <w:bCs/>
          <w:i/>
          <w:iCs/>
          <w:sz w:val="32"/>
          <w:szCs w:val="32"/>
          <w:lang w:val="fr-CA"/>
        </w:rPr>
        <w:t>LOI SUR LES JUGES DE PAIX</w:t>
      </w:r>
      <w:r w:rsidRPr="004C29A3">
        <w:rPr>
          <w:rFonts w:ascii="Arial" w:hAnsi="Arial" w:cs="Arial"/>
          <w:b/>
          <w:bCs/>
          <w:sz w:val="32"/>
          <w:szCs w:val="32"/>
          <w:lang w:val="fr-CA"/>
        </w:rPr>
        <w:t>, L.R.O. 1990, ch. J.4, DANS SA VERSION MODIFIÉE,</w:t>
      </w:r>
    </w:p>
    <w:p w14:paraId="79E1B772" w14:textId="23E0AAD4" w:rsidR="00D12C1C" w:rsidRPr="004C29A3" w:rsidRDefault="00D12C1C" w:rsidP="00371DD6">
      <w:pPr>
        <w:tabs>
          <w:tab w:val="left" w:pos="4678"/>
        </w:tabs>
        <w:spacing w:after="120"/>
        <w:ind w:right="-180"/>
        <w:jc w:val="center"/>
        <w:rPr>
          <w:rFonts w:ascii="Arial" w:hAnsi="Arial" w:cs="Arial"/>
          <w:b/>
          <w:sz w:val="32"/>
          <w:szCs w:val="32"/>
          <w:lang w:val="fr-CA"/>
        </w:rPr>
      </w:pPr>
    </w:p>
    <w:p w14:paraId="63477A36" w14:textId="0F5E1B49" w:rsidR="00D12C1C" w:rsidRPr="004C29A3" w:rsidRDefault="000E1119" w:rsidP="005C2D76">
      <w:pPr>
        <w:spacing w:before="120"/>
        <w:ind w:right="-181"/>
        <w:jc w:val="center"/>
        <w:rPr>
          <w:rFonts w:ascii="Arial" w:hAnsi="Arial" w:cs="Arial"/>
          <w:b/>
          <w:sz w:val="32"/>
          <w:lang w:val="fr-CA"/>
        </w:rPr>
      </w:pPr>
      <w:r w:rsidRPr="004C29A3">
        <w:rPr>
          <w:rFonts w:ascii="Arial" w:hAnsi="Arial" w:cs="Arial"/>
          <w:b/>
          <w:sz w:val="32"/>
          <w:lang w:val="fr-CA"/>
        </w:rPr>
        <w:t xml:space="preserve">En ce qui concerne une plainte au sujet de la conduite </w:t>
      </w:r>
    </w:p>
    <w:p w14:paraId="482855BD" w14:textId="47356AA6" w:rsidR="00D12C1C" w:rsidRPr="004C29A3" w:rsidRDefault="00EF4D5A" w:rsidP="00D12C1C">
      <w:pPr>
        <w:spacing w:after="1080"/>
        <w:ind w:right="-180"/>
        <w:jc w:val="center"/>
        <w:rPr>
          <w:rFonts w:ascii="Arial" w:hAnsi="Arial" w:cs="Arial"/>
          <w:b/>
          <w:lang w:val="fr-CA"/>
        </w:rPr>
      </w:pPr>
      <w:r w:rsidRPr="004C29A3">
        <w:rPr>
          <w:rFonts w:ascii="Arial" w:hAnsi="Arial" w:cs="Arial"/>
          <w:b/>
          <w:bCs/>
          <w:sz w:val="32"/>
          <w:szCs w:val="32"/>
          <w:lang w:val="fr-CA"/>
        </w:rPr>
        <w:t xml:space="preserve">de la </w:t>
      </w:r>
      <w:r w:rsidR="000E1119" w:rsidRPr="004C29A3">
        <w:rPr>
          <w:rFonts w:ascii="Arial" w:hAnsi="Arial" w:cs="Arial"/>
          <w:b/>
          <w:bCs/>
          <w:sz w:val="32"/>
          <w:szCs w:val="32"/>
          <w:lang w:val="fr-CA"/>
        </w:rPr>
        <w:t>juge de paix</w:t>
      </w:r>
      <w:r w:rsidR="000E1119" w:rsidRPr="004C29A3">
        <w:rPr>
          <w:rFonts w:ascii="Arial" w:hAnsi="Arial" w:cs="Arial"/>
          <w:b/>
          <w:sz w:val="32"/>
          <w:lang w:val="fr-CA"/>
        </w:rPr>
        <w:t xml:space="preserve"> </w:t>
      </w:r>
      <w:r w:rsidR="00884FA7" w:rsidRPr="004C29A3">
        <w:rPr>
          <w:rFonts w:ascii="Arial" w:hAnsi="Arial" w:cs="Arial"/>
          <w:b/>
          <w:sz w:val="32"/>
          <w:lang w:val="fr-CA"/>
        </w:rPr>
        <w:t>Adele Romagnoli</w:t>
      </w:r>
    </w:p>
    <w:p w14:paraId="4E6E119F" w14:textId="5CF67FB3" w:rsidR="00D12C1C" w:rsidRPr="004C29A3" w:rsidRDefault="000E1119" w:rsidP="00D12C1C">
      <w:pPr>
        <w:tabs>
          <w:tab w:val="left" w:pos="1134"/>
        </w:tabs>
        <w:ind w:left="1134" w:right="-187" w:hanging="1077"/>
        <w:rPr>
          <w:rFonts w:ascii="Arial" w:hAnsi="Arial" w:cs="Arial"/>
          <w:sz w:val="26"/>
          <w:szCs w:val="26"/>
          <w:lang w:val="fr-CA"/>
        </w:rPr>
      </w:pPr>
      <w:r w:rsidRPr="004C29A3">
        <w:rPr>
          <w:rFonts w:ascii="Arial" w:hAnsi="Arial" w:cs="Arial"/>
          <w:b/>
          <w:sz w:val="26"/>
          <w:szCs w:val="26"/>
          <w:lang w:val="fr-CA"/>
        </w:rPr>
        <w:t xml:space="preserve">Devant </w:t>
      </w:r>
      <w:r w:rsidR="00884FA7" w:rsidRPr="004C29A3">
        <w:rPr>
          <w:rFonts w:ascii="Arial" w:hAnsi="Arial" w:cs="Arial"/>
          <w:b/>
          <w:sz w:val="26"/>
          <w:szCs w:val="26"/>
          <w:lang w:val="fr-CA"/>
        </w:rPr>
        <w:t xml:space="preserve">: </w:t>
      </w:r>
      <w:r w:rsidR="00884FA7" w:rsidRPr="004C29A3">
        <w:rPr>
          <w:rFonts w:ascii="Arial" w:hAnsi="Arial" w:cs="Arial"/>
          <w:b/>
          <w:sz w:val="26"/>
          <w:szCs w:val="26"/>
          <w:lang w:val="fr-CA"/>
        </w:rPr>
        <w:tab/>
      </w:r>
      <w:r w:rsidRPr="004C29A3">
        <w:rPr>
          <w:rFonts w:ascii="Arial" w:hAnsi="Arial" w:cs="Arial"/>
          <w:sz w:val="26"/>
          <w:szCs w:val="26"/>
          <w:lang w:val="fr-CA"/>
        </w:rPr>
        <w:t>L’honorable juge</w:t>
      </w:r>
      <w:r w:rsidRPr="004C29A3">
        <w:rPr>
          <w:rFonts w:ascii="Arial" w:hAnsi="Arial" w:cs="Arial"/>
          <w:b/>
          <w:sz w:val="26"/>
          <w:szCs w:val="26"/>
          <w:lang w:val="fr-CA"/>
        </w:rPr>
        <w:t xml:space="preserve"> </w:t>
      </w:r>
      <w:r w:rsidR="00884FA7" w:rsidRPr="004C29A3">
        <w:rPr>
          <w:rFonts w:ascii="Arial" w:hAnsi="Arial" w:cs="Arial"/>
          <w:sz w:val="26"/>
          <w:szCs w:val="26"/>
          <w:lang w:val="fr-CA"/>
        </w:rPr>
        <w:t>Diane M. Lahaie (</w:t>
      </w:r>
      <w:r w:rsidRPr="004C29A3">
        <w:rPr>
          <w:rFonts w:ascii="Arial" w:hAnsi="Arial" w:cs="Arial"/>
          <w:lang w:val="fr-CA"/>
        </w:rPr>
        <w:t>présidente</w:t>
      </w:r>
      <w:r w:rsidR="00884FA7" w:rsidRPr="004C29A3">
        <w:rPr>
          <w:rFonts w:ascii="Arial" w:hAnsi="Arial" w:cs="Arial"/>
          <w:sz w:val="26"/>
          <w:szCs w:val="26"/>
          <w:lang w:val="fr-CA"/>
        </w:rPr>
        <w:t>)</w:t>
      </w:r>
    </w:p>
    <w:p w14:paraId="6FA6D20E" w14:textId="19F000D8" w:rsidR="00D12C1C" w:rsidRPr="004C29A3" w:rsidRDefault="00884FA7" w:rsidP="00D12C1C">
      <w:pPr>
        <w:tabs>
          <w:tab w:val="left" w:pos="1134"/>
        </w:tabs>
        <w:ind w:left="1134" w:right="-187" w:hanging="1077"/>
        <w:rPr>
          <w:rFonts w:ascii="Arial" w:hAnsi="Arial" w:cs="Arial"/>
          <w:sz w:val="26"/>
          <w:szCs w:val="26"/>
          <w:lang w:val="fr-CA"/>
        </w:rPr>
      </w:pPr>
      <w:r w:rsidRPr="004C29A3">
        <w:rPr>
          <w:rFonts w:ascii="Arial" w:hAnsi="Arial" w:cs="Arial"/>
          <w:sz w:val="26"/>
          <w:szCs w:val="26"/>
          <w:lang w:val="fr-CA"/>
        </w:rPr>
        <w:tab/>
      </w:r>
      <w:r w:rsidR="000E1119" w:rsidRPr="004C29A3">
        <w:rPr>
          <w:rFonts w:ascii="Arial" w:hAnsi="Arial" w:cs="Arial"/>
          <w:sz w:val="26"/>
          <w:szCs w:val="26"/>
          <w:lang w:val="fr-CA"/>
        </w:rPr>
        <w:t xml:space="preserve">    Le juge de paix </w:t>
      </w:r>
      <w:r w:rsidRPr="004C29A3">
        <w:rPr>
          <w:rFonts w:ascii="Arial" w:hAnsi="Arial" w:cs="Arial"/>
          <w:sz w:val="26"/>
          <w:szCs w:val="26"/>
          <w:lang w:val="fr-CA"/>
        </w:rPr>
        <w:t>Bruce Leaman</w:t>
      </w:r>
    </w:p>
    <w:p w14:paraId="6DD5665C" w14:textId="7AE67CA3" w:rsidR="00D12C1C" w:rsidRPr="004C29A3" w:rsidRDefault="00884FA7" w:rsidP="00D12C1C">
      <w:pPr>
        <w:tabs>
          <w:tab w:val="left" w:pos="1134"/>
        </w:tabs>
        <w:ind w:left="1134" w:right="-187" w:hanging="1077"/>
        <w:rPr>
          <w:rFonts w:ascii="Arial" w:hAnsi="Arial" w:cs="Arial"/>
          <w:sz w:val="26"/>
          <w:szCs w:val="26"/>
          <w:lang w:val="fr-CA"/>
        </w:rPr>
      </w:pPr>
      <w:r w:rsidRPr="004C29A3">
        <w:rPr>
          <w:rFonts w:ascii="Arial" w:hAnsi="Arial" w:cs="Arial"/>
          <w:sz w:val="26"/>
          <w:szCs w:val="26"/>
          <w:lang w:val="fr-CA"/>
        </w:rPr>
        <w:tab/>
      </w:r>
      <w:r w:rsidR="000E1119" w:rsidRPr="004C29A3">
        <w:rPr>
          <w:rFonts w:ascii="Arial" w:hAnsi="Arial" w:cs="Arial"/>
          <w:sz w:val="26"/>
          <w:szCs w:val="26"/>
          <w:lang w:val="fr-CA"/>
        </w:rPr>
        <w:t xml:space="preserve">    </w:t>
      </w:r>
      <w:r w:rsidRPr="004C29A3">
        <w:rPr>
          <w:rFonts w:ascii="Arial" w:hAnsi="Arial" w:cs="Arial"/>
          <w:sz w:val="26"/>
          <w:szCs w:val="26"/>
          <w:lang w:val="fr-CA"/>
        </w:rPr>
        <w:t xml:space="preserve">S. Margot Blight, </w:t>
      </w:r>
      <w:r w:rsidR="000E1119" w:rsidRPr="004C29A3">
        <w:rPr>
          <w:rFonts w:ascii="Arial" w:hAnsi="Arial" w:cs="Arial"/>
          <w:sz w:val="26"/>
          <w:szCs w:val="26"/>
          <w:lang w:val="fr-CA"/>
        </w:rPr>
        <w:t>membre avocate</w:t>
      </w:r>
    </w:p>
    <w:p w14:paraId="2EC4BA41" w14:textId="2614DF7C" w:rsidR="00D12C1C" w:rsidRPr="004C29A3" w:rsidRDefault="000E1119" w:rsidP="00855202">
      <w:pPr>
        <w:tabs>
          <w:tab w:val="left" w:pos="1134"/>
        </w:tabs>
        <w:spacing w:before="720" w:after="1440"/>
        <w:ind w:right="-180"/>
        <w:jc w:val="center"/>
        <w:rPr>
          <w:rFonts w:ascii="Arial" w:hAnsi="Arial" w:cs="Arial"/>
          <w:b/>
          <w:sz w:val="28"/>
          <w:szCs w:val="28"/>
          <w:lang w:val="fr-CA"/>
        </w:rPr>
      </w:pPr>
      <w:r w:rsidRPr="004C29A3">
        <w:rPr>
          <w:rFonts w:ascii="Arial" w:hAnsi="Arial" w:cs="Arial"/>
          <w:b/>
          <w:sz w:val="28"/>
          <w:szCs w:val="28"/>
          <w:lang w:val="fr-CA"/>
        </w:rPr>
        <w:t>Comité d’audition du Conseil d’évaluation des juges de paix</w:t>
      </w:r>
    </w:p>
    <w:p w14:paraId="4C2A1991" w14:textId="67A88F64" w:rsidR="00D12C1C" w:rsidRPr="004C29A3" w:rsidRDefault="000E1119" w:rsidP="00855202">
      <w:pPr>
        <w:spacing w:before="720" w:after="1440"/>
        <w:ind w:right="-180"/>
        <w:jc w:val="center"/>
        <w:rPr>
          <w:rFonts w:ascii="Arial" w:hAnsi="Arial" w:cs="Arial"/>
          <w:b/>
          <w:sz w:val="28"/>
          <w:szCs w:val="28"/>
          <w:lang w:val="fr-CA"/>
        </w:rPr>
      </w:pPr>
      <w:r w:rsidRPr="004C29A3">
        <w:rPr>
          <w:rFonts w:ascii="Arial" w:hAnsi="Arial" w:cs="Arial"/>
          <w:b/>
          <w:sz w:val="26"/>
          <w:szCs w:val="26"/>
          <w:lang w:val="fr-CA"/>
        </w:rPr>
        <w:t>MOTIFS DE DÉCISION</w:t>
      </w:r>
    </w:p>
    <w:p w14:paraId="0623B43C" w14:textId="7D5EE296" w:rsidR="00D12C1C" w:rsidRPr="004C29A3" w:rsidRDefault="00860CC3" w:rsidP="002C2C61">
      <w:pPr>
        <w:tabs>
          <w:tab w:val="left" w:pos="4253"/>
        </w:tabs>
        <w:spacing w:after="0" w:line="240" w:lineRule="auto"/>
        <w:ind w:right="-181"/>
        <w:rPr>
          <w:rFonts w:ascii="Arial" w:hAnsi="Arial" w:cs="Arial"/>
          <w:sz w:val="26"/>
          <w:szCs w:val="24"/>
          <w:lang w:val="fr-CA"/>
        </w:rPr>
      </w:pPr>
      <w:r w:rsidRPr="004C29A3">
        <w:rPr>
          <w:rFonts w:ascii="Arial" w:hAnsi="Arial" w:cs="Arial"/>
          <w:sz w:val="26"/>
          <w:szCs w:val="24"/>
          <w:lang w:val="fr-CA"/>
        </w:rPr>
        <w:t>M</w:t>
      </w:r>
      <w:r w:rsidR="000E1119" w:rsidRPr="004C29A3">
        <w:rPr>
          <w:rFonts w:ascii="Arial" w:hAnsi="Arial" w:cs="Arial"/>
          <w:sz w:val="26"/>
          <w:szCs w:val="24"/>
          <w:lang w:val="fr-CA"/>
        </w:rPr>
        <w:t>e</w:t>
      </w:r>
      <w:r w:rsidR="00EF4D5A" w:rsidRPr="004C29A3">
        <w:rPr>
          <w:rFonts w:ascii="Arial" w:hAnsi="Arial" w:cs="Arial"/>
          <w:sz w:val="26"/>
          <w:szCs w:val="24"/>
          <w:lang w:val="fr-CA"/>
        </w:rPr>
        <w:t xml:space="preserve"> Owen M. Rees</w:t>
      </w:r>
      <w:r w:rsidR="00EF4D5A" w:rsidRPr="004C29A3">
        <w:rPr>
          <w:rFonts w:ascii="Arial" w:hAnsi="Arial" w:cs="Arial"/>
          <w:sz w:val="26"/>
          <w:szCs w:val="24"/>
          <w:lang w:val="fr-CA"/>
        </w:rPr>
        <w:tab/>
      </w:r>
      <w:r w:rsidR="00884FA7" w:rsidRPr="004C29A3">
        <w:rPr>
          <w:rFonts w:ascii="Arial" w:hAnsi="Arial" w:cs="Arial"/>
          <w:sz w:val="26"/>
          <w:szCs w:val="24"/>
          <w:lang w:val="fr-CA"/>
        </w:rPr>
        <w:t>M</w:t>
      </w:r>
      <w:r w:rsidR="000E1119" w:rsidRPr="004C29A3">
        <w:rPr>
          <w:rFonts w:ascii="Arial" w:hAnsi="Arial" w:cs="Arial"/>
          <w:sz w:val="26"/>
          <w:szCs w:val="24"/>
          <w:lang w:val="fr-CA"/>
        </w:rPr>
        <w:t>e</w:t>
      </w:r>
      <w:r w:rsidR="00884FA7" w:rsidRPr="004C29A3">
        <w:rPr>
          <w:rFonts w:ascii="Arial" w:hAnsi="Arial" w:cs="Arial"/>
          <w:sz w:val="26"/>
          <w:szCs w:val="24"/>
          <w:lang w:val="fr-CA"/>
        </w:rPr>
        <w:t xml:space="preserve"> Mark Sandler </w:t>
      </w:r>
      <w:r w:rsidR="000E1119" w:rsidRPr="004C29A3">
        <w:rPr>
          <w:rFonts w:ascii="Arial" w:hAnsi="Arial" w:cs="Arial"/>
          <w:sz w:val="26"/>
          <w:szCs w:val="24"/>
          <w:lang w:val="fr-CA"/>
        </w:rPr>
        <w:t>et</w:t>
      </w:r>
      <w:r w:rsidR="00884FA7" w:rsidRPr="004C29A3">
        <w:rPr>
          <w:rFonts w:ascii="Arial" w:hAnsi="Arial" w:cs="Arial"/>
          <w:sz w:val="26"/>
          <w:szCs w:val="24"/>
          <w:lang w:val="fr-CA"/>
        </w:rPr>
        <w:t xml:space="preserve"> M</w:t>
      </w:r>
      <w:r w:rsidR="000E1119" w:rsidRPr="004C29A3">
        <w:rPr>
          <w:rFonts w:ascii="Arial" w:hAnsi="Arial" w:cs="Arial"/>
          <w:sz w:val="26"/>
          <w:szCs w:val="24"/>
          <w:lang w:val="fr-CA"/>
        </w:rPr>
        <w:t>e</w:t>
      </w:r>
      <w:r w:rsidR="00884FA7" w:rsidRPr="004C29A3">
        <w:rPr>
          <w:rFonts w:ascii="Arial" w:hAnsi="Arial" w:cs="Arial"/>
          <w:sz w:val="26"/>
          <w:szCs w:val="24"/>
          <w:lang w:val="fr-CA"/>
        </w:rPr>
        <w:t xml:space="preserve"> Amanda Ross</w:t>
      </w:r>
    </w:p>
    <w:p w14:paraId="22C60C22" w14:textId="4C7E93AC" w:rsidR="00D12C1C" w:rsidRPr="004C29A3" w:rsidRDefault="00884FA7" w:rsidP="002C2C61">
      <w:pPr>
        <w:spacing w:after="0" w:line="240" w:lineRule="auto"/>
        <w:ind w:left="4253" w:right="-181" w:hanging="4253"/>
        <w:rPr>
          <w:rFonts w:ascii="Arial" w:hAnsi="Arial" w:cs="Arial"/>
          <w:sz w:val="26"/>
          <w:szCs w:val="24"/>
          <w:lang w:val="fr-CA"/>
        </w:rPr>
      </w:pPr>
      <w:r w:rsidRPr="004C29A3">
        <w:rPr>
          <w:rFonts w:ascii="Arial" w:hAnsi="Arial" w:cs="Arial"/>
          <w:sz w:val="26"/>
          <w:szCs w:val="24"/>
          <w:lang w:val="fr-CA"/>
        </w:rPr>
        <w:t>Conway Baxter Wil</w:t>
      </w:r>
      <w:r w:rsidR="00812A93" w:rsidRPr="004C29A3">
        <w:rPr>
          <w:rFonts w:ascii="Arial" w:hAnsi="Arial" w:cs="Arial"/>
          <w:sz w:val="26"/>
          <w:szCs w:val="24"/>
          <w:lang w:val="fr-CA"/>
        </w:rPr>
        <w:t>son LLP/s.r.l.</w:t>
      </w:r>
      <w:r w:rsidR="00855202" w:rsidRPr="004C29A3">
        <w:rPr>
          <w:rFonts w:ascii="Arial" w:hAnsi="Arial" w:cs="Arial"/>
          <w:sz w:val="26"/>
          <w:szCs w:val="24"/>
          <w:lang w:val="fr-CA"/>
        </w:rPr>
        <w:tab/>
      </w:r>
      <w:r w:rsidRPr="004C29A3">
        <w:rPr>
          <w:rFonts w:ascii="Arial" w:hAnsi="Arial" w:cs="Arial"/>
          <w:sz w:val="26"/>
          <w:szCs w:val="24"/>
          <w:lang w:val="fr-CA"/>
        </w:rPr>
        <w:t>Cooper, Sandler, Shime and Bergman</w:t>
      </w:r>
    </w:p>
    <w:p w14:paraId="655EE167" w14:textId="77777777" w:rsidR="00582A54" w:rsidRPr="004C29A3" w:rsidRDefault="00582A54" w:rsidP="00582A54">
      <w:pPr>
        <w:pStyle w:val="PlainText"/>
        <w:tabs>
          <w:tab w:val="left" w:pos="4230"/>
        </w:tabs>
        <w:ind w:right="-181"/>
        <w:rPr>
          <w:rFonts w:ascii="Arial" w:hAnsi="Arial" w:cs="Arial"/>
          <w:sz w:val="26"/>
          <w:szCs w:val="24"/>
          <w:lang w:val="fr-CA"/>
        </w:rPr>
      </w:pPr>
    </w:p>
    <w:p w14:paraId="22CC3FE2" w14:textId="7FF4A0B7" w:rsidR="00D12C1C" w:rsidRPr="004C29A3" w:rsidRDefault="000E1119" w:rsidP="00582A54">
      <w:pPr>
        <w:pStyle w:val="PlainText"/>
        <w:tabs>
          <w:tab w:val="left" w:pos="4230"/>
        </w:tabs>
        <w:ind w:right="-181"/>
        <w:rPr>
          <w:rFonts w:ascii="Arial" w:hAnsi="Arial" w:cs="Arial"/>
          <w:sz w:val="26"/>
          <w:szCs w:val="24"/>
          <w:lang w:val="fr-CA"/>
        </w:rPr>
      </w:pPr>
      <w:r w:rsidRPr="004C29A3">
        <w:rPr>
          <w:rFonts w:ascii="Arial" w:hAnsi="Arial" w:cs="Arial"/>
          <w:sz w:val="26"/>
          <w:szCs w:val="24"/>
          <w:lang w:val="fr-CA"/>
        </w:rPr>
        <w:t>Avocat chargé de la présentation</w:t>
      </w:r>
      <w:r w:rsidR="00855202" w:rsidRPr="004C29A3">
        <w:rPr>
          <w:rFonts w:ascii="Arial" w:hAnsi="Arial" w:cs="Arial"/>
          <w:sz w:val="26"/>
          <w:szCs w:val="24"/>
          <w:lang w:val="fr-CA"/>
        </w:rPr>
        <w:tab/>
        <w:t xml:space="preserve"> </w:t>
      </w:r>
      <w:r w:rsidRPr="004C29A3">
        <w:rPr>
          <w:rFonts w:ascii="Arial" w:hAnsi="Arial" w:cs="Arial"/>
          <w:sz w:val="26"/>
          <w:szCs w:val="24"/>
          <w:lang w:val="fr-CA"/>
        </w:rPr>
        <w:t xml:space="preserve">Avocats de la juge de paix </w:t>
      </w:r>
      <w:r w:rsidR="00884FA7" w:rsidRPr="004C29A3">
        <w:rPr>
          <w:rFonts w:ascii="Arial" w:hAnsi="Arial" w:cs="Arial"/>
          <w:sz w:val="26"/>
          <w:szCs w:val="24"/>
          <w:lang w:val="fr-CA"/>
        </w:rPr>
        <w:t>Adele Romagnoli</w:t>
      </w:r>
    </w:p>
    <w:p w14:paraId="331A60E7" w14:textId="77777777" w:rsidR="00371DD6" w:rsidRPr="004C29A3" w:rsidRDefault="00371DD6">
      <w:pPr>
        <w:rPr>
          <w:rFonts w:ascii="Arial" w:eastAsiaTheme="majorEastAsia" w:hAnsi="Arial" w:cs="Arial"/>
          <w:b/>
          <w:color w:val="000000" w:themeColor="text1"/>
          <w:sz w:val="24"/>
          <w:szCs w:val="24"/>
          <w:lang w:val="fr-CA"/>
        </w:rPr>
      </w:pPr>
      <w:r w:rsidRPr="004C29A3">
        <w:rPr>
          <w:rFonts w:ascii="Arial" w:hAnsi="Arial" w:cs="Arial"/>
          <w:b/>
          <w:color w:val="000000" w:themeColor="text1"/>
          <w:sz w:val="24"/>
          <w:szCs w:val="24"/>
          <w:lang w:val="fr-CA"/>
        </w:rPr>
        <w:br w:type="page"/>
      </w:r>
    </w:p>
    <w:p w14:paraId="10BB782D" w14:textId="66104920" w:rsidR="00D12C1C" w:rsidRPr="004C29A3" w:rsidRDefault="000E1119" w:rsidP="00BC14F5">
      <w:pPr>
        <w:pStyle w:val="Heading1"/>
        <w:rPr>
          <w:rFonts w:ascii="Arial" w:hAnsi="Arial" w:cs="Arial"/>
          <w:b/>
          <w:color w:val="000000" w:themeColor="text1"/>
          <w:sz w:val="24"/>
          <w:szCs w:val="24"/>
          <w:lang w:val="fr-CA"/>
        </w:rPr>
      </w:pPr>
      <w:r w:rsidRPr="004C29A3">
        <w:rPr>
          <w:rFonts w:ascii="Arial" w:hAnsi="Arial" w:cs="Arial"/>
          <w:b/>
          <w:color w:val="000000" w:themeColor="text1"/>
          <w:sz w:val="24"/>
          <w:szCs w:val="24"/>
          <w:lang w:val="fr-CA"/>
        </w:rPr>
        <w:lastRenderedPageBreak/>
        <w:t>APERÇU</w:t>
      </w:r>
    </w:p>
    <w:p w14:paraId="02FE1D3C" w14:textId="77777777" w:rsidR="00D12C1C" w:rsidRPr="004C29A3" w:rsidRDefault="00D12C1C" w:rsidP="00D12C1C">
      <w:pPr>
        <w:rPr>
          <w:rFonts w:ascii="Arial" w:hAnsi="Arial" w:cs="Arial"/>
          <w:lang w:val="fr-CA"/>
        </w:rPr>
      </w:pPr>
    </w:p>
    <w:p w14:paraId="69B433D4" w14:textId="75B1C5DE" w:rsidR="00D12C1C" w:rsidRPr="004C29A3" w:rsidRDefault="00EF4D5A" w:rsidP="004C29A3">
      <w:pPr>
        <w:pStyle w:val="AParaNumbering"/>
        <w:rPr>
          <w:lang w:val="fr-CA"/>
        </w:rPr>
      </w:pPr>
      <w:r w:rsidRPr="004C29A3">
        <w:rPr>
          <w:lang w:val="fr-CA"/>
        </w:rPr>
        <w:t>[1]</w:t>
      </w:r>
      <w:r w:rsidRPr="004C29A3">
        <w:rPr>
          <w:lang w:val="fr-CA"/>
        </w:rPr>
        <w:tab/>
      </w:r>
      <w:r w:rsidR="00884FA7" w:rsidRPr="004C29A3">
        <w:rPr>
          <w:lang w:val="fr-CA"/>
        </w:rPr>
        <w:t xml:space="preserve">M. Hans Saamen, </w:t>
      </w:r>
      <w:r w:rsidR="000E1119" w:rsidRPr="004C29A3">
        <w:rPr>
          <w:lang w:val="fr-CA"/>
        </w:rPr>
        <w:t>directeur des poursuites de la municipalité régionale de York, a déposé une plainte, datée du 6 juillet</w:t>
      </w:r>
      <w:r w:rsidR="00884FA7" w:rsidRPr="004C29A3">
        <w:rPr>
          <w:lang w:val="fr-CA"/>
        </w:rPr>
        <w:t xml:space="preserve"> 2015</w:t>
      </w:r>
      <w:r w:rsidR="0069769C" w:rsidRPr="004C29A3">
        <w:rPr>
          <w:lang w:val="fr-CA"/>
        </w:rPr>
        <w:t>,</w:t>
      </w:r>
      <w:r w:rsidR="00884FA7" w:rsidRPr="004C29A3">
        <w:rPr>
          <w:lang w:val="fr-CA"/>
        </w:rPr>
        <w:t xml:space="preserve"> </w:t>
      </w:r>
      <w:r w:rsidR="000E1119" w:rsidRPr="004C29A3">
        <w:rPr>
          <w:lang w:val="fr-CA"/>
        </w:rPr>
        <w:t xml:space="preserve">contre la juge de paix </w:t>
      </w:r>
      <w:r w:rsidR="00884FA7" w:rsidRPr="004C29A3">
        <w:rPr>
          <w:lang w:val="fr-CA"/>
        </w:rPr>
        <w:t>Adele</w:t>
      </w:r>
      <w:r w:rsidR="00D43819" w:rsidRPr="004C29A3">
        <w:rPr>
          <w:lang w:val="fr-CA"/>
        </w:rPr>
        <w:t xml:space="preserve"> Romagnoli (</w:t>
      </w:r>
      <w:r w:rsidR="000E1119" w:rsidRPr="004C29A3">
        <w:rPr>
          <w:lang w:val="fr-CA"/>
        </w:rPr>
        <w:t>la « plainte »</w:t>
      </w:r>
      <w:r w:rsidR="00D43819" w:rsidRPr="004C29A3">
        <w:rPr>
          <w:lang w:val="fr-CA"/>
        </w:rPr>
        <w:t xml:space="preserve">). </w:t>
      </w:r>
      <w:r w:rsidR="000E1119" w:rsidRPr="004C29A3">
        <w:rPr>
          <w:lang w:val="fr-CA"/>
        </w:rPr>
        <w:t>L</w:t>
      </w:r>
      <w:r w:rsidRPr="004C29A3">
        <w:rPr>
          <w:lang w:val="fr-CA"/>
        </w:rPr>
        <w:t xml:space="preserve">a plainte découle d’allégations relatives à </w:t>
      </w:r>
      <w:r w:rsidR="000E1119" w:rsidRPr="004C29A3">
        <w:rPr>
          <w:lang w:val="fr-CA"/>
        </w:rPr>
        <w:t>la conduite de la juge de paix dans ou concernant des cours des infractions provinciales (le « palais de justice de</w:t>
      </w:r>
      <w:r w:rsidR="00884FA7" w:rsidRPr="004C29A3">
        <w:rPr>
          <w:lang w:val="fr-CA"/>
        </w:rPr>
        <w:t xml:space="preserve"> Tannery</w:t>
      </w:r>
      <w:r w:rsidR="000E1119" w:rsidRPr="004C29A3">
        <w:rPr>
          <w:lang w:val="fr-CA"/>
        </w:rPr>
        <w:t> »</w:t>
      </w:r>
      <w:r w:rsidR="00884FA7" w:rsidRPr="004C29A3">
        <w:rPr>
          <w:lang w:val="fr-CA"/>
        </w:rPr>
        <w:t>)</w:t>
      </w:r>
      <w:r w:rsidR="000E1119" w:rsidRPr="004C29A3">
        <w:rPr>
          <w:lang w:val="fr-CA"/>
        </w:rPr>
        <w:t>, à</w:t>
      </w:r>
      <w:r w:rsidR="00884FA7" w:rsidRPr="004C29A3">
        <w:rPr>
          <w:lang w:val="fr-CA"/>
        </w:rPr>
        <w:t xml:space="preserve"> Newmarket </w:t>
      </w:r>
      <w:r w:rsidR="000E1119" w:rsidRPr="004C29A3">
        <w:rPr>
          <w:lang w:val="fr-CA"/>
        </w:rPr>
        <w:t>et</w:t>
      </w:r>
      <w:r w:rsidR="00D43819" w:rsidRPr="004C29A3">
        <w:rPr>
          <w:lang w:val="fr-CA"/>
        </w:rPr>
        <w:t xml:space="preserve"> Richmond Hill</w:t>
      </w:r>
      <w:r w:rsidR="000E1119" w:rsidRPr="004C29A3">
        <w:rPr>
          <w:lang w:val="fr-CA"/>
        </w:rPr>
        <w:t xml:space="preserve"> (</w:t>
      </w:r>
      <w:r w:rsidR="00D43819" w:rsidRPr="004C29A3">
        <w:rPr>
          <w:lang w:val="fr-CA"/>
        </w:rPr>
        <w:t>Ontario</w:t>
      </w:r>
      <w:r w:rsidR="000E1119" w:rsidRPr="004C29A3">
        <w:rPr>
          <w:lang w:val="fr-CA"/>
        </w:rPr>
        <w:t>)</w:t>
      </w:r>
      <w:r w:rsidR="00D43819" w:rsidRPr="004C29A3">
        <w:rPr>
          <w:lang w:val="fr-CA"/>
        </w:rPr>
        <w:t xml:space="preserve">. </w:t>
      </w:r>
      <w:r w:rsidR="000E1119" w:rsidRPr="004C29A3">
        <w:rPr>
          <w:lang w:val="fr-CA"/>
        </w:rPr>
        <w:t>Aucune de ces allégations ne porte sur les responsabilités</w:t>
      </w:r>
      <w:r w:rsidRPr="004C29A3">
        <w:rPr>
          <w:lang w:val="fr-CA"/>
        </w:rPr>
        <w:t xml:space="preserve"> de la juge de paix à l’égard du tribunal </w:t>
      </w:r>
      <w:r w:rsidR="000E1119" w:rsidRPr="004C29A3">
        <w:rPr>
          <w:lang w:val="fr-CA"/>
        </w:rPr>
        <w:t>des affaires criminelles. Les allégations portent plutôt sur les fonctions de la juge de paix à la Cour des infractions provinciales</w:t>
      </w:r>
      <w:r w:rsidR="00884FA7" w:rsidRPr="004C29A3">
        <w:rPr>
          <w:lang w:val="fr-CA"/>
        </w:rPr>
        <w:t>.</w:t>
      </w:r>
    </w:p>
    <w:p w14:paraId="41352C3A" w14:textId="28A2FC8D" w:rsidR="00D12C1C" w:rsidRPr="004C29A3" w:rsidRDefault="000D0207" w:rsidP="004C29A3">
      <w:pPr>
        <w:pStyle w:val="AParaNumbering"/>
        <w:rPr>
          <w:lang w:val="fr-CA"/>
        </w:rPr>
      </w:pPr>
      <w:r w:rsidRPr="004C29A3">
        <w:rPr>
          <w:lang w:val="fr-CA"/>
        </w:rPr>
        <w:t>[2]</w:t>
      </w:r>
      <w:r w:rsidRPr="004C29A3">
        <w:rPr>
          <w:lang w:val="fr-CA"/>
        </w:rPr>
        <w:tab/>
      </w:r>
      <w:r w:rsidR="00F946FF" w:rsidRPr="004C29A3">
        <w:rPr>
          <w:lang w:val="fr-CA"/>
        </w:rPr>
        <w:t xml:space="preserve">Après avoir examiné la plainte, un comité des plaintes du Conseil d’évaluation des juges de paix (le « comité des plaintes ») a </w:t>
      </w:r>
      <w:r w:rsidR="00EF4D5A" w:rsidRPr="004C29A3">
        <w:rPr>
          <w:lang w:val="fr-CA"/>
        </w:rPr>
        <w:t xml:space="preserve">fait une recommandation provisoire </w:t>
      </w:r>
      <w:r w:rsidR="00F946FF" w:rsidRPr="004C29A3">
        <w:rPr>
          <w:lang w:val="fr-CA"/>
        </w:rPr>
        <w:t xml:space="preserve">au juge principal régional </w:t>
      </w:r>
      <w:r w:rsidR="00881B0A">
        <w:rPr>
          <w:lang w:val="fr-CA"/>
        </w:rPr>
        <w:t>portant que</w:t>
      </w:r>
      <w:r w:rsidR="00F946FF" w:rsidRPr="004C29A3">
        <w:rPr>
          <w:lang w:val="fr-CA"/>
        </w:rPr>
        <w:t xml:space="preserve"> la juge de paix soit affectée à un palais de justice</w:t>
      </w:r>
      <w:r w:rsidR="00884FA7" w:rsidRPr="004C29A3">
        <w:rPr>
          <w:lang w:val="fr-CA"/>
        </w:rPr>
        <w:t xml:space="preserve"> </w:t>
      </w:r>
      <w:r w:rsidR="00F946FF" w:rsidRPr="004C29A3">
        <w:rPr>
          <w:lang w:val="fr-CA"/>
        </w:rPr>
        <w:t>différent de celui qui est visé par la plainte en attendant le r</w:t>
      </w:r>
      <w:r w:rsidR="0013012B" w:rsidRPr="004C29A3">
        <w:rPr>
          <w:lang w:val="fr-CA"/>
        </w:rPr>
        <w:t>è</w:t>
      </w:r>
      <w:r w:rsidR="00F946FF" w:rsidRPr="004C29A3">
        <w:rPr>
          <w:lang w:val="fr-CA"/>
        </w:rPr>
        <w:t>glement définitif de la plainte. La juge de paix ne s’est pas opposée à cette recommandation. Le juge principal régional a accepté la recommandation provisoire et a affecté la juge de paix à un autre tribunal</w:t>
      </w:r>
      <w:r w:rsidR="00884FA7" w:rsidRPr="004C29A3">
        <w:rPr>
          <w:lang w:val="fr-CA"/>
        </w:rPr>
        <w:t xml:space="preserve">.  </w:t>
      </w:r>
    </w:p>
    <w:p w14:paraId="2FEE803E" w14:textId="0A9BAD44" w:rsidR="00D12C1C" w:rsidRPr="004C29A3" w:rsidRDefault="000D0207" w:rsidP="004C29A3">
      <w:pPr>
        <w:pStyle w:val="AParaNumbering"/>
        <w:rPr>
          <w:lang w:val="fr-CA"/>
        </w:rPr>
      </w:pPr>
      <w:r w:rsidRPr="004C29A3">
        <w:rPr>
          <w:lang w:val="fr-CA"/>
        </w:rPr>
        <w:t>[3]</w:t>
      </w:r>
      <w:r w:rsidRPr="004C29A3">
        <w:rPr>
          <w:lang w:val="fr-CA"/>
        </w:rPr>
        <w:tab/>
      </w:r>
      <w:r w:rsidR="00F946FF" w:rsidRPr="004C29A3">
        <w:rPr>
          <w:lang w:val="fr-CA"/>
        </w:rPr>
        <w:t xml:space="preserve">Après l’enquête sur la plainte, le comité des plaintes a ordonné que la plainte concernant la conduite de la juge de paix </w:t>
      </w:r>
      <w:r w:rsidR="00884FA7" w:rsidRPr="004C29A3">
        <w:rPr>
          <w:lang w:val="fr-CA"/>
        </w:rPr>
        <w:t xml:space="preserve">Romagnoli </w:t>
      </w:r>
      <w:r w:rsidR="00F946FF" w:rsidRPr="004C29A3">
        <w:rPr>
          <w:lang w:val="fr-CA"/>
        </w:rPr>
        <w:t xml:space="preserve">soit renvoyée à un comité d’audition du Conseil d’évaluation des juges de paix pour tenir une audience formelle en vertu de l’article </w:t>
      </w:r>
      <w:r w:rsidR="00884FA7" w:rsidRPr="004C29A3">
        <w:rPr>
          <w:lang w:val="fr-CA"/>
        </w:rPr>
        <w:t xml:space="preserve">11.1 </w:t>
      </w:r>
      <w:r w:rsidR="00F946FF" w:rsidRPr="004C29A3">
        <w:rPr>
          <w:sz w:val="22"/>
          <w:szCs w:val="22"/>
          <w:lang w:val="fr-CA"/>
        </w:rPr>
        <w:t xml:space="preserve">de la </w:t>
      </w:r>
      <w:r w:rsidR="00F946FF" w:rsidRPr="004C29A3">
        <w:rPr>
          <w:i/>
          <w:iCs/>
          <w:sz w:val="22"/>
          <w:szCs w:val="22"/>
          <w:lang w:val="fr-CA"/>
        </w:rPr>
        <w:t>Loi sur les juges de paix</w:t>
      </w:r>
      <w:r w:rsidR="00F946FF" w:rsidRPr="004C29A3">
        <w:rPr>
          <w:sz w:val="22"/>
          <w:szCs w:val="22"/>
          <w:lang w:val="fr-CA"/>
        </w:rPr>
        <w:t xml:space="preserve">, </w:t>
      </w:r>
      <w:r w:rsidR="00F946FF" w:rsidRPr="004C29A3">
        <w:rPr>
          <w:lang w:val="fr-CA"/>
        </w:rPr>
        <w:t>L.R</w:t>
      </w:r>
      <w:r w:rsidR="00884FA7" w:rsidRPr="004C29A3">
        <w:rPr>
          <w:lang w:val="fr-CA"/>
        </w:rPr>
        <w:t>.O. 1990, c</w:t>
      </w:r>
      <w:r w:rsidR="00F946FF" w:rsidRPr="004C29A3">
        <w:rPr>
          <w:lang w:val="fr-CA"/>
        </w:rPr>
        <w:t>hap</w:t>
      </w:r>
      <w:r w:rsidR="00884FA7" w:rsidRPr="004C29A3">
        <w:rPr>
          <w:lang w:val="fr-CA"/>
        </w:rPr>
        <w:t>.</w:t>
      </w:r>
      <w:r w:rsidR="00F946FF" w:rsidRPr="004C29A3">
        <w:rPr>
          <w:lang w:val="fr-CA"/>
        </w:rPr>
        <w:t> </w:t>
      </w:r>
      <w:r w:rsidR="00884FA7" w:rsidRPr="004C29A3">
        <w:rPr>
          <w:lang w:val="fr-CA"/>
        </w:rPr>
        <w:t>J.</w:t>
      </w:r>
      <w:r w:rsidR="00F946FF" w:rsidRPr="004C29A3">
        <w:rPr>
          <w:lang w:val="fr-CA"/>
        </w:rPr>
        <w:t> </w:t>
      </w:r>
      <w:r w:rsidR="00884FA7" w:rsidRPr="004C29A3">
        <w:rPr>
          <w:lang w:val="fr-CA"/>
        </w:rPr>
        <w:t xml:space="preserve">4, </w:t>
      </w:r>
      <w:r w:rsidR="00F946FF" w:rsidRPr="004C29A3">
        <w:rPr>
          <w:lang w:val="fr-CA"/>
        </w:rPr>
        <w:t>dans sa version modifiée (la « Loi »)</w:t>
      </w:r>
      <w:r w:rsidR="00D43819" w:rsidRPr="004C29A3">
        <w:rPr>
          <w:lang w:val="fr-CA"/>
        </w:rPr>
        <w:t xml:space="preserve">. </w:t>
      </w:r>
      <w:r w:rsidR="00F946FF" w:rsidRPr="004C29A3">
        <w:rPr>
          <w:lang w:val="fr-CA"/>
        </w:rPr>
        <w:t>L’Avis d’audience a été déposé comme pièce</w:t>
      </w:r>
      <w:r w:rsidR="00884FA7" w:rsidRPr="004C29A3">
        <w:rPr>
          <w:lang w:val="fr-CA"/>
        </w:rPr>
        <w:t xml:space="preserve"> 1.</w:t>
      </w:r>
    </w:p>
    <w:p w14:paraId="76B38A5C" w14:textId="523DFEB3" w:rsidR="00B71A40" w:rsidRPr="004C29A3" w:rsidRDefault="000D0207" w:rsidP="004C29A3">
      <w:pPr>
        <w:pStyle w:val="AParaNumbering"/>
        <w:rPr>
          <w:lang w:val="fr-CA"/>
        </w:rPr>
      </w:pPr>
      <w:r w:rsidRPr="004C29A3">
        <w:rPr>
          <w:lang w:val="fr-CA"/>
        </w:rPr>
        <w:t>[4]</w:t>
      </w:r>
      <w:r w:rsidRPr="004C29A3">
        <w:rPr>
          <w:lang w:val="fr-CA"/>
        </w:rPr>
        <w:tab/>
      </w:r>
      <w:r w:rsidR="00F946FF" w:rsidRPr="004C29A3">
        <w:rPr>
          <w:lang w:val="fr-CA"/>
        </w:rPr>
        <w:t>Le rôle d’un comité d’audition est de déterminer si les éléments de preuve pr</w:t>
      </w:r>
      <w:r w:rsidRPr="004C29A3">
        <w:rPr>
          <w:lang w:val="fr-CA"/>
        </w:rPr>
        <w:t>ésentés</w:t>
      </w:r>
      <w:r w:rsidR="00F946FF" w:rsidRPr="004C29A3">
        <w:rPr>
          <w:lang w:val="fr-CA"/>
        </w:rPr>
        <w:t xml:space="preserve"> à l’audience justifient </w:t>
      </w:r>
      <w:r w:rsidR="0013012B" w:rsidRPr="004C29A3">
        <w:rPr>
          <w:lang w:val="fr-CA"/>
        </w:rPr>
        <w:t xml:space="preserve">ou non </w:t>
      </w:r>
      <w:r w:rsidR="00F946FF" w:rsidRPr="004C29A3">
        <w:rPr>
          <w:lang w:val="fr-CA"/>
        </w:rPr>
        <w:t>une conclusion d’inconduite judiciaire</w:t>
      </w:r>
      <w:r w:rsidR="0013012B" w:rsidRPr="004C29A3">
        <w:rPr>
          <w:lang w:val="fr-CA"/>
        </w:rPr>
        <w:t>, de sorte qu’il convien</w:t>
      </w:r>
      <w:r w:rsidR="00D406F1" w:rsidRPr="004C29A3">
        <w:rPr>
          <w:lang w:val="fr-CA"/>
        </w:rPr>
        <w:t>ne</w:t>
      </w:r>
      <w:r w:rsidR="0013012B" w:rsidRPr="004C29A3">
        <w:rPr>
          <w:lang w:val="fr-CA"/>
        </w:rPr>
        <w:t xml:space="preserve"> de rejeter la plainte ou d’imposer une ou plusieurs des mesures énoncées au paragraphe </w:t>
      </w:r>
      <w:r w:rsidR="00B71A40" w:rsidRPr="004C29A3">
        <w:rPr>
          <w:lang w:val="fr-CA"/>
        </w:rPr>
        <w:t>11.1</w:t>
      </w:r>
      <w:r w:rsidR="00D406F1" w:rsidRPr="004C29A3">
        <w:rPr>
          <w:lang w:val="fr-CA"/>
        </w:rPr>
        <w:t> </w:t>
      </w:r>
      <w:r w:rsidR="00B71A40" w:rsidRPr="004C29A3">
        <w:rPr>
          <w:lang w:val="fr-CA"/>
        </w:rPr>
        <w:t>(10)</w:t>
      </w:r>
      <w:r w:rsidR="0013012B" w:rsidRPr="004C29A3">
        <w:rPr>
          <w:lang w:val="fr-CA"/>
        </w:rPr>
        <w:t xml:space="preserve"> de la Loi, en vue de rétablir la confiance du public à l’égard de l’officier de justice et de la magistrature</w:t>
      </w:r>
      <w:r w:rsidR="00B71A40" w:rsidRPr="004C29A3">
        <w:rPr>
          <w:lang w:val="fr-CA"/>
        </w:rPr>
        <w:t>.</w:t>
      </w:r>
    </w:p>
    <w:p w14:paraId="60CFE541" w14:textId="05C14AAA" w:rsidR="00B71A40" w:rsidRPr="004C29A3" w:rsidRDefault="00D406F1" w:rsidP="004C29A3">
      <w:pPr>
        <w:pStyle w:val="AParaNumbering"/>
        <w:rPr>
          <w:lang w:val="fr-CA"/>
        </w:rPr>
      </w:pPr>
      <w:r w:rsidRPr="004C29A3">
        <w:rPr>
          <w:lang w:val="fr-CA"/>
        </w:rPr>
        <w:t>[5]</w:t>
      </w:r>
      <w:r w:rsidRPr="004C29A3">
        <w:rPr>
          <w:lang w:val="fr-CA"/>
        </w:rPr>
        <w:tab/>
      </w:r>
      <w:r w:rsidR="0013012B" w:rsidRPr="004C29A3">
        <w:rPr>
          <w:lang w:val="fr-CA"/>
        </w:rPr>
        <w:t xml:space="preserve">Conformément au </w:t>
      </w:r>
      <w:r w:rsidR="0013012B" w:rsidRPr="004C29A3">
        <w:rPr>
          <w:i/>
          <w:lang w:val="fr-CA"/>
        </w:rPr>
        <w:t>Document de procédures</w:t>
      </w:r>
      <w:r w:rsidR="0013012B" w:rsidRPr="004C29A3">
        <w:rPr>
          <w:lang w:val="fr-CA"/>
        </w:rPr>
        <w:t xml:space="preserve"> du Conseil d’évaluation</w:t>
      </w:r>
      <w:r w:rsidR="00B71A40" w:rsidRPr="004C29A3">
        <w:rPr>
          <w:lang w:val="fr-CA"/>
        </w:rPr>
        <w:t xml:space="preserve"> </w:t>
      </w:r>
      <w:r w:rsidR="0013012B" w:rsidRPr="004C29A3">
        <w:rPr>
          <w:lang w:val="fr-CA"/>
        </w:rPr>
        <w:t xml:space="preserve">des juges de paix (le « Conseil d’évaluation »), le mandat de l’avocat chargé de la présentation </w:t>
      </w:r>
      <w:r w:rsidR="00760506" w:rsidRPr="004C29A3">
        <w:rPr>
          <w:lang w:val="fr-CA"/>
        </w:rPr>
        <w:lastRenderedPageBreak/>
        <w:t xml:space="preserve">engagé pour comparaître devant un comité d’audition </w:t>
      </w:r>
      <w:r w:rsidR="0013012B" w:rsidRPr="004C29A3">
        <w:rPr>
          <w:lang w:val="fr-CA"/>
        </w:rPr>
        <w:t xml:space="preserve">n’est pas d’essayer d’obtenir une décision particulière à l’encontre du juge de paix, mais plutôt </w:t>
      </w:r>
      <w:r w:rsidR="00760506" w:rsidRPr="004C29A3">
        <w:rPr>
          <w:lang w:val="fr-CA"/>
        </w:rPr>
        <w:t>de veiller à ce que la plainte portée contre le juge de paix soit évaluée équitablement et objectivement afin de parvenir à une décision juste</w:t>
      </w:r>
      <w:r w:rsidR="0013012B" w:rsidRPr="004C29A3">
        <w:rPr>
          <w:lang w:val="fr-CA"/>
        </w:rPr>
        <w:t xml:space="preserve"> </w:t>
      </w:r>
      <w:r w:rsidR="00760506" w:rsidRPr="004C29A3">
        <w:rPr>
          <w:lang w:val="fr-CA"/>
        </w:rPr>
        <w:t>et de préserver ou rétablir la confiance dans la magistrature.</w:t>
      </w:r>
    </w:p>
    <w:p w14:paraId="6BBA95D3" w14:textId="5CBDC1F1" w:rsidR="00D12C1C" w:rsidRPr="004C29A3" w:rsidRDefault="00D406F1" w:rsidP="004C29A3">
      <w:pPr>
        <w:pStyle w:val="AParaNumbering"/>
        <w:rPr>
          <w:lang w:val="fr-CA"/>
        </w:rPr>
      </w:pPr>
      <w:r w:rsidRPr="004C29A3">
        <w:rPr>
          <w:lang w:val="fr-CA"/>
        </w:rPr>
        <w:t>[6]</w:t>
      </w:r>
      <w:r w:rsidRPr="004C29A3">
        <w:rPr>
          <w:lang w:val="fr-CA"/>
        </w:rPr>
        <w:tab/>
      </w:r>
      <w:r w:rsidR="0069769C" w:rsidRPr="004C29A3">
        <w:rPr>
          <w:lang w:val="fr-CA"/>
        </w:rPr>
        <w:t>T</w:t>
      </w:r>
      <w:r w:rsidR="00760506" w:rsidRPr="004C29A3">
        <w:rPr>
          <w:lang w:val="fr-CA"/>
        </w:rPr>
        <w:t xml:space="preserve">rois semaines ont été </w:t>
      </w:r>
      <w:r w:rsidRPr="004C29A3">
        <w:rPr>
          <w:lang w:val="fr-CA"/>
        </w:rPr>
        <w:t>réservées</w:t>
      </w:r>
      <w:r w:rsidR="00760506" w:rsidRPr="004C29A3">
        <w:rPr>
          <w:lang w:val="fr-CA"/>
        </w:rPr>
        <w:t xml:space="preserve"> pour l’audition de la plainte. Après une conférence préparatoire à l’audience devant l’honorable juge </w:t>
      </w:r>
      <w:r w:rsidR="00884FA7" w:rsidRPr="004C29A3">
        <w:rPr>
          <w:lang w:val="fr-CA"/>
        </w:rPr>
        <w:t xml:space="preserve">Downes </w:t>
      </w:r>
      <w:r w:rsidR="00760506" w:rsidRPr="004C29A3">
        <w:rPr>
          <w:lang w:val="fr-CA"/>
        </w:rPr>
        <w:t xml:space="preserve">de la Cour de justice de l’Ontario, les parties ont pu réduire le nombre de questions en litige. En vue de l’audience, le 26 février </w:t>
      </w:r>
      <w:r w:rsidR="00884FA7" w:rsidRPr="004C29A3">
        <w:rPr>
          <w:lang w:val="fr-CA"/>
        </w:rPr>
        <w:t xml:space="preserve">2018, </w:t>
      </w:r>
      <w:r w:rsidR="00760506" w:rsidRPr="004C29A3">
        <w:rPr>
          <w:lang w:val="fr-CA"/>
        </w:rPr>
        <w:t xml:space="preserve">le comité d’audition </w:t>
      </w:r>
      <w:r w:rsidR="00B448DE" w:rsidRPr="004C29A3">
        <w:rPr>
          <w:lang w:val="fr-CA"/>
        </w:rPr>
        <w:t xml:space="preserve">a reçu un Exposé conjoint des faits préparé par l’avocat chargé de la présentation, </w:t>
      </w:r>
      <w:r w:rsidR="00884FA7" w:rsidRPr="004C29A3">
        <w:rPr>
          <w:lang w:val="fr-CA"/>
        </w:rPr>
        <w:t>M</w:t>
      </w:r>
      <w:r w:rsidR="00B448DE" w:rsidRPr="004C29A3">
        <w:rPr>
          <w:lang w:val="fr-CA"/>
        </w:rPr>
        <w:t>e</w:t>
      </w:r>
      <w:r w:rsidR="00884FA7" w:rsidRPr="004C29A3">
        <w:rPr>
          <w:lang w:val="fr-CA"/>
        </w:rPr>
        <w:t xml:space="preserve"> </w:t>
      </w:r>
      <w:r w:rsidR="00C2568E" w:rsidRPr="004C29A3">
        <w:rPr>
          <w:lang w:val="fr-CA"/>
        </w:rPr>
        <w:t xml:space="preserve">Owen </w:t>
      </w:r>
      <w:r w:rsidR="00884FA7" w:rsidRPr="004C29A3">
        <w:rPr>
          <w:lang w:val="fr-CA"/>
        </w:rPr>
        <w:t>Rees</w:t>
      </w:r>
      <w:r w:rsidR="00B448DE" w:rsidRPr="004C29A3">
        <w:rPr>
          <w:lang w:val="fr-CA"/>
        </w:rPr>
        <w:t xml:space="preserve">, et l’avocat de la juge de paix </w:t>
      </w:r>
      <w:r w:rsidR="00884FA7" w:rsidRPr="004C29A3">
        <w:rPr>
          <w:lang w:val="fr-CA"/>
        </w:rPr>
        <w:t>Romagnoli, M</w:t>
      </w:r>
      <w:r w:rsidR="00B448DE" w:rsidRPr="004C29A3">
        <w:rPr>
          <w:lang w:val="fr-CA"/>
        </w:rPr>
        <w:t>e</w:t>
      </w:r>
      <w:r w:rsidR="00884FA7" w:rsidRPr="004C29A3">
        <w:rPr>
          <w:lang w:val="fr-CA"/>
        </w:rPr>
        <w:t xml:space="preserve"> </w:t>
      </w:r>
      <w:r w:rsidR="00C2568E" w:rsidRPr="004C29A3">
        <w:rPr>
          <w:lang w:val="fr-CA"/>
        </w:rPr>
        <w:t xml:space="preserve">Mark </w:t>
      </w:r>
      <w:r w:rsidR="00884FA7" w:rsidRPr="004C29A3">
        <w:rPr>
          <w:lang w:val="fr-CA"/>
        </w:rPr>
        <w:t xml:space="preserve">Sandler. </w:t>
      </w:r>
      <w:r w:rsidR="00B448DE" w:rsidRPr="004C29A3">
        <w:rPr>
          <w:lang w:val="fr-CA"/>
        </w:rPr>
        <w:t xml:space="preserve">L’Exposé conjoint des faits a été déposé comme pièce </w:t>
      </w:r>
      <w:r w:rsidR="0069769C" w:rsidRPr="004C29A3">
        <w:rPr>
          <w:lang w:val="fr-CA"/>
        </w:rPr>
        <w:t>2A</w:t>
      </w:r>
      <w:r w:rsidR="00D103B0" w:rsidRPr="004C29A3">
        <w:rPr>
          <w:lang w:val="fr-CA"/>
        </w:rPr>
        <w:t xml:space="preserve"> </w:t>
      </w:r>
      <w:r w:rsidR="00B448DE" w:rsidRPr="004C29A3">
        <w:rPr>
          <w:lang w:val="fr-CA"/>
        </w:rPr>
        <w:t>dans l’instance en question. Une grande partie du contenu d</w:t>
      </w:r>
      <w:r w:rsidRPr="004C29A3">
        <w:rPr>
          <w:lang w:val="fr-CA"/>
        </w:rPr>
        <w:t>e</w:t>
      </w:r>
      <w:r w:rsidR="00B448DE" w:rsidRPr="004C29A3">
        <w:rPr>
          <w:lang w:val="fr-CA"/>
        </w:rPr>
        <w:t xml:space="preserve"> l’Exposé conjoint des faits est reproduit dans les présents motifs, car les faits et principes qui y sont énoncés sont acceptés par le comité d’audition</w:t>
      </w:r>
      <w:r w:rsidR="00884FA7" w:rsidRPr="004C29A3">
        <w:rPr>
          <w:lang w:val="fr-CA"/>
        </w:rPr>
        <w:t>.</w:t>
      </w:r>
    </w:p>
    <w:p w14:paraId="7012AE8B" w14:textId="51733164" w:rsidR="00492B4C" w:rsidRPr="004C29A3" w:rsidRDefault="00D406F1" w:rsidP="004C29A3">
      <w:pPr>
        <w:pStyle w:val="AParaNumbering"/>
        <w:rPr>
          <w:lang w:val="fr-CA"/>
        </w:rPr>
      </w:pPr>
      <w:r w:rsidRPr="004C29A3">
        <w:rPr>
          <w:lang w:val="fr-CA"/>
        </w:rPr>
        <w:t>[7]</w:t>
      </w:r>
      <w:r w:rsidRPr="004C29A3">
        <w:rPr>
          <w:lang w:val="fr-CA"/>
        </w:rPr>
        <w:tab/>
      </w:r>
      <w:r w:rsidR="00B448DE" w:rsidRPr="004C29A3">
        <w:rPr>
          <w:lang w:val="fr-CA"/>
        </w:rPr>
        <w:t xml:space="preserve">L’Avis d’audience contenait trois catégories d’allégations d’inconduite, décrites ci-après de la façon suivante : </w:t>
      </w:r>
    </w:p>
    <w:p w14:paraId="17BF041C" w14:textId="1DE1A384" w:rsidR="00C23D1A" w:rsidRPr="004C29A3" w:rsidRDefault="00B448DE" w:rsidP="004C29A3">
      <w:pPr>
        <w:pStyle w:val="AParaNumbering"/>
        <w:rPr>
          <w:lang w:val="fr-CA"/>
        </w:rPr>
      </w:pPr>
      <w:r w:rsidRPr="004C29A3">
        <w:rPr>
          <w:lang w:val="fr-CA"/>
        </w:rPr>
        <w:t>1</w:t>
      </w:r>
      <w:r w:rsidRPr="004C29A3">
        <w:rPr>
          <w:vertAlign w:val="superscript"/>
          <w:lang w:val="fr-CA"/>
        </w:rPr>
        <w:t>ère</w:t>
      </w:r>
      <w:r w:rsidRPr="004C29A3">
        <w:rPr>
          <w:lang w:val="fr-CA"/>
        </w:rPr>
        <w:t xml:space="preserve"> a</w:t>
      </w:r>
      <w:r w:rsidR="00C23D1A" w:rsidRPr="004C29A3">
        <w:rPr>
          <w:lang w:val="fr-CA"/>
        </w:rPr>
        <w:t>ll</w:t>
      </w:r>
      <w:r w:rsidRPr="004C29A3">
        <w:rPr>
          <w:lang w:val="fr-CA"/>
        </w:rPr>
        <w:t>é</w:t>
      </w:r>
      <w:r w:rsidR="00C23D1A" w:rsidRPr="004C29A3">
        <w:rPr>
          <w:lang w:val="fr-CA"/>
        </w:rPr>
        <w:t>gation :</w:t>
      </w:r>
      <w:r w:rsidRPr="004C29A3">
        <w:rPr>
          <w:lang w:val="fr-CA"/>
        </w:rPr>
        <w:tab/>
        <w:t>Omission de se mettre au courant du droit</w:t>
      </w:r>
      <w:r w:rsidR="00D406F1" w:rsidRPr="004C29A3">
        <w:rPr>
          <w:lang w:val="fr-CA"/>
        </w:rPr>
        <w:t>,</w:t>
      </w:r>
      <w:r w:rsidRPr="004C29A3">
        <w:rPr>
          <w:lang w:val="fr-CA"/>
        </w:rPr>
        <w:t xml:space="preserve"> de maintenir sa compétence </w:t>
      </w:r>
      <w:r w:rsidR="00E61559" w:rsidRPr="004C29A3">
        <w:rPr>
          <w:lang w:val="fr-CA"/>
        </w:rPr>
        <w:t>professionnelle en droit</w:t>
      </w:r>
      <w:r w:rsidRPr="004C29A3">
        <w:rPr>
          <w:rFonts w:eastAsia="Calibri"/>
          <w:color w:val="000000"/>
          <w:lang w:val="fr-CA"/>
        </w:rPr>
        <w:t xml:space="preserve"> et d’appliquer la loi.</w:t>
      </w:r>
    </w:p>
    <w:p w14:paraId="160D5228" w14:textId="3142FC72" w:rsidR="00C23D1A" w:rsidRPr="004C29A3" w:rsidRDefault="00B448DE" w:rsidP="004C29A3">
      <w:pPr>
        <w:pStyle w:val="AParaNumbering"/>
        <w:rPr>
          <w:lang w:val="fr-CA"/>
        </w:rPr>
      </w:pPr>
      <w:r w:rsidRPr="004C29A3">
        <w:rPr>
          <w:lang w:val="fr-CA"/>
        </w:rPr>
        <w:t>2</w:t>
      </w:r>
      <w:r w:rsidRPr="004C29A3">
        <w:rPr>
          <w:vertAlign w:val="superscript"/>
          <w:lang w:val="fr-CA"/>
        </w:rPr>
        <w:t>e</w:t>
      </w:r>
      <w:r w:rsidRPr="004C29A3">
        <w:rPr>
          <w:lang w:val="fr-CA"/>
        </w:rPr>
        <w:t xml:space="preserve"> a</w:t>
      </w:r>
      <w:r w:rsidR="00C23D1A" w:rsidRPr="004C29A3">
        <w:rPr>
          <w:lang w:val="fr-CA"/>
        </w:rPr>
        <w:t>ll</w:t>
      </w:r>
      <w:r w:rsidRPr="004C29A3">
        <w:rPr>
          <w:lang w:val="fr-CA"/>
        </w:rPr>
        <w:t>é</w:t>
      </w:r>
      <w:r w:rsidR="00C23D1A" w:rsidRPr="004C29A3">
        <w:rPr>
          <w:lang w:val="fr-CA"/>
        </w:rPr>
        <w:t>gation</w:t>
      </w:r>
      <w:r w:rsidRPr="004C29A3">
        <w:rPr>
          <w:lang w:val="fr-CA"/>
        </w:rPr>
        <w:t xml:space="preserve"> </w:t>
      </w:r>
      <w:r w:rsidR="00C23D1A" w:rsidRPr="004C29A3">
        <w:rPr>
          <w:lang w:val="fr-CA"/>
        </w:rPr>
        <w:t xml:space="preserve">: </w:t>
      </w:r>
      <w:r w:rsidRPr="004C29A3">
        <w:rPr>
          <w:lang w:val="fr-CA"/>
        </w:rPr>
        <w:tab/>
      </w:r>
      <w:r w:rsidR="00C23D1A" w:rsidRPr="004C29A3">
        <w:rPr>
          <w:lang w:val="fr-CA"/>
        </w:rPr>
        <w:t>A</w:t>
      </w:r>
      <w:r w:rsidRPr="004C29A3">
        <w:rPr>
          <w:lang w:val="fr-CA"/>
        </w:rPr>
        <w:t>journe</w:t>
      </w:r>
      <w:r w:rsidR="00E61559" w:rsidRPr="004C29A3">
        <w:rPr>
          <w:lang w:val="fr-CA"/>
        </w:rPr>
        <w:t>ment d’</w:t>
      </w:r>
      <w:r w:rsidRPr="004C29A3">
        <w:rPr>
          <w:lang w:val="fr-CA"/>
        </w:rPr>
        <w:t xml:space="preserve">affaires avant de rejeter des observations conjointes et </w:t>
      </w:r>
      <w:r w:rsidR="00E61559" w:rsidRPr="004C29A3">
        <w:rPr>
          <w:lang w:val="fr-CA"/>
        </w:rPr>
        <w:t>omission d</w:t>
      </w:r>
      <w:r w:rsidRPr="004C29A3">
        <w:rPr>
          <w:lang w:val="fr-CA"/>
        </w:rPr>
        <w:t xml:space="preserve">e rendre des décisions et de régler des affaires rapidement. </w:t>
      </w:r>
    </w:p>
    <w:p w14:paraId="345CDA97" w14:textId="3E46CFE7" w:rsidR="00B448DE" w:rsidRPr="004C29A3" w:rsidRDefault="00B448DE" w:rsidP="004C29A3">
      <w:pPr>
        <w:pStyle w:val="AParaNumbering"/>
        <w:rPr>
          <w:lang w:val="fr-CA"/>
        </w:rPr>
      </w:pPr>
      <w:r w:rsidRPr="004C29A3">
        <w:rPr>
          <w:lang w:val="fr-CA"/>
        </w:rPr>
        <w:t>3</w:t>
      </w:r>
      <w:r w:rsidRPr="004C29A3">
        <w:rPr>
          <w:vertAlign w:val="superscript"/>
          <w:lang w:val="fr-CA"/>
        </w:rPr>
        <w:t>e</w:t>
      </w:r>
      <w:r w:rsidRPr="004C29A3">
        <w:rPr>
          <w:lang w:val="fr-CA"/>
        </w:rPr>
        <w:t xml:space="preserve"> a</w:t>
      </w:r>
      <w:r w:rsidR="00C23D1A" w:rsidRPr="004C29A3">
        <w:rPr>
          <w:lang w:val="fr-CA"/>
        </w:rPr>
        <w:t>ll</w:t>
      </w:r>
      <w:r w:rsidRPr="004C29A3">
        <w:rPr>
          <w:lang w:val="fr-CA"/>
        </w:rPr>
        <w:t>é</w:t>
      </w:r>
      <w:r w:rsidR="00C23D1A" w:rsidRPr="004C29A3">
        <w:rPr>
          <w:lang w:val="fr-CA"/>
        </w:rPr>
        <w:t xml:space="preserve">gation : </w:t>
      </w:r>
      <w:r w:rsidRPr="004C29A3">
        <w:rPr>
          <w:lang w:val="fr-CA"/>
        </w:rPr>
        <w:tab/>
      </w:r>
      <w:r w:rsidR="005F4E23">
        <w:rPr>
          <w:lang w:val="fr-CA"/>
        </w:rPr>
        <w:t>Partialité</w:t>
      </w:r>
      <w:r w:rsidRPr="004C29A3">
        <w:rPr>
          <w:lang w:val="fr-CA"/>
        </w:rPr>
        <w:t xml:space="preserve"> (réelle ou perçue) </w:t>
      </w:r>
      <w:r w:rsidR="005F4E23">
        <w:rPr>
          <w:lang w:val="fr-CA"/>
        </w:rPr>
        <w:t>contre</w:t>
      </w:r>
      <w:r w:rsidRPr="004C29A3">
        <w:rPr>
          <w:lang w:val="fr-CA"/>
        </w:rPr>
        <w:t xml:space="preserve"> des poursuivants et la police.</w:t>
      </w:r>
    </w:p>
    <w:p w14:paraId="0ED82126" w14:textId="0DCA7EB2" w:rsidR="00D12C1C" w:rsidRPr="004C29A3" w:rsidRDefault="0020270A" w:rsidP="004C29A3">
      <w:pPr>
        <w:pStyle w:val="AParaNumbering"/>
        <w:rPr>
          <w:lang w:val="fr-CA"/>
        </w:rPr>
      </w:pPr>
      <w:r w:rsidRPr="004C29A3">
        <w:rPr>
          <w:lang w:val="fr-CA"/>
        </w:rPr>
        <w:t xml:space="preserve">[8] </w:t>
      </w:r>
      <w:r w:rsidRPr="004C29A3">
        <w:rPr>
          <w:lang w:val="fr-CA"/>
        </w:rPr>
        <w:tab/>
      </w:r>
      <w:r w:rsidR="00436F8E" w:rsidRPr="004C29A3">
        <w:rPr>
          <w:lang w:val="fr-CA"/>
        </w:rPr>
        <w:t>L’avocat chargé de la présentation n’a présenté aucune preuve relative aux 2</w:t>
      </w:r>
      <w:r w:rsidR="00436F8E" w:rsidRPr="004C29A3">
        <w:rPr>
          <w:vertAlign w:val="superscript"/>
          <w:lang w:val="fr-CA"/>
        </w:rPr>
        <w:t>e</w:t>
      </w:r>
      <w:r w:rsidR="00436F8E" w:rsidRPr="004C29A3">
        <w:rPr>
          <w:lang w:val="fr-CA"/>
        </w:rPr>
        <w:t xml:space="preserve"> et 3</w:t>
      </w:r>
      <w:r w:rsidR="00436F8E" w:rsidRPr="004C29A3">
        <w:rPr>
          <w:vertAlign w:val="superscript"/>
          <w:lang w:val="fr-CA"/>
        </w:rPr>
        <w:t>e</w:t>
      </w:r>
      <w:r w:rsidR="00436F8E" w:rsidRPr="004C29A3">
        <w:rPr>
          <w:lang w:val="fr-CA"/>
        </w:rPr>
        <w:t> allégations. Il a indiqué qu’au vu des renseignements fournis par la juge de paix et de ses entrevues avec divers témoins, il ne réclamerait pas de conclusion d’inconduite en ce qui concerne les 2</w:t>
      </w:r>
      <w:r w:rsidR="00436F8E" w:rsidRPr="004C29A3">
        <w:rPr>
          <w:vertAlign w:val="superscript"/>
          <w:lang w:val="fr-CA"/>
        </w:rPr>
        <w:t>e</w:t>
      </w:r>
      <w:r w:rsidR="00436F8E" w:rsidRPr="004C29A3">
        <w:rPr>
          <w:lang w:val="fr-CA"/>
        </w:rPr>
        <w:t xml:space="preserve"> et 3</w:t>
      </w:r>
      <w:r w:rsidR="00436F8E" w:rsidRPr="004C29A3">
        <w:rPr>
          <w:vertAlign w:val="superscript"/>
          <w:lang w:val="fr-CA"/>
        </w:rPr>
        <w:t>e</w:t>
      </w:r>
      <w:r w:rsidR="00436F8E" w:rsidRPr="004C29A3">
        <w:rPr>
          <w:lang w:val="fr-CA"/>
        </w:rPr>
        <w:t xml:space="preserve"> allégations</w:t>
      </w:r>
      <w:r w:rsidR="00D43819" w:rsidRPr="004C29A3">
        <w:rPr>
          <w:lang w:val="fr-CA"/>
        </w:rPr>
        <w:t xml:space="preserve">. </w:t>
      </w:r>
      <w:r w:rsidR="00436F8E" w:rsidRPr="004C29A3">
        <w:rPr>
          <w:lang w:val="fr-CA"/>
        </w:rPr>
        <w:t xml:space="preserve">De l’avis de l’avocat chargé de la présentation, il n’y avait pas </w:t>
      </w:r>
      <w:r w:rsidRPr="004C29A3">
        <w:rPr>
          <w:lang w:val="fr-CA"/>
        </w:rPr>
        <w:t>aucune</w:t>
      </w:r>
      <w:r w:rsidR="00436F8E" w:rsidRPr="004C29A3">
        <w:rPr>
          <w:lang w:val="fr-CA"/>
        </w:rPr>
        <w:t xml:space="preserve"> chance qu’une conclusion </w:t>
      </w:r>
      <w:r w:rsidRPr="004C29A3">
        <w:rPr>
          <w:lang w:val="fr-CA"/>
        </w:rPr>
        <w:t>d’inconduite soit faite</w:t>
      </w:r>
      <w:r w:rsidR="00436F8E" w:rsidRPr="004C29A3">
        <w:rPr>
          <w:lang w:val="fr-CA"/>
        </w:rPr>
        <w:t xml:space="preserve"> à l’égard de ces allégations</w:t>
      </w:r>
      <w:r w:rsidR="00D43819" w:rsidRPr="004C29A3">
        <w:rPr>
          <w:lang w:val="fr-CA"/>
        </w:rPr>
        <w:t>.</w:t>
      </w:r>
    </w:p>
    <w:p w14:paraId="17FA40E7" w14:textId="2E5471E5" w:rsidR="00400C89" w:rsidRPr="004C29A3" w:rsidRDefault="0020270A" w:rsidP="004C29A3">
      <w:pPr>
        <w:pStyle w:val="AParaNumbering"/>
        <w:rPr>
          <w:lang w:val="fr-CA"/>
        </w:rPr>
      </w:pPr>
      <w:r w:rsidRPr="004C29A3">
        <w:rPr>
          <w:lang w:val="fr-CA"/>
        </w:rPr>
        <w:lastRenderedPageBreak/>
        <w:t>[9]</w:t>
      </w:r>
      <w:r w:rsidRPr="004C29A3">
        <w:rPr>
          <w:lang w:val="fr-CA"/>
        </w:rPr>
        <w:tab/>
      </w:r>
      <w:r w:rsidR="00436F8E" w:rsidRPr="004C29A3">
        <w:rPr>
          <w:lang w:val="fr-CA"/>
        </w:rPr>
        <w:t>Après avoir examiné l’Exposé conjoint des faits, le comité d’audition a demandé que les transcriptions des instances judiciaires se rapportant à la 1</w:t>
      </w:r>
      <w:r w:rsidR="00436F8E" w:rsidRPr="004C29A3">
        <w:rPr>
          <w:vertAlign w:val="superscript"/>
          <w:lang w:val="fr-CA"/>
        </w:rPr>
        <w:t>ère</w:t>
      </w:r>
      <w:r w:rsidR="00436F8E" w:rsidRPr="004C29A3">
        <w:rPr>
          <w:lang w:val="fr-CA"/>
        </w:rPr>
        <w:t xml:space="preserve"> allégation soient versées au dossier public. Ces transcriptions ont été remises au comité d’audition et déposées comme pièce 3 à l’audience</w:t>
      </w:r>
      <w:r w:rsidR="00400C89" w:rsidRPr="004C29A3">
        <w:rPr>
          <w:lang w:val="fr-CA"/>
        </w:rPr>
        <w:t>.</w:t>
      </w:r>
    </w:p>
    <w:p w14:paraId="01382853" w14:textId="5BFEE2EB" w:rsidR="00D12C1C" w:rsidRPr="004C29A3" w:rsidRDefault="004C29A3" w:rsidP="004C29A3">
      <w:pPr>
        <w:pStyle w:val="AParaNumbering"/>
        <w:rPr>
          <w:lang w:val="fr-CA"/>
        </w:rPr>
      </w:pPr>
      <w:r w:rsidRPr="004C29A3">
        <w:rPr>
          <w:lang w:val="fr-CA"/>
        </w:rPr>
        <w:t>[10]</w:t>
      </w:r>
      <w:r w:rsidRPr="004C29A3">
        <w:rPr>
          <w:lang w:val="fr-CA"/>
        </w:rPr>
        <w:tab/>
      </w:r>
      <w:r w:rsidR="00520950" w:rsidRPr="004C29A3">
        <w:rPr>
          <w:lang w:val="fr-CA"/>
        </w:rPr>
        <w:t xml:space="preserve">Après avoir passé en revue les transcriptions, l’Exposé conjoint des faits et les observations des avocats, le comité d’audition </w:t>
      </w:r>
      <w:r w:rsidR="00EF58C0" w:rsidRPr="004C29A3">
        <w:rPr>
          <w:lang w:val="fr-CA"/>
        </w:rPr>
        <w:t xml:space="preserve">a conclu que dans les circonstances de l’affaire, les omissions, par la juge de paix, de se mettre au courant du droit, de maintenir sa compétence </w:t>
      </w:r>
      <w:r w:rsidRPr="004C29A3">
        <w:rPr>
          <w:lang w:val="fr-CA"/>
        </w:rPr>
        <w:t>professionnelle en droit</w:t>
      </w:r>
      <w:r w:rsidR="00EF58C0" w:rsidRPr="004C29A3">
        <w:rPr>
          <w:rFonts w:eastAsia="Calibri"/>
          <w:color w:val="000000"/>
          <w:lang w:val="fr-CA"/>
        </w:rPr>
        <w:t xml:space="preserve"> et d’appliquer la loi</w:t>
      </w:r>
      <w:r w:rsidR="00884FA7" w:rsidRPr="004C29A3">
        <w:rPr>
          <w:lang w:val="fr-CA"/>
        </w:rPr>
        <w:t xml:space="preserve">, </w:t>
      </w:r>
      <w:r w:rsidRPr="004C29A3">
        <w:rPr>
          <w:lang w:val="fr-CA"/>
        </w:rPr>
        <w:t>prises collectivement</w:t>
      </w:r>
      <w:r w:rsidR="00EF58C0" w:rsidRPr="004C29A3">
        <w:rPr>
          <w:lang w:val="fr-CA"/>
        </w:rPr>
        <w:t>, constitue</w:t>
      </w:r>
      <w:r w:rsidRPr="004C29A3">
        <w:rPr>
          <w:lang w:val="fr-CA"/>
        </w:rPr>
        <w:t>nt</w:t>
      </w:r>
      <w:r w:rsidR="00EF58C0" w:rsidRPr="004C29A3">
        <w:rPr>
          <w:lang w:val="fr-CA"/>
        </w:rPr>
        <w:t xml:space="preserve"> une inconduite judiciaire. </w:t>
      </w:r>
    </w:p>
    <w:p w14:paraId="626FB90A" w14:textId="18914B0D" w:rsidR="00D12C1C" w:rsidRPr="004C29A3" w:rsidRDefault="004C29A3" w:rsidP="004C29A3">
      <w:pPr>
        <w:pStyle w:val="AParaNumbering"/>
        <w:rPr>
          <w:lang w:val="fr-CA"/>
        </w:rPr>
      </w:pPr>
      <w:r>
        <w:t>[11]</w:t>
      </w:r>
      <w:r>
        <w:tab/>
      </w:r>
      <w:r w:rsidR="00EF58C0" w:rsidRPr="004C29A3">
        <w:rPr>
          <w:lang w:val="fr-CA"/>
        </w:rPr>
        <w:t xml:space="preserve">Le comité d’audition a communiqué ses conclusions à cet égard dans le cadre de brefs motifs oraux, en précisant que ses motifs écrits suivraient. </w:t>
      </w:r>
      <w:r w:rsidR="006800BE" w:rsidRPr="004C29A3">
        <w:rPr>
          <w:lang w:val="fr-CA"/>
        </w:rPr>
        <w:t>Voici donc ces motifs. L’avocat chargé de la présentation et l’avocat de la juge de paix</w:t>
      </w:r>
      <w:r w:rsidR="00884FA7" w:rsidRPr="004C29A3">
        <w:rPr>
          <w:lang w:val="fr-CA"/>
        </w:rPr>
        <w:t xml:space="preserve"> Romagnoli </w:t>
      </w:r>
      <w:r w:rsidR="006800BE" w:rsidRPr="004C29A3">
        <w:rPr>
          <w:lang w:val="fr-CA"/>
        </w:rPr>
        <w:t xml:space="preserve">ont obtenu un délai </w:t>
      </w:r>
      <w:r>
        <w:rPr>
          <w:lang w:val="fr-CA"/>
        </w:rPr>
        <w:t xml:space="preserve">supplémentaire </w:t>
      </w:r>
      <w:r w:rsidR="006800BE" w:rsidRPr="004C29A3">
        <w:rPr>
          <w:lang w:val="fr-CA"/>
        </w:rPr>
        <w:t xml:space="preserve">pour la présentation des observations sur la question de l’indemnisation </w:t>
      </w:r>
      <w:r w:rsidR="00686EA4" w:rsidRPr="004C29A3">
        <w:rPr>
          <w:lang w:val="fr-CA"/>
        </w:rPr>
        <w:t>des frais pour services juridiques que la juge de paix a engagés relativement à l’audience.</w:t>
      </w:r>
      <w:r w:rsidR="00636734" w:rsidRPr="004C29A3">
        <w:rPr>
          <w:lang w:val="fr-CA"/>
        </w:rPr>
        <w:t xml:space="preserve"> Le comité d’audition a reçu les observations et les a examinées. Le comité d’audition a également inclus dans les présents motifs sa recommandation à l’égard de l’indemnisation</w:t>
      </w:r>
      <w:r w:rsidR="00884FA7" w:rsidRPr="004C29A3">
        <w:rPr>
          <w:lang w:val="fr-CA"/>
        </w:rPr>
        <w:t xml:space="preserve">. </w:t>
      </w:r>
    </w:p>
    <w:p w14:paraId="731A9A02" w14:textId="36FD03DA" w:rsidR="00D12C1C" w:rsidRPr="004C29A3" w:rsidRDefault="00636734" w:rsidP="00BC14F5">
      <w:pPr>
        <w:pStyle w:val="Heading2"/>
        <w:rPr>
          <w:rFonts w:ascii="Arial" w:hAnsi="Arial" w:cs="Arial"/>
          <w:b/>
          <w:color w:val="000000" w:themeColor="text1"/>
          <w:sz w:val="24"/>
          <w:szCs w:val="24"/>
          <w:lang w:val="fr-CA"/>
        </w:rPr>
      </w:pPr>
      <w:r w:rsidRPr="004C29A3">
        <w:rPr>
          <w:rFonts w:ascii="Arial" w:hAnsi="Arial" w:cs="Arial"/>
          <w:b/>
          <w:color w:val="000000" w:themeColor="text1"/>
          <w:sz w:val="24"/>
          <w:szCs w:val="24"/>
          <w:lang w:val="fr-CA"/>
        </w:rPr>
        <w:t>PRINCIPES GÉNÉRAUX ET ANALYSE DES FAITS</w:t>
      </w:r>
    </w:p>
    <w:p w14:paraId="444A16BC" w14:textId="77777777" w:rsidR="0013058F" w:rsidRPr="004C29A3" w:rsidRDefault="0013058F" w:rsidP="0013058F">
      <w:pPr>
        <w:rPr>
          <w:i/>
          <w:lang w:val="fr-CA"/>
        </w:rPr>
      </w:pPr>
    </w:p>
    <w:p w14:paraId="5E93412D" w14:textId="60F2E67D" w:rsidR="00D12C1C" w:rsidRPr="004C29A3" w:rsidRDefault="00636734" w:rsidP="0013058F">
      <w:pPr>
        <w:pStyle w:val="Heading2"/>
        <w:spacing w:after="360"/>
        <w:rPr>
          <w:rFonts w:ascii="Arial" w:hAnsi="Arial" w:cs="Arial"/>
          <w:b/>
          <w:i/>
          <w:color w:val="000000" w:themeColor="text1"/>
          <w:sz w:val="24"/>
          <w:szCs w:val="24"/>
          <w:lang w:val="fr-CA"/>
        </w:rPr>
      </w:pPr>
      <w:r w:rsidRPr="004C29A3">
        <w:rPr>
          <w:rFonts w:ascii="Arial" w:hAnsi="Arial" w:cs="Arial"/>
          <w:b/>
          <w:i/>
          <w:color w:val="000000" w:themeColor="text1"/>
          <w:sz w:val="24"/>
          <w:szCs w:val="24"/>
          <w:lang w:val="fr-CA"/>
        </w:rPr>
        <w:t>1</w:t>
      </w:r>
      <w:r w:rsidRPr="004C29A3">
        <w:rPr>
          <w:rFonts w:ascii="Arial" w:hAnsi="Arial" w:cs="Arial"/>
          <w:b/>
          <w:i/>
          <w:color w:val="000000" w:themeColor="text1"/>
          <w:sz w:val="24"/>
          <w:szCs w:val="24"/>
          <w:vertAlign w:val="superscript"/>
          <w:lang w:val="fr-CA"/>
        </w:rPr>
        <w:t xml:space="preserve">ére </w:t>
      </w:r>
      <w:r w:rsidRPr="004C29A3">
        <w:rPr>
          <w:rFonts w:ascii="Arial" w:hAnsi="Arial" w:cs="Arial"/>
          <w:b/>
          <w:i/>
          <w:color w:val="000000" w:themeColor="text1"/>
          <w:sz w:val="24"/>
          <w:szCs w:val="24"/>
          <w:lang w:val="fr-CA"/>
        </w:rPr>
        <w:t xml:space="preserve">allégation </w:t>
      </w:r>
      <w:r w:rsidR="00884FA7" w:rsidRPr="004C29A3">
        <w:rPr>
          <w:rFonts w:ascii="Arial" w:hAnsi="Arial" w:cs="Arial"/>
          <w:b/>
          <w:i/>
          <w:color w:val="000000" w:themeColor="text1"/>
          <w:sz w:val="24"/>
          <w:szCs w:val="24"/>
          <w:lang w:val="fr-CA"/>
        </w:rPr>
        <w:t xml:space="preserve">: </w:t>
      </w:r>
      <w:r w:rsidR="004C29A3" w:rsidRPr="004C29A3">
        <w:rPr>
          <w:rFonts w:ascii="Arial" w:hAnsi="Arial" w:cs="Arial"/>
          <w:b/>
          <w:i/>
          <w:color w:val="000000" w:themeColor="text1"/>
          <w:sz w:val="24"/>
          <w:szCs w:val="24"/>
          <w:lang w:val="fr-CA"/>
        </w:rPr>
        <w:t>Omission de se mettre au courant du droit, de maintenir sa compétence professionnelle en droit et d’appliquer la loi</w:t>
      </w:r>
    </w:p>
    <w:p w14:paraId="52383E54" w14:textId="346B0CFB" w:rsidR="00D12C1C" w:rsidRPr="004C29A3" w:rsidRDefault="004C29A3" w:rsidP="004C29A3">
      <w:pPr>
        <w:pStyle w:val="AParaNumbering"/>
        <w:rPr>
          <w:lang w:val="fr-CA"/>
        </w:rPr>
      </w:pPr>
      <w:r>
        <w:t>[12]</w:t>
      </w:r>
      <w:r>
        <w:tab/>
      </w:r>
      <w:r w:rsidR="00636734" w:rsidRPr="004C29A3">
        <w:rPr>
          <w:lang w:val="fr-CA"/>
        </w:rPr>
        <w:t>Les juges de paix ont l’obligation de respecter la loi</w:t>
      </w:r>
      <w:r w:rsidR="00884FA7" w:rsidRPr="004C29A3">
        <w:rPr>
          <w:lang w:val="fr-CA"/>
        </w:rPr>
        <w:t xml:space="preserve">. </w:t>
      </w:r>
      <w:r w:rsidR="00636734" w:rsidRPr="004C29A3">
        <w:rPr>
          <w:lang w:val="fr-CA"/>
        </w:rPr>
        <w:t xml:space="preserve">L’article </w:t>
      </w:r>
      <w:r w:rsidR="00884FA7" w:rsidRPr="004C29A3">
        <w:rPr>
          <w:lang w:val="fr-CA"/>
        </w:rPr>
        <w:t xml:space="preserve">1.2 </w:t>
      </w:r>
      <w:r w:rsidR="00636734" w:rsidRPr="004C29A3">
        <w:rPr>
          <w:lang w:val="fr-CA"/>
        </w:rPr>
        <w:t>des</w:t>
      </w:r>
      <w:r w:rsidR="00884FA7" w:rsidRPr="004C29A3">
        <w:rPr>
          <w:lang w:val="fr-CA"/>
        </w:rPr>
        <w:t xml:space="preserve"> </w:t>
      </w:r>
      <w:r w:rsidR="00884FA7" w:rsidRPr="004C29A3">
        <w:rPr>
          <w:i/>
          <w:lang w:val="fr-CA"/>
        </w:rPr>
        <w:t>Princip</w:t>
      </w:r>
      <w:r w:rsidR="00636734" w:rsidRPr="004C29A3">
        <w:rPr>
          <w:i/>
          <w:lang w:val="fr-CA"/>
        </w:rPr>
        <w:t xml:space="preserve">es de la charge judiciaire </w:t>
      </w:r>
      <w:r w:rsidR="00636734" w:rsidRPr="00D65845">
        <w:rPr>
          <w:lang w:val="fr-CA"/>
        </w:rPr>
        <w:t>des juges de paix de la Cour de justice de l’Ontario</w:t>
      </w:r>
      <w:r w:rsidR="00636734" w:rsidRPr="004C29A3">
        <w:rPr>
          <w:i/>
          <w:lang w:val="fr-CA"/>
        </w:rPr>
        <w:t xml:space="preserve"> </w:t>
      </w:r>
      <w:r w:rsidR="00636734" w:rsidRPr="004C29A3">
        <w:rPr>
          <w:lang w:val="fr-CA"/>
        </w:rPr>
        <w:t>(les « Principes »)</w:t>
      </w:r>
      <w:r w:rsidR="00636734" w:rsidRPr="004C29A3">
        <w:rPr>
          <w:i/>
          <w:lang w:val="fr-CA"/>
        </w:rPr>
        <w:t xml:space="preserve"> </w:t>
      </w:r>
      <w:r w:rsidR="00636734" w:rsidRPr="004C29A3">
        <w:rPr>
          <w:lang w:val="fr-CA"/>
        </w:rPr>
        <w:t>énonce cette obligation</w:t>
      </w:r>
      <w:r w:rsidR="00400C89" w:rsidRPr="004C29A3">
        <w:rPr>
          <w:lang w:val="fr-CA"/>
        </w:rPr>
        <w:t xml:space="preserve">. </w:t>
      </w:r>
      <w:r w:rsidR="00EB2FA7" w:rsidRPr="004C29A3">
        <w:rPr>
          <w:lang w:val="fr-CA"/>
        </w:rPr>
        <w:t>Les commentaires de l’article expliquent que les juges de paix « ont l’obligation d’appliquer la loi pertinente aux faits et aux circonstances des affaires portées devant le tribunal et de rendre justice dans le cadre de la loi »</w:t>
      </w:r>
      <w:r w:rsidR="00400C89" w:rsidRPr="004C29A3">
        <w:rPr>
          <w:lang w:val="fr-CA"/>
        </w:rPr>
        <w:t>.</w:t>
      </w:r>
    </w:p>
    <w:p w14:paraId="52BBF455" w14:textId="603785D0" w:rsidR="00D12C1C" w:rsidRPr="004C29A3" w:rsidRDefault="00D65845" w:rsidP="004C29A3">
      <w:pPr>
        <w:pStyle w:val="AParaNumbering"/>
        <w:rPr>
          <w:lang w:val="fr-CA"/>
        </w:rPr>
      </w:pPr>
      <w:r>
        <w:t>[13]</w:t>
      </w:r>
      <w:r>
        <w:tab/>
      </w:r>
      <w:r w:rsidR="00EB2FA7" w:rsidRPr="004C29A3">
        <w:rPr>
          <w:lang w:val="fr-CA"/>
        </w:rPr>
        <w:t>Les juges de paix ont aussi l’obligation de maintenir leur compétence professionnelle en droit</w:t>
      </w:r>
      <w:r w:rsidR="00884FA7" w:rsidRPr="004C29A3">
        <w:rPr>
          <w:lang w:val="fr-CA"/>
        </w:rPr>
        <w:t>,</w:t>
      </w:r>
      <w:r w:rsidR="00EB2FA7" w:rsidRPr="004C29A3">
        <w:rPr>
          <w:lang w:val="fr-CA"/>
        </w:rPr>
        <w:t xml:space="preserve"> dont la capacité </w:t>
      </w:r>
      <w:r w:rsidR="00C217AD" w:rsidRPr="004C29A3">
        <w:rPr>
          <w:lang w:val="fr-CA"/>
        </w:rPr>
        <w:t xml:space="preserve">d’acquérir, de posséder, de retenir et de </w:t>
      </w:r>
      <w:r w:rsidR="00C217AD" w:rsidRPr="004C29A3">
        <w:rPr>
          <w:lang w:val="fr-CA"/>
        </w:rPr>
        <w:lastRenderedPageBreak/>
        <w:t xml:space="preserve">maintenir des connaissances et aptitudes en matière de droit substantiel, de </w:t>
      </w:r>
      <w:r>
        <w:rPr>
          <w:lang w:val="fr-CA"/>
        </w:rPr>
        <w:t xml:space="preserve">droit procédural </w:t>
      </w:r>
      <w:r w:rsidR="00C217AD" w:rsidRPr="004C29A3">
        <w:rPr>
          <w:lang w:val="fr-CA"/>
        </w:rPr>
        <w:t>et de procédures judic</w:t>
      </w:r>
      <w:r w:rsidR="00F20220" w:rsidRPr="004C29A3">
        <w:rPr>
          <w:lang w:val="fr-CA"/>
        </w:rPr>
        <w:t>iaires</w:t>
      </w:r>
      <w:r w:rsidR="00884FA7" w:rsidRPr="004C29A3">
        <w:rPr>
          <w:lang w:val="fr-CA"/>
        </w:rPr>
        <w:t xml:space="preserve">. </w:t>
      </w:r>
      <w:r w:rsidR="00F20220" w:rsidRPr="004C29A3">
        <w:rPr>
          <w:lang w:val="fr-CA"/>
        </w:rPr>
        <w:t>Cette obligation est énoncée à l’article </w:t>
      </w:r>
      <w:r w:rsidR="00884FA7" w:rsidRPr="004C29A3">
        <w:rPr>
          <w:lang w:val="fr-CA"/>
        </w:rPr>
        <w:t>2.4</w:t>
      </w:r>
      <w:r>
        <w:rPr>
          <w:lang w:val="fr-CA"/>
        </w:rPr>
        <w:t xml:space="preserve"> des Principes</w:t>
      </w:r>
      <w:r w:rsidR="00884FA7" w:rsidRPr="004C29A3">
        <w:rPr>
          <w:lang w:val="fr-CA"/>
        </w:rPr>
        <w:t>.</w:t>
      </w:r>
    </w:p>
    <w:p w14:paraId="0F99363A" w14:textId="2A35BA74" w:rsidR="00D12C1C" w:rsidRPr="004C29A3" w:rsidRDefault="00D65845" w:rsidP="004C29A3">
      <w:pPr>
        <w:pStyle w:val="AParaNumbering"/>
        <w:rPr>
          <w:lang w:val="fr-CA"/>
        </w:rPr>
      </w:pPr>
      <w:r>
        <w:t>[14]</w:t>
      </w:r>
      <w:r>
        <w:tab/>
      </w:r>
      <w:r w:rsidR="00F20220" w:rsidRPr="004C29A3">
        <w:rPr>
          <w:lang w:val="fr-CA"/>
        </w:rPr>
        <w:t xml:space="preserve">La juge de paix </w:t>
      </w:r>
      <w:r w:rsidR="00884FA7" w:rsidRPr="004C29A3">
        <w:rPr>
          <w:lang w:val="fr-CA"/>
        </w:rPr>
        <w:t xml:space="preserve">Romagnoli </w:t>
      </w:r>
      <w:r w:rsidR="00F20220" w:rsidRPr="004C29A3">
        <w:rPr>
          <w:lang w:val="fr-CA"/>
        </w:rPr>
        <w:t xml:space="preserve">avoue qu’elle a omis d’acquérir des connaissances juridiques dans les trois domaines du droit suivants, de les appliquer et de les maintenir, ce que le comité d’audition a également conclu : </w:t>
      </w:r>
      <w:r w:rsidR="009D774A" w:rsidRPr="004C29A3">
        <w:rPr>
          <w:lang w:val="fr-CA"/>
        </w:rPr>
        <w:t xml:space="preserve">des </w:t>
      </w:r>
      <w:r w:rsidR="00F20220" w:rsidRPr="004C29A3">
        <w:rPr>
          <w:lang w:val="fr-CA"/>
        </w:rPr>
        <w:t xml:space="preserve">observations conjointes sur la peine; </w:t>
      </w:r>
      <w:r w:rsidR="009D774A" w:rsidRPr="004C29A3">
        <w:rPr>
          <w:lang w:val="fr-CA"/>
        </w:rPr>
        <w:t>le fait qu’il soit suffisant d’inclure une municipalité de palier supérieur sur un procès-verbal d’infraction portant sur des infractions photographiées par un système photographique relié aux feux rouges en vertu du paragraphe </w:t>
      </w:r>
      <w:r w:rsidR="00884FA7" w:rsidRPr="004C29A3">
        <w:rPr>
          <w:lang w:val="fr-CA"/>
        </w:rPr>
        <w:t>205.15</w:t>
      </w:r>
      <w:r w:rsidR="009D774A" w:rsidRPr="004C29A3">
        <w:rPr>
          <w:lang w:val="fr-CA"/>
        </w:rPr>
        <w:t> </w:t>
      </w:r>
      <w:r w:rsidR="00884FA7" w:rsidRPr="004C29A3">
        <w:rPr>
          <w:lang w:val="fr-CA"/>
        </w:rPr>
        <w:t xml:space="preserve">(1) </w:t>
      </w:r>
      <w:r w:rsidR="009D774A" w:rsidRPr="004C29A3">
        <w:rPr>
          <w:lang w:val="fr-CA"/>
        </w:rPr>
        <w:t xml:space="preserve">du </w:t>
      </w:r>
      <w:r w:rsidR="009D774A" w:rsidRPr="004C29A3">
        <w:rPr>
          <w:i/>
          <w:lang w:val="fr-CA"/>
        </w:rPr>
        <w:t>Code de la route</w:t>
      </w:r>
      <w:r w:rsidR="006B0F29" w:rsidRPr="004C29A3">
        <w:rPr>
          <w:rStyle w:val="FootnoteReference"/>
          <w:i/>
          <w:lang w:val="fr-CA"/>
        </w:rPr>
        <w:footnoteReference w:id="1"/>
      </w:r>
      <w:r w:rsidR="00884FA7" w:rsidRPr="004C29A3">
        <w:rPr>
          <w:lang w:val="fr-CA"/>
        </w:rPr>
        <w:t xml:space="preserve"> </w:t>
      </w:r>
      <w:r w:rsidR="009D774A" w:rsidRPr="004C29A3">
        <w:rPr>
          <w:lang w:val="fr-CA"/>
        </w:rPr>
        <w:t xml:space="preserve">et l’imposition d’une peine </w:t>
      </w:r>
      <w:r w:rsidR="00D45154">
        <w:rPr>
          <w:lang w:val="fr-CA"/>
        </w:rPr>
        <w:t>négative</w:t>
      </w:r>
      <w:r w:rsidR="009D774A" w:rsidRPr="004C29A3">
        <w:rPr>
          <w:lang w:val="fr-CA"/>
        </w:rPr>
        <w:t>. Voici une brève analyse de chacune des sous-catégories dans lesquelles la juge de paix Romagnoli a démontré ses lacunes</w:t>
      </w:r>
      <w:r w:rsidR="00884FA7" w:rsidRPr="004C29A3">
        <w:rPr>
          <w:lang w:val="fr-CA"/>
        </w:rPr>
        <w:t>.</w:t>
      </w:r>
    </w:p>
    <w:p w14:paraId="03C1FE47" w14:textId="40466C52" w:rsidR="00D12C1C" w:rsidRPr="004C29A3" w:rsidRDefault="009D774A" w:rsidP="0013058F">
      <w:pPr>
        <w:pStyle w:val="Heading2"/>
        <w:numPr>
          <w:ilvl w:val="0"/>
          <w:numId w:val="25"/>
        </w:numPr>
        <w:spacing w:after="360"/>
        <w:rPr>
          <w:rFonts w:ascii="Arial" w:hAnsi="Arial" w:cs="Arial"/>
          <w:i/>
          <w:color w:val="auto"/>
          <w:sz w:val="24"/>
          <w:szCs w:val="24"/>
          <w:lang w:val="fr-CA"/>
        </w:rPr>
      </w:pPr>
      <w:r w:rsidRPr="004C29A3">
        <w:rPr>
          <w:rFonts w:ascii="Arial" w:hAnsi="Arial" w:cs="Arial"/>
          <w:i/>
          <w:color w:val="auto"/>
          <w:sz w:val="24"/>
          <w:szCs w:val="24"/>
          <w:lang w:val="fr-CA"/>
        </w:rPr>
        <w:t xml:space="preserve">Observations conjointes sur la peine </w:t>
      </w:r>
    </w:p>
    <w:p w14:paraId="4444ADE7" w14:textId="46928361" w:rsidR="00642032" w:rsidRPr="004C29A3" w:rsidRDefault="00D45154" w:rsidP="004C29A3">
      <w:pPr>
        <w:pStyle w:val="AParaNumbering"/>
        <w:rPr>
          <w:lang w:val="fr-CA"/>
        </w:rPr>
      </w:pPr>
      <w:r>
        <w:t>[15]</w:t>
      </w:r>
      <w:r>
        <w:tab/>
      </w:r>
      <w:r w:rsidR="009D774A" w:rsidRPr="004C29A3">
        <w:rPr>
          <w:lang w:val="fr-CA"/>
        </w:rPr>
        <w:t xml:space="preserve">Lorsque la poursuite et la défense conviennent de présenter des observations conjointes sur la peine appropriée, la loi exige que les juges de paix </w:t>
      </w:r>
      <w:r w:rsidR="00554713" w:rsidRPr="004C29A3">
        <w:rPr>
          <w:lang w:val="fr-CA"/>
        </w:rPr>
        <w:t>donnent effet à ces observations conjointes, sauf si la peine proposée est contraire à l’intérêt public ou si elle est susceptible de déconsidérer l’administration de la justice</w:t>
      </w:r>
      <w:r w:rsidR="00642032" w:rsidRPr="004C29A3">
        <w:rPr>
          <w:rStyle w:val="FootnoteReference"/>
          <w:lang w:val="fr-CA"/>
        </w:rPr>
        <w:footnoteReference w:id="2"/>
      </w:r>
      <w:r w:rsidR="00554713" w:rsidRPr="004C29A3">
        <w:rPr>
          <w:lang w:val="fr-CA"/>
        </w:rPr>
        <w:t>.</w:t>
      </w:r>
      <w:r w:rsidR="00884FA7" w:rsidRPr="004C29A3">
        <w:rPr>
          <w:lang w:val="fr-CA"/>
        </w:rPr>
        <w:t xml:space="preserve"> </w:t>
      </w:r>
    </w:p>
    <w:p w14:paraId="19D05508" w14:textId="34EB25C7" w:rsidR="00D12C1C" w:rsidRPr="004C29A3" w:rsidRDefault="00D45154" w:rsidP="004C29A3">
      <w:pPr>
        <w:pStyle w:val="AParaNumbering"/>
        <w:rPr>
          <w:lang w:val="fr-CA"/>
        </w:rPr>
      </w:pPr>
      <w:r>
        <w:t>[16]</w:t>
      </w:r>
      <w:r>
        <w:tab/>
      </w:r>
      <w:r w:rsidR="00554713" w:rsidRPr="004C29A3">
        <w:rPr>
          <w:lang w:val="fr-CA"/>
        </w:rPr>
        <w:t>La juge de paix R</w:t>
      </w:r>
      <w:r w:rsidR="00884FA7" w:rsidRPr="004C29A3">
        <w:rPr>
          <w:lang w:val="fr-CA"/>
        </w:rPr>
        <w:t xml:space="preserve">omagnoli </w:t>
      </w:r>
      <w:r w:rsidR="00554713" w:rsidRPr="004C29A3">
        <w:rPr>
          <w:lang w:val="fr-CA"/>
        </w:rPr>
        <w:t xml:space="preserve">a omis d’appliquer ce principe dans seize instances, entre le 9 juillet </w:t>
      </w:r>
      <w:r w:rsidR="00884FA7" w:rsidRPr="004C29A3">
        <w:rPr>
          <w:lang w:val="fr-CA"/>
        </w:rPr>
        <w:t xml:space="preserve">2014 </w:t>
      </w:r>
      <w:r w:rsidR="00554713" w:rsidRPr="004C29A3">
        <w:rPr>
          <w:lang w:val="fr-CA"/>
        </w:rPr>
        <w:t>et le 11 juin</w:t>
      </w:r>
      <w:r w:rsidR="00884FA7" w:rsidRPr="004C29A3">
        <w:rPr>
          <w:lang w:val="fr-CA"/>
        </w:rPr>
        <w:t xml:space="preserve"> 2015</w:t>
      </w:r>
      <w:r w:rsidR="00245E35" w:rsidRPr="004C29A3">
        <w:rPr>
          <w:rStyle w:val="FootnoteReference"/>
          <w:lang w:val="fr-CA"/>
        </w:rPr>
        <w:footnoteReference w:id="3"/>
      </w:r>
      <w:r w:rsidR="00554713" w:rsidRPr="004C29A3">
        <w:rPr>
          <w:lang w:val="fr-CA"/>
        </w:rPr>
        <w:t xml:space="preserve">, </w:t>
      </w:r>
      <w:r>
        <w:rPr>
          <w:lang w:val="fr-CA"/>
        </w:rPr>
        <w:t xml:space="preserve">dans lesquelles </w:t>
      </w:r>
      <w:r w:rsidR="00554713" w:rsidRPr="004C29A3">
        <w:rPr>
          <w:lang w:val="fr-CA"/>
        </w:rPr>
        <w:t xml:space="preserve">elle n’a pas accepté des observations conjointes au sujet de la peine. Toutes les observations </w:t>
      </w:r>
      <w:r w:rsidR="00554713" w:rsidRPr="004C29A3">
        <w:rPr>
          <w:lang w:val="fr-CA"/>
        </w:rPr>
        <w:lastRenderedPageBreak/>
        <w:t xml:space="preserve">conjointes concernaient des amendes </w:t>
      </w:r>
      <w:r w:rsidR="00A903B4">
        <w:rPr>
          <w:lang w:val="fr-CA"/>
        </w:rPr>
        <w:t xml:space="preserve">sous le régime </w:t>
      </w:r>
      <w:r w:rsidR="00554713" w:rsidRPr="004C29A3">
        <w:rPr>
          <w:lang w:val="fr-CA"/>
        </w:rPr>
        <w:t xml:space="preserve">de la </w:t>
      </w:r>
      <w:r w:rsidR="00554713" w:rsidRPr="004C29A3">
        <w:rPr>
          <w:i/>
          <w:lang w:val="fr-CA"/>
        </w:rPr>
        <w:t>Loi sur les infractions provinciales</w:t>
      </w:r>
      <w:r w:rsidR="006B0F29" w:rsidRPr="004C29A3">
        <w:rPr>
          <w:rStyle w:val="FootnoteReference"/>
          <w:lang w:val="fr-CA"/>
        </w:rPr>
        <w:footnoteReference w:id="4"/>
      </w:r>
      <w:r w:rsidR="00554713" w:rsidRPr="004C29A3">
        <w:rPr>
          <w:lang w:val="fr-CA"/>
        </w:rPr>
        <w:t>.</w:t>
      </w:r>
    </w:p>
    <w:p w14:paraId="685ACCC6" w14:textId="0DAD779B" w:rsidR="00D12C1C" w:rsidRPr="004C29A3" w:rsidRDefault="00A903B4" w:rsidP="004C29A3">
      <w:pPr>
        <w:pStyle w:val="AParaNumbering"/>
        <w:rPr>
          <w:lang w:val="fr-CA"/>
        </w:rPr>
      </w:pPr>
      <w:r>
        <w:t>[17]</w:t>
      </w:r>
      <w:r>
        <w:tab/>
      </w:r>
      <w:r>
        <w:rPr>
          <w:lang w:val="fr-CA"/>
        </w:rPr>
        <w:t>En rejetant</w:t>
      </w:r>
      <w:r w:rsidR="00554713" w:rsidRPr="004C29A3">
        <w:rPr>
          <w:lang w:val="fr-CA"/>
        </w:rPr>
        <w:t xml:space="preserve"> ces observations conjointes, la juge de paix a parfois renvoyé à la décision de la Cour de justice de l’Ontario dans l’affaire </w:t>
      </w:r>
      <w:r w:rsidR="00884FA7" w:rsidRPr="004C29A3">
        <w:rPr>
          <w:i/>
          <w:lang w:val="fr-CA"/>
        </w:rPr>
        <w:t>York (Regional Municipality) v. Benatar</w:t>
      </w:r>
      <w:r w:rsidR="001B4CB3" w:rsidRPr="004C29A3">
        <w:rPr>
          <w:lang w:val="fr-CA"/>
        </w:rPr>
        <w:t>, [2014] O.J. No. 3607 (C.J.)</w:t>
      </w:r>
      <w:r w:rsidR="00884FA7" w:rsidRPr="004C29A3">
        <w:rPr>
          <w:lang w:val="fr-CA"/>
        </w:rPr>
        <w:t xml:space="preserve"> (</w:t>
      </w:r>
      <w:r w:rsidR="00554713" w:rsidRPr="004C29A3">
        <w:rPr>
          <w:lang w:val="fr-CA"/>
        </w:rPr>
        <w:t>« </w:t>
      </w:r>
      <w:r w:rsidR="00884FA7" w:rsidRPr="004C29A3">
        <w:rPr>
          <w:i/>
          <w:lang w:val="fr-CA"/>
        </w:rPr>
        <w:t>Benatar</w:t>
      </w:r>
      <w:r w:rsidR="00554713" w:rsidRPr="004C29A3">
        <w:rPr>
          <w:i/>
          <w:lang w:val="fr-CA"/>
        </w:rPr>
        <w:t> »</w:t>
      </w:r>
      <w:r w:rsidR="00884FA7" w:rsidRPr="004C29A3">
        <w:rPr>
          <w:lang w:val="fr-CA"/>
        </w:rPr>
        <w:t xml:space="preserve">). </w:t>
      </w:r>
      <w:r w:rsidR="00554713" w:rsidRPr="004C29A3">
        <w:rPr>
          <w:lang w:val="fr-CA"/>
        </w:rPr>
        <w:t>L’affaire</w:t>
      </w:r>
      <w:r w:rsidR="00884FA7" w:rsidRPr="004C29A3">
        <w:rPr>
          <w:lang w:val="fr-CA"/>
        </w:rPr>
        <w:t xml:space="preserve"> </w:t>
      </w:r>
      <w:r w:rsidR="00884FA7" w:rsidRPr="004C29A3">
        <w:rPr>
          <w:i/>
          <w:lang w:val="fr-CA"/>
        </w:rPr>
        <w:t>Benatar</w:t>
      </w:r>
      <w:r w:rsidR="00884FA7" w:rsidRPr="004C29A3">
        <w:rPr>
          <w:lang w:val="fr-CA"/>
        </w:rPr>
        <w:t xml:space="preserve"> </w:t>
      </w:r>
      <w:r w:rsidR="00554713" w:rsidRPr="004C29A3">
        <w:rPr>
          <w:lang w:val="fr-CA"/>
        </w:rPr>
        <w:t xml:space="preserve">se rapporte au paragraphe </w:t>
      </w:r>
      <w:r w:rsidR="00884FA7" w:rsidRPr="004C29A3">
        <w:rPr>
          <w:lang w:val="fr-CA"/>
        </w:rPr>
        <w:t>59</w:t>
      </w:r>
      <w:r w:rsidR="00554713" w:rsidRPr="004C29A3">
        <w:rPr>
          <w:lang w:val="fr-CA"/>
        </w:rPr>
        <w:t> </w:t>
      </w:r>
      <w:r w:rsidR="00884FA7" w:rsidRPr="004C29A3">
        <w:rPr>
          <w:lang w:val="fr-CA"/>
        </w:rPr>
        <w:t xml:space="preserve">(2) </w:t>
      </w:r>
      <w:r w:rsidR="00554713" w:rsidRPr="004C29A3">
        <w:rPr>
          <w:lang w:val="fr-CA"/>
        </w:rPr>
        <w:t xml:space="preserve">de la </w:t>
      </w:r>
      <w:r w:rsidR="00554713" w:rsidRPr="004C29A3">
        <w:rPr>
          <w:i/>
          <w:lang w:val="fr-CA"/>
        </w:rPr>
        <w:t>Loi sur les infractions provinciales</w:t>
      </w:r>
      <w:r w:rsidR="00554713" w:rsidRPr="004C29A3">
        <w:rPr>
          <w:lang w:val="fr-CA"/>
        </w:rPr>
        <w:t>, qui autorise le tribunal à imposer une amende inférieure au minimum s’il estime qu’en raison de circonstances exceptionnelles, l’imposition de l’amende minimale serait trop sévère ou ne servirait pas les intérêts de la justice</w:t>
      </w:r>
      <w:r w:rsidR="008D477A" w:rsidRPr="004C29A3">
        <w:rPr>
          <w:lang w:val="fr-CA"/>
        </w:rPr>
        <w:t>.</w:t>
      </w:r>
      <w:r w:rsidR="00884FA7" w:rsidRPr="004C29A3">
        <w:rPr>
          <w:lang w:val="fr-CA"/>
        </w:rPr>
        <w:t xml:space="preserve"> </w:t>
      </w:r>
      <w:r>
        <w:rPr>
          <w:lang w:val="fr-CA"/>
        </w:rPr>
        <w:t xml:space="preserve">Dans </w:t>
      </w:r>
      <w:r w:rsidR="00941A5B" w:rsidRPr="004C29A3">
        <w:rPr>
          <w:lang w:val="fr-CA"/>
        </w:rPr>
        <w:t xml:space="preserve">cette décision, </w:t>
      </w:r>
      <w:r>
        <w:rPr>
          <w:lang w:val="fr-CA"/>
        </w:rPr>
        <w:t>la Cour a décl</w:t>
      </w:r>
      <w:r w:rsidR="00881B0A">
        <w:rPr>
          <w:lang w:val="fr-CA"/>
        </w:rPr>
        <w:t>ar</w:t>
      </w:r>
      <w:r>
        <w:rPr>
          <w:lang w:val="fr-CA"/>
        </w:rPr>
        <w:t xml:space="preserve">é que </w:t>
      </w:r>
      <w:r w:rsidR="00941A5B" w:rsidRPr="004C29A3">
        <w:rPr>
          <w:lang w:val="fr-CA"/>
        </w:rPr>
        <w:t>les juges de paix d</w:t>
      </w:r>
      <w:r>
        <w:rPr>
          <w:lang w:val="fr-CA"/>
        </w:rPr>
        <w:t>evaient</w:t>
      </w:r>
      <w:r w:rsidR="00941A5B" w:rsidRPr="004C29A3">
        <w:rPr>
          <w:lang w:val="fr-CA"/>
        </w:rPr>
        <w:t xml:space="preserve"> tenir une brève audience avec présentation de preuves lorsqu’ils envisagent d’appliquer le paragraphe </w:t>
      </w:r>
      <w:r w:rsidR="00884FA7" w:rsidRPr="004C29A3">
        <w:rPr>
          <w:lang w:val="fr-CA"/>
        </w:rPr>
        <w:t>59</w:t>
      </w:r>
      <w:r w:rsidR="00941A5B" w:rsidRPr="004C29A3">
        <w:rPr>
          <w:lang w:val="fr-CA"/>
        </w:rPr>
        <w:t> </w:t>
      </w:r>
      <w:r w:rsidR="00884FA7" w:rsidRPr="004C29A3">
        <w:rPr>
          <w:lang w:val="fr-CA"/>
        </w:rPr>
        <w:t>(2).</w:t>
      </w:r>
    </w:p>
    <w:p w14:paraId="7E6EC2F5" w14:textId="7478E6FE" w:rsidR="00D12C1C" w:rsidRPr="004C29A3" w:rsidRDefault="00A903B4" w:rsidP="004C29A3">
      <w:pPr>
        <w:pStyle w:val="AParaNumbering"/>
        <w:rPr>
          <w:lang w:val="fr-CA"/>
        </w:rPr>
      </w:pPr>
      <w:r>
        <w:t>[18]</w:t>
      </w:r>
      <w:r>
        <w:tab/>
      </w:r>
      <w:r w:rsidR="00941A5B" w:rsidRPr="004C29A3">
        <w:rPr>
          <w:lang w:val="fr-CA"/>
        </w:rPr>
        <w:t xml:space="preserve">La juge de paix </w:t>
      </w:r>
      <w:r w:rsidR="00884FA7" w:rsidRPr="004C29A3">
        <w:rPr>
          <w:lang w:val="fr-CA"/>
        </w:rPr>
        <w:t xml:space="preserve">Romagnoli </w:t>
      </w:r>
      <w:r w:rsidR="00941A5B" w:rsidRPr="004C29A3">
        <w:rPr>
          <w:lang w:val="fr-CA"/>
        </w:rPr>
        <w:t xml:space="preserve">a mal compris la décision </w:t>
      </w:r>
      <w:r w:rsidR="00884FA7" w:rsidRPr="004C29A3">
        <w:rPr>
          <w:i/>
          <w:lang w:val="fr-CA"/>
        </w:rPr>
        <w:t>Benatar</w:t>
      </w:r>
      <w:r w:rsidR="00941A5B" w:rsidRPr="004C29A3">
        <w:rPr>
          <w:i/>
          <w:lang w:val="fr-CA"/>
        </w:rPr>
        <w:t>,</w:t>
      </w:r>
      <w:r w:rsidR="00884FA7" w:rsidRPr="004C29A3">
        <w:rPr>
          <w:lang w:val="fr-CA"/>
        </w:rPr>
        <w:t xml:space="preserve"> </w:t>
      </w:r>
      <w:r w:rsidR="00941A5B" w:rsidRPr="004C29A3">
        <w:rPr>
          <w:lang w:val="fr-CA"/>
        </w:rPr>
        <w:t>car elle a cru que la poursuite devait appeler des témoins afin de justifier une peine plus élevée que la peine minimale prévue par la loi. Étant donné qu’aucun des cas en question ne soulevait la question d’une peine inférieure au minimum, la décision</w:t>
      </w:r>
      <w:r w:rsidR="00884FA7" w:rsidRPr="004C29A3">
        <w:rPr>
          <w:lang w:val="fr-CA"/>
        </w:rPr>
        <w:t xml:space="preserve"> </w:t>
      </w:r>
      <w:r w:rsidR="00884FA7" w:rsidRPr="004C29A3">
        <w:rPr>
          <w:i/>
          <w:lang w:val="fr-CA"/>
        </w:rPr>
        <w:t xml:space="preserve">Benatar </w:t>
      </w:r>
      <w:r w:rsidR="00941A5B" w:rsidRPr="004C29A3">
        <w:rPr>
          <w:lang w:val="fr-CA"/>
        </w:rPr>
        <w:t>n’était pas pertinente</w:t>
      </w:r>
      <w:r w:rsidR="008D477A" w:rsidRPr="004C29A3">
        <w:rPr>
          <w:lang w:val="fr-CA"/>
        </w:rPr>
        <w:t>.</w:t>
      </w:r>
    </w:p>
    <w:p w14:paraId="7A3A3AF2" w14:textId="52D22F14" w:rsidR="00D12C1C" w:rsidRPr="004C29A3" w:rsidRDefault="00A903B4" w:rsidP="004C29A3">
      <w:pPr>
        <w:pStyle w:val="AParaNumbering"/>
        <w:rPr>
          <w:lang w:val="fr-CA"/>
        </w:rPr>
      </w:pPr>
      <w:r>
        <w:t>[19]</w:t>
      </w:r>
      <w:r>
        <w:tab/>
      </w:r>
      <w:r w:rsidR="00941A5B" w:rsidRPr="004C29A3">
        <w:rPr>
          <w:lang w:val="fr-CA"/>
        </w:rPr>
        <w:t xml:space="preserve">Le poursuivant municipal a interjeté appel avec succès de trois des décisions dans lesquelles la juge de paix Romagnoli a rejeté des observations conjointes </w:t>
      </w:r>
      <w:r w:rsidR="00884FA7" w:rsidRPr="004C29A3">
        <w:rPr>
          <w:lang w:val="fr-CA"/>
        </w:rPr>
        <w:t xml:space="preserve">: </w:t>
      </w:r>
      <w:r w:rsidR="00884FA7" w:rsidRPr="004C29A3">
        <w:rPr>
          <w:i/>
          <w:lang w:val="fr-CA"/>
        </w:rPr>
        <w:t>R. v. Wong, R. v. Mirza</w:t>
      </w:r>
      <w:r w:rsidR="00884FA7" w:rsidRPr="004C29A3">
        <w:rPr>
          <w:lang w:val="fr-CA"/>
        </w:rPr>
        <w:t xml:space="preserve"> </w:t>
      </w:r>
      <w:r w:rsidR="00941A5B" w:rsidRPr="004C29A3">
        <w:rPr>
          <w:lang w:val="fr-CA"/>
        </w:rPr>
        <w:t>et</w:t>
      </w:r>
      <w:r w:rsidR="00884FA7" w:rsidRPr="004C29A3">
        <w:rPr>
          <w:lang w:val="fr-CA"/>
        </w:rPr>
        <w:t xml:space="preserve"> </w:t>
      </w:r>
      <w:r w:rsidR="00884FA7" w:rsidRPr="004C29A3">
        <w:rPr>
          <w:i/>
          <w:lang w:val="fr-CA"/>
        </w:rPr>
        <w:t>R. v. Chmiel</w:t>
      </w:r>
      <w:r w:rsidR="008D477A" w:rsidRPr="004C29A3">
        <w:rPr>
          <w:lang w:val="fr-CA"/>
        </w:rPr>
        <w:t xml:space="preserve">. </w:t>
      </w:r>
      <w:r w:rsidR="00941A5B" w:rsidRPr="004C29A3">
        <w:rPr>
          <w:lang w:val="fr-CA"/>
        </w:rPr>
        <w:t xml:space="preserve">Les décisions du juge </w:t>
      </w:r>
      <w:r w:rsidR="00884FA7" w:rsidRPr="004C29A3">
        <w:rPr>
          <w:lang w:val="fr-CA"/>
        </w:rPr>
        <w:t xml:space="preserve">Chisvin </w:t>
      </w:r>
      <w:r w:rsidR="00941A5B" w:rsidRPr="004C29A3">
        <w:rPr>
          <w:lang w:val="fr-CA"/>
        </w:rPr>
        <w:t xml:space="preserve">accueillant les appels dans les affaires </w:t>
      </w:r>
      <w:r w:rsidR="00884FA7" w:rsidRPr="004C29A3">
        <w:rPr>
          <w:i/>
          <w:lang w:val="fr-CA"/>
        </w:rPr>
        <w:t xml:space="preserve">R. </w:t>
      </w:r>
      <w:r w:rsidR="00941A5B" w:rsidRPr="004C29A3">
        <w:rPr>
          <w:i/>
          <w:lang w:val="fr-CA"/>
        </w:rPr>
        <w:t>v</w:t>
      </w:r>
      <w:r w:rsidR="00884FA7" w:rsidRPr="004C29A3">
        <w:rPr>
          <w:i/>
          <w:lang w:val="fr-CA"/>
        </w:rPr>
        <w:t>. Wong</w:t>
      </w:r>
      <w:r w:rsidR="00884FA7" w:rsidRPr="004C29A3">
        <w:rPr>
          <w:lang w:val="fr-CA"/>
        </w:rPr>
        <w:t xml:space="preserve"> </w:t>
      </w:r>
      <w:r w:rsidR="00941A5B" w:rsidRPr="004C29A3">
        <w:rPr>
          <w:lang w:val="fr-CA"/>
        </w:rPr>
        <w:t>et</w:t>
      </w:r>
      <w:r w:rsidR="00884FA7" w:rsidRPr="004C29A3">
        <w:rPr>
          <w:lang w:val="fr-CA"/>
        </w:rPr>
        <w:t xml:space="preserve"> </w:t>
      </w:r>
      <w:r w:rsidR="00884FA7" w:rsidRPr="004C29A3">
        <w:rPr>
          <w:i/>
          <w:lang w:val="fr-CA"/>
        </w:rPr>
        <w:t xml:space="preserve">R. v. Mirza </w:t>
      </w:r>
      <w:r w:rsidR="00941A5B" w:rsidRPr="004C29A3">
        <w:rPr>
          <w:lang w:val="fr-CA"/>
        </w:rPr>
        <w:t xml:space="preserve">ont été prononcées le 19 février </w:t>
      </w:r>
      <w:r w:rsidR="008D477A" w:rsidRPr="004C29A3">
        <w:rPr>
          <w:lang w:val="fr-CA"/>
        </w:rPr>
        <w:t>2015.</w:t>
      </w:r>
      <w:r w:rsidR="00941A5B" w:rsidRPr="004C29A3">
        <w:rPr>
          <w:lang w:val="fr-CA"/>
        </w:rPr>
        <w:t xml:space="preserve"> La décision du juge </w:t>
      </w:r>
      <w:r w:rsidR="00884FA7" w:rsidRPr="004C29A3">
        <w:rPr>
          <w:lang w:val="fr-CA"/>
        </w:rPr>
        <w:t xml:space="preserve">Johnson </w:t>
      </w:r>
      <w:r w:rsidR="00941A5B" w:rsidRPr="004C29A3">
        <w:rPr>
          <w:lang w:val="fr-CA"/>
        </w:rPr>
        <w:t xml:space="preserve">accueillant l’appel dans l’affaire </w:t>
      </w:r>
      <w:r w:rsidR="00884FA7" w:rsidRPr="004C29A3">
        <w:rPr>
          <w:i/>
          <w:lang w:val="fr-CA"/>
        </w:rPr>
        <w:t>R. v. Chmiel</w:t>
      </w:r>
      <w:r w:rsidR="008D477A" w:rsidRPr="004C29A3">
        <w:rPr>
          <w:lang w:val="fr-CA"/>
        </w:rPr>
        <w:t xml:space="preserve"> </w:t>
      </w:r>
      <w:r w:rsidR="00941A5B" w:rsidRPr="004C29A3">
        <w:rPr>
          <w:lang w:val="fr-CA"/>
        </w:rPr>
        <w:t xml:space="preserve">a été prononcée le 17 juillet </w:t>
      </w:r>
      <w:r w:rsidR="008D477A" w:rsidRPr="004C29A3">
        <w:rPr>
          <w:lang w:val="fr-CA"/>
        </w:rPr>
        <w:t>2015.</w:t>
      </w:r>
      <w:r w:rsidR="00884FA7" w:rsidRPr="004C29A3">
        <w:rPr>
          <w:lang w:val="fr-CA"/>
        </w:rPr>
        <w:t xml:space="preserve"> </w:t>
      </w:r>
      <w:r w:rsidR="00941A5B" w:rsidRPr="004C29A3">
        <w:rPr>
          <w:lang w:val="fr-CA"/>
        </w:rPr>
        <w:t xml:space="preserve">Toutes les décisions en appel déclaraient que la juge de paix </w:t>
      </w:r>
      <w:r w:rsidR="00884FA7" w:rsidRPr="004C29A3">
        <w:rPr>
          <w:lang w:val="fr-CA"/>
        </w:rPr>
        <w:t xml:space="preserve">Romagnoli </w:t>
      </w:r>
      <w:r w:rsidR="00941A5B" w:rsidRPr="004C29A3">
        <w:rPr>
          <w:lang w:val="fr-CA"/>
        </w:rPr>
        <w:t>aurait dû accepter la peine proposée dans les observations conjointes</w:t>
      </w:r>
      <w:r w:rsidR="00884FA7" w:rsidRPr="004C29A3">
        <w:rPr>
          <w:lang w:val="fr-CA"/>
        </w:rPr>
        <w:t>.</w:t>
      </w:r>
    </w:p>
    <w:p w14:paraId="26F43F31" w14:textId="42010AE8" w:rsidR="00D12C1C" w:rsidRPr="004C29A3" w:rsidRDefault="00C4258B" w:rsidP="004C29A3">
      <w:pPr>
        <w:pStyle w:val="AParaNumbering"/>
        <w:rPr>
          <w:lang w:val="fr-CA"/>
        </w:rPr>
      </w:pPr>
      <w:r>
        <w:t>[20]</w:t>
      </w:r>
      <w:r>
        <w:tab/>
      </w:r>
      <w:r w:rsidR="00941A5B" w:rsidRPr="004C29A3">
        <w:rPr>
          <w:lang w:val="fr-CA"/>
        </w:rPr>
        <w:t xml:space="preserve">Bien que le juge </w:t>
      </w:r>
      <w:r w:rsidR="00884FA7" w:rsidRPr="004C29A3">
        <w:rPr>
          <w:lang w:val="fr-CA"/>
        </w:rPr>
        <w:t xml:space="preserve">Chisvin </w:t>
      </w:r>
      <w:r w:rsidR="00941A5B" w:rsidRPr="004C29A3">
        <w:rPr>
          <w:lang w:val="fr-CA"/>
        </w:rPr>
        <w:t xml:space="preserve">ait expliqué en appel que si le tribunal décide de </w:t>
      </w:r>
      <w:r>
        <w:rPr>
          <w:lang w:val="fr-CA"/>
        </w:rPr>
        <w:t xml:space="preserve">s’écarter </w:t>
      </w:r>
      <w:r w:rsidR="00941A5B" w:rsidRPr="004C29A3">
        <w:rPr>
          <w:lang w:val="fr-CA"/>
        </w:rPr>
        <w:t>des observations conjointes, il doit fournir les motifs de sa décision</w:t>
      </w:r>
      <w:r w:rsidR="000C7AEC" w:rsidRPr="004C29A3">
        <w:rPr>
          <w:lang w:val="fr-CA"/>
        </w:rPr>
        <w:t xml:space="preserve"> et que la juge de paix </w:t>
      </w:r>
      <w:r w:rsidRPr="00C4258B">
        <w:rPr>
          <w:lang w:val="fr-CA"/>
        </w:rPr>
        <w:t>devrait</w:t>
      </w:r>
      <w:r w:rsidR="000C7AEC" w:rsidRPr="00C4258B">
        <w:rPr>
          <w:lang w:val="fr-CA"/>
        </w:rPr>
        <w:t xml:space="preserve"> accepter des observations conjointes sauf si elles </w:t>
      </w:r>
      <w:r w:rsidRPr="00C4258B">
        <w:rPr>
          <w:lang w:val="fr-CA"/>
        </w:rPr>
        <w:t>sont</w:t>
      </w:r>
      <w:r w:rsidR="000C7AEC" w:rsidRPr="00C4258B">
        <w:rPr>
          <w:lang w:val="fr-CA"/>
        </w:rPr>
        <w:t xml:space="preserve"> </w:t>
      </w:r>
      <w:r w:rsidR="000C7AEC" w:rsidRPr="00C4258B">
        <w:rPr>
          <w:lang w:val="fr-CA"/>
        </w:rPr>
        <w:lastRenderedPageBreak/>
        <w:t>contraires à l’intérêt public ou qu’elles d</w:t>
      </w:r>
      <w:r w:rsidRPr="00C4258B">
        <w:rPr>
          <w:lang w:val="fr-CA"/>
        </w:rPr>
        <w:t xml:space="preserve">éconsidèrent </w:t>
      </w:r>
      <w:r w:rsidR="000C7AEC" w:rsidRPr="00C4258B">
        <w:rPr>
          <w:lang w:val="fr-CA"/>
        </w:rPr>
        <w:t>l’administration</w:t>
      </w:r>
      <w:r w:rsidR="000C7AEC" w:rsidRPr="004C29A3">
        <w:rPr>
          <w:lang w:val="fr-CA"/>
        </w:rPr>
        <w:t xml:space="preserve"> de la justice</w:t>
      </w:r>
      <w:r w:rsidR="00884FA7" w:rsidRPr="004C29A3">
        <w:rPr>
          <w:lang w:val="fr-CA"/>
        </w:rPr>
        <w:t xml:space="preserve">, </w:t>
      </w:r>
      <w:r w:rsidR="000C7AEC" w:rsidRPr="004C29A3">
        <w:rPr>
          <w:lang w:val="fr-CA"/>
        </w:rPr>
        <w:t>la juge de paix a continué de</w:t>
      </w:r>
      <w:r w:rsidR="00884FA7" w:rsidRPr="004C29A3">
        <w:rPr>
          <w:lang w:val="fr-CA"/>
        </w:rPr>
        <w:t xml:space="preserve"> </w:t>
      </w:r>
      <w:r w:rsidR="000C7AEC" w:rsidRPr="004C29A3">
        <w:rPr>
          <w:lang w:val="fr-CA"/>
        </w:rPr>
        <w:t xml:space="preserve">se fonder sur sa mauvaise interprétation de la décision </w:t>
      </w:r>
      <w:r w:rsidR="00884FA7" w:rsidRPr="004C29A3">
        <w:rPr>
          <w:i/>
          <w:lang w:val="fr-CA"/>
        </w:rPr>
        <w:t>Benatar</w:t>
      </w:r>
      <w:r w:rsidR="00884FA7" w:rsidRPr="004C29A3">
        <w:rPr>
          <w:lang w:val="fr-CA"/>
        </w:rPr>
        <w:t xml:space="preserve"> </w:t>
      </w:r>
      <w:r w:rsidR="000C7AEC" w:rsidRPr="004C29A3">
        <w:rPr>
          <w:lang w:val="fr-CA"/>
        </w:rPr>
        <w:t>dans ses motifs expliquant pourquoi elle s’est écartée des observations conjointes</w:t>
      </w:r>
      <w:r w:rsidR="008D477A" w:rsidRPr="004C29A3">
        <w:rPr>
          <w:lang w:val="fr-CA"/>
        </w:rPr>
        <w:t>.</w:t>
      </w:r>
    </w:p>
    <w:p w14:paraId="0328F639" w14:textId="6C743297" w:rsidR="00D12C1C" w:rsidRPr="004C29A3" w:rsidRDefault="00C4258B" w:rsidP="004C29A3">
      <w:pPr>
        <w:pStyle w:val="AParaNumbering"/>
        <w:rPr>
          <w:lang w:val="fr-CA"/>
        </w:rPr>
      </w:pPr>
      <w:r>
        <w:t>[21]</w:t>
      </w:r>
      <w:r>
        <w:tab/>
      </w:r>
      <w:r w:rsidR="000C7AEC" w:rsidRPr="004C29A3">
        <w:rPr>
          <w:lang w:val="fr-CA"/>
        </w:rPr>
        <w:t xml:space="preserve">La juge de paix a </w:t>
      </w:r>
      <w:r w:rsidR="00316297">
        <w:rPr>
          <w:lang w:val="fr-CA"/>
        </w:rPr>
        <w:t xml:space="preserve">expliqué </w:t>
      </w:r>
      <w:r w:rsidR="000C7AEC" w:rsidRPr="004C29A3">
        <w:rPr>
          <w:lang w:val="fr-CA"/>
        </w:rPr>
        <w:t xml:space="preserve">qu’elle était d’avis à l’époque que, comme il y avait eu quelques cas où la poursuite avait accepté des amendes </w:t>
      </w:r>
      <w:r w:rsidR="00316297">
        <w:rPr>
          <w:lang w:val="fr-CA"/>
        </w:rPr>
        <w:t>fixes</w:t>
      </w:r>
      <w:r w:rsidR="000C7AEC" w:rsidRPr="004C29A3">
        <w:rPr>
          <w:lang w:val="fr-CA"/>
        </w:rPr>
        <w:t xml:space="preserve"> dans le cadre d’observations conjointes, il était injuste d’imposer une amende plus élevée en l’absence de preuves ou d’observations qui démontraient des circonstances aggravantes à l’appui d’une amende plus élevée. La juge de paix a continué de se fonder sur la décision </w:t>
      </w:r>
      <w:r w:rsidR="000C7AEC" w:rsidRPr="004C29A3">
        <w:rPr>
          <w:i/>
          <w:lang w:val="fr-CA"/>
        </w:rPr>
        <w:t>Benatar</w:t>
      </w:r>
      <w:r w:rsidR="000C7AEC" w:rsidRPr="004C29A3">
        <w:rPr>
          <w:lang w:val="fr-CA"/>
        </w:rPr>
        <w:t xml:space="preserve"> inapplicable</w:t>
      </w:r>
      <w:r w:rsidR="00884FA7" w:rsidRPr="004C29A3">
        <w:rPr>
          <w:lang w:val="fr-CA"/>
        </w:rPr>
        <w:t>.</w:t>
      </w:r>
    </w:p>
    <w:p w14:paraId="557A9DC1" w14:textId="2E5D5E8D" w:rsidR="00D12C1C" w:rsidRPr="004C29A3" w:rsidRDefault="00316297" w:rsidP="004C29A3">
      <w:pPr>
        <w:pStyle w:val="AParaNumbering"/>
        <w:rPr>
          <w:lang w:val="fr-CA"/>
        </w:rPr>
      </w:pPr>
      <w:r>
        <w:t>[22]</w:t>
      </w:r>
      <w:r>
        <w:tab/>
      </w:r>
      <w:r w:rsidR="000C7AEC" w:rsidRPr="004C29A3">
        <w:rPr>
          <w:lang w:val="fr-CA"/>
        </w:rPr>
        <w:t>Dans l’Exposé conjoint des faits, la juge de paix a reconnu que</w:t>
      </w:r>
      <w:r>
        <w:rPr>
          <w:lang w:val="fr-CA"/>
        </w:rPr>
        <w:t>,</w:t>
      </w:r>
      <w:r w:rsidR="000C7AEC" w:rsidRPr="004C29A3">
        <w:rPr>
          <w:lang w:val="fr-CA"/>
        </w:rPr>
        <w:t xml:space="preserve"> selon une interprétation correcte de la jurisprudence sur le sujet des observations conjointes, elle avait commis une erreur en demandant la présentation de preuves démontr</w:t>
      </w:r>
      <w:r>
        <w:rPr>
          <w:lang w:val="fr-CA"/>
        </w:rPr>
        <w:t>ant</w:t>
      </w:r>
      <w:r w:rsidR="000C7AEC" w:rsidRPr="004C29A3">
        <w:rPr>
          <w:lang w:val="fr-CA"/>
        </w:rPr>
        <w:t xml:space="preserve"> </w:t>
      </w:r>
      <w:r>
        <w:rPr>
          <w:lang w:val="fr-CA"/>
        </w:rPr>
        <w:t xml:space="preserve">pourquoi </w:t>
      </w:r>
      <w:r w:rsidR="000C7AEC" w:rsidRPr="004C29A3">
        <w:rPr>
          <w:lang w:val="fr-CA"/>
        </w:rPr>
        <w:t xml:space="preserve">une amende supérieure à l’amende </w:t>
      </w:r>
      <w:r>
        <w:rPr>
          <w:lang w:val="fr-CA"/>
        </w:rPr>
        <w:t>fixe</w:t>
      </w:r>
      <w:r w:rsidR="000C7AEC" w:rsidRPr="004C29A3">
        <w:rPr>
          <w:lang w:val="fr-CA"/>
        </w:rPr>
        <w:t xml:space="preserve"> était raisonnable dans les circonstances</w:t>
      </w:r>
      <w:r w:rsidR="008D477A" w:rsidRPr="004C29A3">
        <w:rPr>
          <w:lang w:val="fr-CA"/>
        </w:rPr>
        <w:t>.</w:t>
      </w:r>
    </w:p>
    <w:p w14:paraId="5C02E608" w14:textId="5BC7001C" w:rsidR="00D12C1C" w:rsidRPr="004C29A3" w:rsidRDefault="00316297" w:rsidP="004C29A3">
      <w:pPr>
        <w:pStyle w:val="AParaNumbering"/>
        <w:rPr>
          <w:lang w:val="fr-CA"/>
        </w:rPr>
      </w:pPr>
      <w:r>
        <w:t>[23]</w:t>
      </w:r>
      <w:r>
        <w:tab/>
      </w:r>
      <w:r w:rsidR="000C7AEC" w:rsidRPr="004C29A3">
        <w:rPr>
          <w:lang w:val="fr-CA"/>
        </w:rPr>
        <w:t xml:space="preserve">Au cours de l’audience dans l’affaire </w:t>
      </w:r>
      <w:r w:rsidR="00884FA7" w:rsidRPr="004C29A3">
        <w:rPr>
          <w:i/>
          <w:lang w:val="fr-CA"/>
        </w:rPr>
        <w:t>Alakoozi</w:t>
      </w:r>
      <w:r w:rsidR="000C7AEC" w:rsidRPr="004C29A3">
        <w:rPr>
          <w:lang w:val="fr-CA"/>
        </w:rPr>
        <w:t xml:space="preserve">, le 18 août </w:t>
      </w:r>
      <w:r w:rsidR="00884FA7" w:rsidRPr="004C29A3">
        <w:rPr>
          <w:lang w:val="fr-CA"/>
        </w:rPr>
        <w:t xml:space="preserve">2015, </w:t>
      </w:r>
      <w:r w:rsidR="000C7AEC" w:rsidRPr="004C29A3">
        <w:rPr>
          <w:lang w:val="fr-CA"/>
        </w:rPr>
        <w:t xml:space="preserve">le poursuivant a renvoyé à la décision d’appel rendue dans l’affaire </w:t>
      </w:r>
      <w:r w:rsidR="00884FA7" w:rsidRPr="004C29A3">
        <w:rPr>
          <w:i/>
          <w:lang w:val="fr-CA"/>
        </w:rPr>
        <w:t>R. v. Mirza</w:t>
      </w:r>
      <w:r w:rsidR="008D477A" w:rsidRPr="004C29A3">
        <w:rPr>
          <w:lang w:val="fr-CA"/>
        </w:rPr>
        <w:t>.</w:t>
      </w:r>
      <w:r w:rsidR="00884FA7" w:rsidRPr="004C29A3">
        <w:rPr>
          <w:lang w:val="fr-CA"/>
        </w:rPr>
        <w:t xml:space="preserve"> </w:t>
      </w:r>
      <w:r w:rsidR="000C7AEC" w:rsidRPr="004C29A3">
        <w:rPr>
          <w:lang w:val="fr-CA"/>
        </w:rPr>
        <w:t xml:space="preserve">La juge de paix a affirmé au poursuivant qu’elle connaissait l’affaire et qu’il n’était pas nécessaire qu’il </w:t>
      </w:r>
      <w:r>
        <w:rPr>
          <w:lang w:val="fr-CA"/>
        </w:rPr>
        <w:t>la passe en revue</w:t>
      </w:r>
      <w:r w:rsidR="002A46E8" w:rsidRPr="004C29A3">
        <w:rPr>
          <w:lang w:val="fr-CA"/>
        </w:rPr>
        <w:t xml:space="preserve">. La juge de paix a invité le poursuivant et la défense à appeler des témoins sur le prononcé de la peine et la poursuivant a porté à l’attention de la juge de paix la décision d’appel rendue dans l’affaire </w:t>
      </w:r>
      <w:r w:rsidR="00884FA7" w:rsidRPr="004C29A3">
        <w:rPr>
          <w:i/>
          <w:lang w:val="fr-CA"/>
        </w:rPr>
        <w:t>R. v. Chmiel</w:t>
      </w:r>
      <w:r w:rsidR="002A46E8" w:rsidRPr="004C29A3">
        <w:rPr>
          <w:lang w:val="fr-CA"/>
        </w:rPr>
        <w:t xml:space="preserve"> en offrant de lui remettre une copie de la décision. Au lieu d’accepter la position conjointe des parties sur la peine, la juge de paix </w:t>
      </w:r>
      <w:r w:rsidR="00884FA7" w:rsidRPr="004C29A3">
        <w:rPr>
          <w:lang w:val="fr-CA"/>
        </w:rPr>
        <w:t xml:space="preserve">Romagnoli </w:t>
      </w:r>
      <w:r w:rsidR="002A46E8" w:rsidRPr="004C29A3">
        <w:rPr>
          <w:lang w:val="fr-CA"/>
        </w:rPr>
        <w:t>a différé sa décision et une discussion a suivi sur la présentation d’observations écrites</w:t>
      </w:r>
      <w:r w:rsidR="008D477A" w:rsidRPr="004C29A3">
        <w:rPr>
          <w:lang w:val="fr-CA"/>
        </w:rPr>
        <w:t>.</w:t>
      </w:r>
    </w:p>
    <w:p w14:paraId="38A82D52" w14:textId="2311B6D5" w:rsidR="0020151B" w:rsidRPr="004C29A3" w:rsidRDefault="00316297" w:rsidP="004C29A3">
      <w:pPr>
        <w:pStyle w:val="AParaNumbering"/>
        <w:rPr>
          <w:lang w:val="fr-CA"/>
        </w:rPr>
      </w:pPr>
      <w:r>
        <w:t>[24]</w:t>
      </w:r>
      <w:r>
        <w:tab/>
      </w:r>
      <w:r w:rsidR="00FF22E8" w:rsidRPr="004C29A3">
        <w:rPr>
          <w:lang w:val="fr-CA"/>
        </w:rPr>
        <w:t xml:space="preserve">Le 15 octobre </w:t>
      </w:r>
      <w:r w:rsidR="004931C7" w:rsidRPr="004C29A3">
        <w:rPr>
          <w:lang w:val="fr-CA"/>
        </w:rPr>
        <w:t>2015,</w:t>
      </w:r>
      <w:r w:rsidR="00FF22E8" w:rsidRPr="004C29A3">
        <w:rPr>
          <w:lang w:val="fr-CA"/>
        </w:rPr>
        <w:t xml:space="preserve"> les parties ont comparu à nouveau devant la juge de paix pour le prononcé de la peine. Au lieu d’accepter la position conjointe des parties sur la peine, la juge de paix a imposé une peine équivalente à l’amende fixée à l’égard de l’infraction. </w:t>
      </w:r>
    </w:p>
    <w:p w14:paraId="763FA77B" w14:textId="3464A809" w:rsidR="00D12C1C" w:rsidRPr="004C29A3" w:rsidRDefault="00316297" w:rsidP="004C29A3">
      <w:pPr>
        <w:pStyle w:val="AParaNumbering"/>
        <w:rPr>
          <w:lang w:val="fr-CA"/>
        </w:rPr>
      </w:pPr>
      <w:r>
        <w:lastRenderedPageBreak/>
        <w:t>[25]</w:t>
      </w:r>
      <w:r>
        <w:tab/>
      </w:r>
      <w:r w:rsidR="00FF22E8" w:rsidRPr="004C29A3">
        <w:rPr>
          <w:lang w:val="fr-CA"/>
        </w:rPr>
        <w:t>Dans une affaire quasi-criminelle, les parties présentent parfois des observations conjointes sur la peine après avoir mené des négociations dans le cadre desquelles certaines accusations ont été retirées. En conséquence, ce n’est que dans des cas exceptionnels, où les observations conjointes proposent une peine qui n’est pas raisonnable, que le tribunal</w:t>
      </w:r>
      <w:r>
        <w:rPr>
          <w:lang w:val="fr-CA"/>
        </w:rPr>
        <w:t xml:space="preserve"> devrait</w:t>
      </w:r>
      <w:r w:rsidR="00FF22E8" w:rsidRPr="004C29A3">
        <w:rPr>
          <w:lang w:val="fr-CA"/>
        </w:rPr>
        <w:t xml:space="preserve"> interven</w:t>
      </w:r>
      <w:r>
        <w:rPr>
          <w:lang w:val="fr-CA"/>
        </w:rPr>
        <w:t>ir</w:t>
      </w:r>
      <w:r w:rsidR="00FF22E8" w:rsidRPr="004C29A3">
        <w:rPr>
          <w:lang w:val="fr-CA"/>
        </w:rPr>
        <w:t xml:space="preserve">. </w:t>
      </w:r>
    </w:p>
    <w:p w14:paraId="03090D14" w14:textId="730DAD90" w:rsidR="00D12C1C" w:rsidRPr="004C29A3" w:rsidRDefault="00316297" w:rsidP="004C29A3">
      <w:pPr>
        <w:pStyle w:val="AParaNumbering"/>
        <w:rPr>
          <w:lang w:val="fr-CA"/>
        </w:rPr>
      </w:pPr>
      <w:r>
        <w:t>[26]</w:t>
      </w:r>
      <w:r>
        <w:tab/>
      </w:r>
      <w:r w:rsidR="00FF22E8" w:rsidRPr="004C29A3">
        <w:rPr>
          <w:lang w:val="fr-CA"/>
        </w:rPr>
        <w:t xml:space="preserve">Dans l’Exposé conjoint des faits, la juge de paix a avisé qu’elle avait cessé de se fonder sur la décision </w:t>
      </w:r>
      <w:r w:rsidR="00884FA7" w:rsidRPr="004C29A3">
        <w:rPr>
          <w:i/>
          <w:lang w:val="fr-CA"/>
        </w:rPr>
        <w:t>Benatar</w:t>
      </w:r>
      <w:r w:rsidR="00FF22E8" w:rsidRPr="004C29A3">
        <w:rPr>
          <w:i/>
          <w:lang w:val="fr-CA"/>
        </w:rPr>
        <w:t>,</w:t>
      </w:r>
      <w:r w:rsidR="00884FA7" w:rsidRPr="004C29A3">
        <w:rPr>
          <w:lang w:val="fr-CA"/>
        </w:rPr>
        <w:t xml:space="preserve"> </w:t>
      </w:r>
      <w:r w:rsidR="00FF22E8" w:rsidRPr="004C29A3">
        <w:rPr>
          <w:lang w:val="fr-CA"/>
        </w:rPr>
        <w:t xml:space="preserve">car elle avait réalisé qu’elle avait mal interprété son application aux observations conjointes. </w:t>
      </w:r>
    </w:p>
    <w:p w14:paraId="0D476141" w14:textId="0582C4C0" w:rsidR="00D12C1C" w:rsidRPr="004C29A3" w:rsidRDefault="00316297" w:rsidP="004C29A3">
      <w:pPr>
        <w:pStyle w:val="AParaNumbering"/>
        <w:rPr>
          <w:i/>
          <w:lang w:val="fr-CA"/>
        </w:rPr>
      </w:pPr>
      <w:r>
        <w:t>[27]</w:t>
      </w:r>
      <w:r>
        <w:tab/>
      </w:r>
      <w:r w:rsidR="00FF22E8" w:rsidRPr="004C29A3">
        <w:rPr>
          <w:lang w:val="fr-CA"/>
        </w:rPr>
        <w:t xml:space="preserve">Pendant qu’elle se préparait à </w:t>
      </w:r>
      <w:r>
        <w:rPr>
          <w:lang w:val="fr-CA"/>
        </w:rPr>
        <w:t xml:space="preserve">notre </w:t>
      </w:r>
      <w:r w:rsidR="00FF22E8" w:rsidRPr="004C29A3">
        <w:rPr>
          <w:lang w:val="fr-CA"/>
        </w:rPr>
        <w:t xml:space="preserve">audience, la juge de paix </w:t>
      </w:r>
      <w:r w:rsidR="00884FA7" w:rsidRPr="004C29A3">
        <w:rPr>
          <w:lang w:val="fr-CA"/>
        </w:rPr>
        <w:t xml:space="preserve">Romagnoli </w:t>
      </w:r>
      <w:r w:rsidR="00FF22E8" w:rsidRPr="004C29A3">
        <w:rPr>
          <w:lang w:val="fr-CA"/>
        </w:rPr>
        <w:t xml:space="preserve">a discuté de la jurisprudence existante avec son avocat, </w:t>
      </w:r>
      <w:r w:rsidR="008D477A" w:rsidRPr="004C29A3">
        <w:rPr>
          <w:lang w:val="fr-CA"/>
        </w:rPr>
        <w:t>M</w:t>
      </w:r>
      <w:r w:rsidR="00FF22E8" w:rsidRPr="004C29A3">
        <w:rPr>
          <w:lang w:val="fr-CA"/>
        </w:rPr>
        <w:t>e</w:t>
      </w:r>
      <w:r w:rsidR="008D477A" w:rsidRPr="004C29A3">
        <w:rPr>
          <w:lang w:val="fr-CA"/>
        </w:rPr>
        <w:t xml:space="preserve"> Sandler. </w:t>
      </w:r>
      <w:r w:rsidR="00FF22E8" w:rsidRPr="004C29A3">
        <w:rPr>
          <w:lang w:val="fr-CA"/>
        </w:rPr>
        <w:t xml:space="preserve">Elle a </w:t>
      </w:r>
      <w:r>
        <w:rPr>
          <w:lang w:val="fr-CA"/>
        </w:rPr>
        <w:t xml:space="preserve">aussi </w:t>
      </w:r>
      <w:r w:rsidR="00FF22E8" w:rsidRPr="004C29A3">
        <w:rPr>
          <w:lang w:val="fr-CA"/>
        </w:rPr>
        <w:t xml:space="preserve">suivi une formation juridique auprès de l’honorable </w:t>
      </w:r>
      <w:r w:rsidR="00884FA7" w:rsidRPr="004C29A3">
        <w:rPr>
          <w:lang w:val="fr-CA"/>
        </w:rPr>
        <w:t xml:space="preserve">Stephen Goudge, </w:t>
      </w:r>
      <w:r w:rsidR="00FF22E8" w:rsidRPr="004C29A3">
        <w:rPr>
          <w:lang w:val="fr-CA"/>
        </w:rPr>
        <w:t>ancien juge de la Cour d’appel de l’Ontario, qui a affirmé</w:t>
      </w:r>
      <w:r>
        <w:rPr>
          <w:lang w:val="fr-CA"/>
        </w:rPr>
        <w:t>,</w:t>
      </w:r>
      <w:r w:rsidR="00FF22E8" w:rsidRPr="004C29A3">
        <w:rPr>
          <w:lang w:val="fr-CA"/>
        </w:rPr>
        <w:t xml:space="preserve"> dans une lettre adressée au comité d’audition</w:t>
      </w:r>
      <w:r>
        <w:rPr>
          <w:lang w:val="fr-CA"/>
        </w:rPr>
        <w:t>,</w:t>
      </w:r>
      <w:r w:rsidR="00FF22E8" w:rsidRPr="004C29A3">
        <w:rPr>
          <w:lang w:val="fr-CA"/>
        </w:rPr>
        <w:t xml:space="preserve"> que la juge de paix </w:t>
      </w:r>
      <w:r w:rsidR="00884FA7" w:rsidRPr="004C29A3">
        <w:rPr>
          <w:lang w:val="fr-CA"/>
        </w:rPr>
        <w:t>Romagnoli</w:t>
      </w:r>
      <w:r w:rsidR="00FF22E8" w:rsidRPr="004C29A3">
        <w:rPr>
          <w:lang w:val="fr-CA"/>
        </w:rPr>
        <w:t xml:space="preserve"> comprenait parfaitement la validité des préoccupations relatives au droit applicable aux observations conjointes ainsi qu</w:t>
      </w:r>
      <w:r>
        <w:rPr>
          <w:lang w:val="fr-CA"/>
        </w:rPr>
        <w:t>’à</w:t>
      </w:r>
      <w:r w:rsidR="00FF22E8" w:rsidRPr="004C29A3">
        <w:rPr>
          <w:lang w:val="fr-CA"/>
        </w:rPr>
        <w:t xml:space="preserve"> la décision </w:t>
      </w:r>
      <w:r w:rsidR="00884FA7" w:rsidRPr="004C29A3">
        <w:rPr>
          <w:i/>
          <w:lang w:val="fr-CA"/>
        </w:rPr>
        <w:t>Benatar</w:t>
      </w:r>
      <w:r w:rsidR="00884FA7" w:rsidRPr="004C29A3">
        <w:rPr>
          <w:lang w:val="fr-CA"/>
        </w:rPr>
        <w:t>.</w:t>
      </w:r>
    </w:p>
    <w:p w14:paraId="066ABBCF" w14:textId="2C4E4C54" w:rsidR="00D12C1C" w:rsidRPr="004C29A3" w:rsidRDefault="00B5441B" w:rsidP="006B7EEA">
      <w:pPr>
        <w:pStyle w:val="Heading3"/>
        <w:numPr>
          <w:ilvl w:val="0"/>
          <w:numId w:val="25"/>
        </w:numPr>
        <w:spacing w:after="240"/>
        <w:rPr>
          <w:rFonts w:ascii="Arial" w:hAnsi="Arial" w:cs="Arial"/>
          <w:i/>
          <w:color w:val="000000" w:themeColor="text1"/>
          <w:lang w:val="fr-CA"/>
        </w:rPr>
      </w:pPr>
      <w:r w:rsidRPr="004C29A3">
        <w:rPr>
          <w:rFonts w:ascii="Arial" w:hAnsi="Arial" w:cs="Arial"/>
          <w:i/>
          <w:color w:val="000000" w:themeColor="text1"/>
          <w:lang w:val="fr-CA"/>
        </w:rPr>
        <w:t xml:space="preserve">Refus d’appliquer la loi qui a établi que la municipalité régionale de York est une région désignée pour des infractions photographiées </w:t>
      </w:r>
      <w:r w:rsidR="006B7EEA" w:rsidRPr="004C29A3">
        <w:rPr>
          <w:rFonts w:ascii="Arial" w:hAnsi="Arial" w:cs="Arial"/>
          <w:i/>
          <w:color w:val="000000" w:themeColor="text1"/>
          <w:lang w:val="fr-CA"/>
        </w:rPr>
        <w:t>au moyen d’un système photographique relié aux feux rouges</w:t>
      </w:r>
      <w:r w:rsidR="008D477A" w:rsidRPr="004C29A3">
        <w:rPr>
          <w:rFonts w:ascii="Arial" w:hAnsi="Arial" w:cs="Arial"/>
          <w:i/>
          <w:color w:val="000000" w:themeColor="text1"/>
          <w:lang w:val="fr-CA"/>
        </w:rPr>
        <w:t>.</w:t>
      </w:r>
    </w:p>
    <w:p w14:paraId="47B3995B" w14:textId="765C5834" w:rsidR="00D12C1C" w:rsidRPr="004C29A3" w:rsidRDefault="00316297" w:rsidP="004C29A3">
      <w:pPr>
        <w:pStyle w:val="AParaNumbering"/>
        <w:rPr>
          <w:lang w:val="fr-CA"/>
        </w:rPr>
      </w:pPr>
      <w:r>
        <w:t>[28]</w:t>
      </w:r>
      <w:r>
        <w:tab/>
      </w:r>
      <w:r w:rsidR="006B7EEA" w:rsidRPr="004C29A3">
        <w:rPr>
          <w:lang w:val="fr-CA"/>
        </w:rPr>
        <w:t xml:space="preserve">Un procès-verbal d’infraction, en vertu de la partie I de la </w:t>
      </w:r>
      <w:r w:rsidR="006B7EEA" w:rsidRPr="004C29A3">
        <w:rPr>
          <w:i/>
          <w:lang w:val="fr-CA"/>
        </w:rPr>
        <w:t>Loi sur les infractions provinciales</w:t>
      </w:r>
      <w:r w:rsidR="006B7EEA" w:rsidRPr="004C29A3">
        <w:rPr>
          <w:lang w:val="fr-CA"/>
        </w:rPr>
        <w:t xml:space="preserve">, doit contenir les renseignements essentiels se rapportant à l’infraction. </w:t>
      </w:r>
      <w:r w:rsidR="00D05C50" w:rsidRPr="004C29A3">
        <w:rPr>
          <w:lang w:val="fr-CA"/>
        </w:rPr>
        <w:t xml:space="preserve">Cependant, le procès-verbal d’infraction ne doit pas indiquer le nom de la municipalité de palier inférieur où l’infraction a eu lieu. Le juge de paix qui annule un procès-verbal d’infraction qui </w:t>
      </w:r>
      <w:r w:rsidR="004F4C41">
        <w:rPr>
          <w:lang w:val="fr-CA"/>
        </w:rPr>
        <w:t>indique</w:t>
      </w:r>
      <w:r w:rsidR="00D05C50" w:rsidRPr="004C29A3">
        <w:rPr>
          <w:lang w:val="fr-CA"/>
        </w:rPr>
        <w:t xml:space="preserve"> le nom d’une municipalité de palier supérieur, comme la municipalité régionale de York, au titre du lieu de l’infraction, commet une erreur.</w:t>
      </w:r>
    </w:p>
    <w:p w14:paraId="500F063C" w14:textId="0256EE2E" w:rsidR="00D12C1C" w:rsidRPr="004C29A3" w:rsidRDefault="004F4C41" w:rsidP="004C29A3">
      <w:pPr>
        <w:pStyle w:val="AParaNumbering"/>
        <w:rPr>
          <w:lang w:val="fr-CA"/>
        </w:rPr>
      </w:pPr>
      <w:r>
        <w:t>[29]</w:t>
      </w:r>
      <w:r>
        <w:tab/>
      </w:r>
      <w:r w:rsidR="00D05C50" w:rsidRPr="004C29A3">
        <w:rPr>
          <w:lang w:val="fr-CA"/>
        </w:rPr>
        <w:t xml:space="preserve">Dans dix décisions rendues entre le 19 septembre </w:t>
      </w:r>
      <w:r w:rsidR="00884FA7" w:rsidRPr="004C29A3">
        <w:rPr>
          <w:lang w:val="fr-CA"/>
        </w:rPr>
        <w:t xml:space="preserve">2014 </w:t>
      </w:r>
      <w:r w:rsidR="00D05C50" w:rsidRPr="004C29A3">
        <w:rPr>
          <w:lang w:val="fr-CA"/>
        </w:rPr>
        <w:t xml:space="preserve">et le 11 juin </w:t>
      </w:r>
      <w:r w:rsidR="00884FA7" w:rsidRPr="004C29A3">
        <w:rPr>
          <w:lang w:val="fr-CA"/>
        </w:rPr>
        <w:t xml:space="preserve">2015, </w:t>
      </w:r>
      <w:r w:rsidR="00D05C50" w:rsidRPr="004C29A3">
        <w:rPr>
          <w:lang w:val="fr-CA"/>
        </w:rPr>
        <w:t xml:space="preserve">la juge de paix </w:t>
      </w:r>
      <w:r w:rsidR="00884FA7" w:rsidRPr="004C29A3">
        <w:rPr>
          <w:lang w:val="fr-CA"/>
        </w:rPr>
        <w:t xml:space="preserve">Romagnoli </w:t>
      </w:r>
      <w:r w:rsidR="00D05C50" w:rsidRPr="004C29A3">
        <w:rPr>
          <w:lang w:val="fr-CA"/>
        </w:rPr>
        <w:t>a omis de suivre des dispositions obligatoires à cet égard,</w:t>
      </w:r>
      <w:r>
        <w:rPr>
          <w:lang w:val="fr-CA"/>
        </w:rPr>
        <w:t xml:space="preserve"> dans des affaires d’infractions </w:t>
      </w:r>
      <w:r w:rsidRPr="004F4C41">
        <w:rPr>
          <w:color w:val="000000" w:themeColor="text1"/>
          <w:lang w:val="fr-CA"/>
        </w:rPr>
        <w:t>constatées par une caméra aux feux rouges</w:t>
      </w:r>
      <w:r>
        <w:rPr>
          <w:color w:val="000000" w:themeColor="text1"/>
          <w:lang w:val="fr-CA"/>
        </w:rPr>
        <w:t>,</w:t>
      </w:r>
      <w:r w:rsidR="00D05C50" w:rsidRPr="004C29A3">
        <w:rPr>
          <w:lang w:val="fr-CA"/>
        </w:rPr>
        <w:t xml:space="preserve"> concluant que le procès-verbal d’infraction n’était pas complet et régulier à première vue, </w:t>
      </w:r>
      <w:r>
        <w:rPr>
          <w:lang w:val="fr-CA"/>
        </w:rPr>
        <w:t xml:space="preserve">car </w:t>
      </w:r>
      <w:r w:rsidR="00D05C50" w:rsidRPr="004C29A3">
        <w:rPr>
          <w:lang w:val="fr-CA"/>
        </w:rPr>
        <w:t xml:space="preserve">il </w:t>
      </w:r>
      <w:r w:rsidR="00D05C50" w:rsidRPr="004C29A3">
        <w:rPr>
          <w:lang w:val="fr-CA"/>
        </w:rPr>
        <w:lastRenderedPageBreak/>
        <w:t>indiquait le nom de la municipalité régionale de York au lieu du nom de la ville ou de la localité dans laquelle les infractions ont eu lieu</w:t>
      </w:r>
      <w:r w:rsidR="002654A2" w:rsidRPr="004C29A3">
        <w:rPr>
          <w:lang w:val="fr-CA"/>
        </w:rPr>
        <w:t>.</w:t>
      </w:r>
    </w:p>
    <w:p w14:paraId="6B6F1E5C" w14:textId="778C188B" w:rsidR="00D12C1C" w:rsidRPr="004C29A3" w:rsidRDefault="004F4C41" w:rsidP="004C29A3">
      <w:pPr>
        <w:pStyle w:val="AParaNumbering"/>
        <w:rPr>
          <w:lang w:val="fr-CA"/>
        </w:rPr>
      </w:pPr>
      <w:r>
        <w:t>[30]</w:t>
      </w:r>
      <w:r>
        <w:tab/>
      </w:r>
      <w:r w:rsidR="001C3301" w:rsidRPr="004C29A3">
        <w:rPr>
          <w:lang w:val="fr-CA"/>
        </w:rPr>
        <w:t xml:space="preserve">Dans l’Exposé conjoint des faits, la juge de paix a </w:t>
      </w:r>
      <w:r w:rsidR="00854D27">
        <w:rPr>
          <w:lang w:val="fr-CA"/>
        </w:rPr>
        <w:t>expliqué</w:t>
      </w:r>
      <w:r w:rsidR="001C3301" w:rsidRPr="004C29A3">
        <w:rPr>
          <w:lang w:val="fr-CA"/>
        </w:rPr>
        <w:t xml:space="preserve"> que cette erreur découlait de son interprétation trop étroite du principe de </w:t>
      </w:r>
      <w:r w:rsidR="00884FA7" w:rsidRPr="004C29A3">
        <w:rPr>
          <w:i/>
          <w:lang w:val="fr-CA"/>
        </w:rPr>
        <w:t>stare decisis</w:t>
      </w:r>
      <w:r w:rsidR="00884FA7" w:rsidRPr="004C29A3">
        <w:rPr>
          <w:lang w:val="fr-CA"/>
        </w:rPr>
        <w:t xml:space="preserve">. </w:t>
      </w:r>
      <w:r w:rsidR="001C3301" w:rsidRPr="004C29A3">
        <w:rPr>
          <w:lang w:val="fr-CA"/>
        </w:rPr>
        <w:t>La juge de paix a depuis examiné les décisions sur ce point, discuté de la question avec Me </w:t>
      </w:r>
      <w:r w:rsidR="00884FA7" w:rsidRPr="004C29A3">
        <w:rPr>
          <w:lang w:val="fr-CA"/>
        </w:rPr>
        <w:t xml:space="preserve">Sandler </w:t>
      </w:r>
      <w:r w:rsidR="001C3301" w:rsidRPr="004C29A3">
        <w:rPr>
          <w:lang w:val="fr-CA"/>
        </w:rPr>
        <w:t>et demandé des conseils à cet égard à M.</w:t>
      </w:r>
      <w:r w:rsidR="00884FA7" w:rsidRPr="004C29A3">
        <w:rPr>
          <w:lang w:val="fr-CA"/>
        </w:rPr>
        <w:t xml:space="preserve"> Goudge</w:t>
      </w:r>
      <w:r w:rsidR="00F97717" w:rsidRPr="004C29A3">
        <w:rPr>
          <w:lang w:val="fr-CA"/>
        </w:rPr>
        <w:t>.</w:t>
      </w:r>
    </w:p>
    <w:p w14:paraId="20ECA536" w14:textId="549660C7" w:rsidR="00D12C1C" w:rsidRPr="004C29A3" w:rsidRDefault="00854D27" w:rsidP="004C29A3">
      <w:pPr>
        <w:pStyle w:val="AParaNumbering"/>
        <w:rPr>
          <w:lang w:val="fr-CA"/>
        </w:rPr>
      </w:pPr>
      <w:r>
        <w:t>[31]</w:t>
      </w:r>
      <w:r>
        <w:tab/>
      </w:r>
      <w:r w:rsidR="001C3301" w:rsidRPr="004C29A3">
        <w:rPr>
          <w:lang w:val="fr-CA"/>
        </w:rPr>
        <w:t xml:space="preserve">La juge de paix a affirmé qu’elle n’avait pas compris qu’elle était liée non seulement par une décision d’appel annulant sa décision sur une affaire individuelle, mais également par la décision d’un tribunal supérieur qui a réglé une question de droit dont elle était saisie. La juge de paix a expliqué qu’au départ elle avait compris à tort qu’une décision de la Cour supérieure de justice dans le cadre d’une révision judiciaire </w:t>
      </w:r>
      <w:r w:rsidR="0033084E" w:rsidRPr="004C29A3">
        <w:rPr>
          <w:lang w:val="fr-CA"/>
        </w:rPr>
        <w:t>liait le juge de paix concerné par la décision et personne d’autre</w:t>
      </w:r>
      <w:r w:rsidR="00884FA7" w:rsidRPr="004C29A3">
        <w:rPr>
          <w:lang w:val="fr-CA"/>
        </w:rPr>
        <w:t>.</w:t>
      </w:r>
    </w:p>
    <w:p w14:paraId="318AD0C6" w14:textId="1454C5FC" w:rsidR="00D12C1C" w:rsidRPr="004C29A3" w:rsidRDefault="00854D27" w:rsidP="004C29A3">
      <w:pPr>
        <w:pStyle w:val="AParaNumbering"/>
        <w:rPr>
          <w:lang w:val="fr-CA"/>
        </w:rPr>
      </w:pPr>
      <w:r>
        <w:t>[32]</w:t>
      </w:r>
      <w:r>
        <w:tab/>
      </w:r>
      <w:r w:rsidR="0033084E" w:rsidRPr="004C29A3">
        <w:rPr>
          <w:lang w:val="fr-CA"/>
        </w:rPr>
        <w:t>Dans la décision</w:t>
      </w:r>
      <w:r w:rsidR="00884FA7" w:rsidRPr="004C29A3">
        <w:rPr>
          <w:lang w:val="fr-CA"/>
        </w:rPr>
        <w:t xml:space="preserve"> </w:t>
      </w:r>
      <w:r w:rsidR="00884FA7" w:rsidRPr="004C29A3">
        <w:rPr>
          <w:i/>
          <w:lang w:val="fr-CA"/>
        </w:rPr>
        <w:t>R. v. Taylor Kim</w:t>
      </w:r>
      <w:r w:rsidR="00C33C4B" w:rsidRPr="004C29A3">
        <w:rPr>
          <w:rStyle w:val="FootnoteReference"/>
          <w:i/>
          <w:lang w:val="fr-CA"/>
        </w:rPr>
        <w:footnoteReference w:id="5"/>
      </w:r>
      <w:r w:rsidR="00884FA7" w:rsidRPr="004C29A3">
        <w:rPr>
          <w:lang w:val="fr-CA"/>
        </w:rPr>
        <w:t xml:space="preserve">, </w:t>
      </w:r>
      <w:r w:rsidR="0033084E" w:rsidRPr="004C29A3">
        <w:rPr>
          <w:lang w:val="fr-CA"/>
        </w:rPr>
        <w:t xml:space="preserve">par exemple, la juge de paix a annulé l’accusation d’omission de préciser un lieu. Dans l’Exposé conjoint des faits, la juge de paix a soutenu que lorsqu’elle tranché l’affaire, elle ne savait pas qu’il existait une jurisprudence obligatoire dans le sens contraire. Aucune décision </w:t>
      </w:r>
      <w:r>
        <w:rPr>
          <w:lang w:val="fr-CA"/>
        </w:rPr>
        <w:t>à cet égard</w:t>
      </w:r>
      <w:r w:rsidR="0033084E" w:rsidRPr="004C29A3">
        <w:rPr>
          <w:lang w:val="fr-CA"/>
        </w:rPr>
        <w:t xml:space="preserve"> ne lui a été présentée</w:t>
      </w:r>
      <w:r w:rsidR="00884FA7" w:rsidRPr="004C29A3">
        <w:rPr>
          <w:lang w:val="fr-CA"/>
        </w:rPr>
        <w:t xml:space="preserve">. </w:t>
      </w:r>
      <w:r w:rsidR="0033084E" w:rsidRPr="004C29A3">
        <w:rPr>
          <w:lang w:val="fr-CA"/>
        </w:rPr>
        <w:t xml:space="preserve">Le même jour, dans l’affaire </w:t>
      </w:r>
      <w:r w:rsidR="00884FA7" w:rsidRPr="004C29A3">
        <w:rPr>
          <w:i/>
          <w:lang w:val="fr-CA"/>
        </w:rPr>
        <w:t>R. v. Tran</w:t>
      </w:r>
      <w:r w:rsidR="00C33C4B" w:rsidRPr="004C29A3">
        <w:rPr>
          <w:rStyle w:val="FootnoteReference"/>
          <w:i/>
          <w:lang w:val="fr-CA"/>
        </w:rPr>
        <w:footnoteReference w:id="6"/>
      </w:r>
      <w:r w:rsidR="00884FA7" w:rsidRPr="004C29A3">
        <w:rPr>
          <w:lang w:val="fr-CA"/>
        </w:rPr>
        <w:t xml:space="preserve">, </w:t>
      </w:r>
      <w:r w:rsidR="0033084E" w:rsidRPr="004C29A3">
        <w:rPr>
          <w:lang w:val="fr-CA"/>
        </w:rPr>
        <w:t xml:space="preserve">la juge de paix a demandé au défendeur s’il souhaitait soulever le fait que le certificat ne mentionnait pas le nom d’une ville. La juge de paix </w:t>
      </w:r>
      <w:r w:rsidR="00884FA7" w:rsidRPr="004C29A3">
        <w:rPr>
          <w:lang w:val="fr-CA"/>
        </w:rPr>
        <w:t xml:space="preserve">Romagnoli </w:t>
      </w:r>
      <w:r w:rsidR="0033084E" w:rsidRPr="004C29A3">
        <w:rPr>
          <w:lang w:val="fr-CA"/>
        </w:rPr>
        <w:t xml:space="preserve">a accepté le plaidoyer de culpabilité </w:t>
      </w:r>
      <w:r w:rsidR="00812BFE" w:rsidRPr="004C29A3">
        <w:rPr>
          <w:lang w:val="fr-CA"/>
        </w:rPr>
        <w:t>après que</w:t>
      </w:r>
      <w:r w:rsidR="0033084E" w:rsidRPr="004C29A3">
        <w:rPr>
          <w:lang w:val="fr-CA"/>
        </w:rPr>
        <w:t xml:space="preserve"> le défendeur a </w:t>
      </w:r>
      <w:r>
        <w:rPr>
          <w:lang w:val="fr-CA"/>
        </w:rPr>
        <w:t>choisi de</w:t>
      </w:r>
      <w:r w:rsidR="0033084E" w:rsidRPr="004C29A3">
        <w:rPr>
          <w:lang w:val="fr-CA"/>
        </w:rPr>
        <w:t xml:space="preserve"> ne pas soulever ce point. </w:t>
      </w:r>
    </w:p>
    <w:p w14:paraId="395E68FE" w14:textId="20AD809E" w:rsidR="00F66757" w:rsidRPr="004C29A3" w:rsidRDefault="00854D27" w:rsidP="004C29A3">
      <w:pPr>
        <w:pStyle w:val="AParaNumbering"/>
        <w:rPr>
          <w:lang w:val="fr-CA"/>
        </w:rPr>
      </w:pPr>
      <w:r>
        <w:t>[33]</w:t>
      </w:r>
      <w:r>
        <w:tab/>
      </w:r>
      <w:r w:rsidR="00812BFE" w:rsidRPr="004C29A3">
        <w:rPr>
          <w:lang w:val="fr-CA"/>
        </w:rPr>
        <w:t xml:space="preserve">Lorsque la juge de paix a présidé l’affaire </w:t>
      </w:r>
      <w:r w:rsidR="00F66757" w:rsidRPr="004C29A3">
        <w:rPr>
          <w:i/>
          <w:lang w:val="fr-CA"/>
        </w:rPr>
        <w:t>R. v. Rugero Carlo</w:t>
      </w:r>
      <w:r w:rsidR="001C6B57" w:rsidRPr="004C29A3">
        <w:rPr>
          <w:rStyle w:val="FootnoteReference"/>
          <w:i/>
          <w:lang w:val="fr-CA"/>
        </w:rPr>
        <w:footnoteReference w:id="7"/>
      </w:r>
      <w:r w:rsidR="00F66757" w:rsidRPr="004C29A3">
        <w:rPr>
          <w:lang w:val="fr-CA"/>
        </w:rPr>
        <w:t xml:space="preserve">, </w:t>
      </w:r>
      <w:r w:rsidR="00812BFE" w:rsidRPr="004C29A3">
        <w:rPr>
          <w:lang w:val="fr-CA"/>
        </w:rPr>
        <w:t xml:space="preserve">le défendeur a indiqué qu’il souhaitait inscrire un plaidoyer de culpabilité. La juge de paix a fait observer au défendeur que le procès-verbal d’infraction ne comportait pas le nom d’une municipalité. Le poursuivant a porté à l’attention de la juge de paix la décision de la Cour supérieure de justice de l’Ontario dans </w:t>
      </w:r>
      <w:r w:rsidR="00812BFE" w:rsidRPr="0070293F">
        <w:rPr>
          <w:lang w:val="fr-CA"/>
        </w:rPr>
        <w:t xml:space="preserve">l’affaire </w:t>
      </w:r>
      <w:r w:rsidR="00F66757" w:rsidRPr="0070293F">
        <w:rPr>
          <w:i/>
          <w:lang w:val="fr-CA"/>
        </w:rPr>
        <w:t xml:space="preserve">Regional Municipality of York v. Giovanni Di Vito, </w:t>
      </w:r>
      <w:r w:rsidR="00F66757" w:rsidRPr="0070293F">
        <w:rPr>
          <w:lang w:val="fr-CA"/>
        </w:rPr>
        <w:t xml:space="preserve">[2014] O.J. No. 4566, </w:t>
      </w:r>
      <w:r w:rsidR="00812BFE" w:rsidRPr="0070293F">
        <w:rPr>
          <w:lang w:val="fr-CA"/>
        </w:rPr>
        <w:t xml:space="preserve">qui déclarait « le lieu de l’infraction </w:t>
      </w:r>
      <w:r w:rsidRPr="0070293F">
        <w:rPr>
          <w:lang w:val="fr-CA"/>
        </w:rPr>
        <w:t>à</w:t>
      </w:r>
      <w:r>
        <w:rPr>
          <w:lang w:val="fr-CA"/>
        </w:rPr>
        <w:t xml:space="preserve"> </w:t>
      </w:r>
      <w:r>
        <w:rPr>
          <w:lang w:val="fr-CA"/>
        </w:rPr>
        <w:lastRenderedPageBreak/>
        <w:t xml:space="preserve">savoir </w:t>
      </w:r>
      <w:r w:rsidR="00F66757" w:rsidRPr="004C29A3">
        <w:rPr>
          <w:lang w:val="fr-CA"/>
        </w:rPr>
        <w:t>“Region of York”</w:t>
      </w:r>
      <w:r>
        <w:rPr>
          <w:lang w:val="fr-CA"/>
        </w:rPr>
        <w:t>, indiqué</w:t>
      </w:r>
      <w:r w:rsidR="00F66757" w:rsidRPr="004C29A3">
        <w:rPr>
          <w:lang w:val="fr-CA"/>
        </w:rPr>
        <w:t xml:space="preserve"> </w:t>
      </w:r>
      <w:r w:rsidR="00812BFE" w:rsidRPr="004C29A3">
        <w:rPr>
          <w:lang w:val="fr-CA"/>
        </w:rPr>
        <w:t>sur le procès-verbal d’infraction n</w:t>
      </w:r>
      <w:r w:rsidR="00812BFE" w:rsidRPr="004C29A3">
        <w:rPr>
          <w:vertAlign w:val="superscript"/>
          <w:lang w:val="fr-CA"/>
        </w:rPr>
        <w:t>o</w:t>
      </w:r>
      <w:r w:rsidR="00812BFE" w:rsidRPr="004C29A3">
        <w:rPr>
          <w:lang w:val="fr-CA"/>
        </w:rPr>
        <w:t> </w:t>
      </w:r>
      <w:r w:rsidR="00F66757" w:rsidRPr="004C29A3">
        <w:rPr>
          <w:lang w:val="fr-CA"/>
        </w:rPr>
        <w:t>[n</w:t>
      </w:r>
      <w:r w:rsidR="00812BFE" w:rsidRPr="004C29A3">
        <w:rPr>
          <w:lang w:val="fr-CA"/>
        </w:rPr>
        <w:t>uméro omis</w:t>
      </w:r>
      <w:r w:rsidR="00F66757" w:rsidRPr="004C29A3">
        <w:rPr>
          <w:lang w:val="fr-CA"/>
        </w:rPr>
        <w:t xml:space="preserve">] </w:t>
      </w:r>
      <w:r w:rsidR="00812BFE" w:rsidRPr="004C29A3">
        <w:rPr>
          <w:lang w:val="fr-CA"/>
        </w:rPr>
        <w:t>est complet et régulier à première vue</w:t>
      </w:r>
      <w:r w:rsidR="007B2BCD" w:rsidRPr="004C29A3">
        <w:rPr>
          <w:lang w:val="fr-CA"/>
        </w:rPr>
        <w:t> »</w:t>
      </w:r>
      <w:r w:rsidR="008D477A" w:rsidRPr="004C29A3">
        <w:rPr>
          <w:lang w:val="fr-CA"/>
        </w:rPr>
        <w:t>.</w:t>
      </w:r>
      <w:r w:rsidR="007B2BCD" w:rsidRPr="004C29A3">
        <w:rPr>
          <w:lang w:val="fr-CA"/>
        </w:rPr>
        <w:t xml:space="preserve"> La juge de paix a </w:t>
      </w:r>
      <w:r>
        <w:rPr>
          <w:lang w:val="fr-CA"/>
        </w:rPr>
        <w:t>répondu</w:t>
      </w:r>
      <w:r w:rsidR="007B2BCD" w:rsidRPr="004C29A3">
        <w:rPr>
          <w:lang w:val="fr-CA"/>
        </w:rPr>
        <w:t xml:space="preserve"> : « J’ai brièvement passé en revue l’ordonnance et </w:t>
      </w:r>
      <w:r>
        <w:rPr>
          <w:lang w:val="fr-CA"/>
        </w:rPr>
        <w:t>elle</w:t>
      </w:r>
      <w:r w:rsidR="007B2BCD" w:rsidRPr="004C29A3">
        <w:rPr>
          <w:lang w:val="fr-CA"/>
        </w:rPr>
        <w:t xml:space="preserve"> ne lie pas notre tribunal. il s’agit d’une ordonnance destinée à un autre juge </w:t>
      </w:r>
      <w:r w:rsidR="0053323F" w:rsidRPr="004C29A3">
        <w:rPr>
          <w:lang w:val="fr-CA"/>
        </w:rPr>
        <w:t xml:space="preserve">– </w:t>
      </w:r>
      <w:r w:rsidR="007B2BCD" w:rsidRPr="004C29A3">
        <w:rPr>
          <w:lang w:val="fr-CA"/>
        </w:rPr>
        <w:t>ordonnant à un autre juge de faire quelque chose en particulier, ce qui ne s’applique pas à tout le tribunal</w:t>
      </w:r>
      <w:r>
        <w:rPr>
          <w:lang w:val="fr-CA"/>
        </w:rPr>
        <w:t>;</w:t>
      </w:r>
      <w:r w:rsidR="007B2BCD" w:rsidRPr="004C29A3">
        <w:rPr>
          <w:lang w:val="fr-CA"/>
        </w:rPr>
        <w:t xml:space="preserve"> cette ordonnance vise donc en fait un autre juge et ne s’applique pas à moi ». La juge de paix a posé d’autres questions au défendeur pour savoir s’il avait des préoccupations à l’égard du procès-verbal d’infraction. Le défendeur a répondu « non » et a inscrit un plaidoyer de culpabilité. La juge de paix a imposé une amende. </w:t>
      </w:r>
    </w:p>
    <w:p w14:paraId="509AFDD4" w14:textId="5AC1BE7A" w:rsidR="00F66757" w:rsidRPr="004C29A3" w:rsidRDefault="00854D27" w:rsidP="004C29A3">
      <w:pPr>
        <w:pStyle w:val="AParaNumbering"/>
        <w:rPr>
          <w:lang w:val="fr-CA"/>
        </w:rPr>
      </w:pPr>
      <w:r>
        <w:t>[34]</w:t>
      </w:r>
      <w:r>
        <w:tab/>
      </w:r>
      <w:r w:rsidR="007B2BCD" w:rsidRPr="004C29A3">
        <w:rPr>
          <w:lang w:val="fr-CA"/>
        </w:rPr>
        <w:t>Plus tard, ce même jour, d</w:t>
      </w:r>
      <w:r>
        <w:rPr>
          <w:lang w:val="fr-CA"/>
        </w:rPr>
        <w:t>ans</w:t>
      </w:r>
      <w:r w:rsidR="007B2BCD" w:rsidRPr="004C29A3">
        <w:rPr>
          <w:lang w:val="fr-CA"/>
        </w:rPr>
        <w:t xml:space="preserve"> le même tribunal, la juge de paix a annulé le procès-verbal d’infraction dans l’affaire </w:t>
      </w:r>
      <w:r w:rsidR="00F66757" w:rsidRPr="004C29A3">
        <w:rPr>
          <w:i/>
          <w:lang w:val="fr-CA"/>
        </w:rPr>
        <w:t>R. v. Perelman</w:t>
      </w:r>
      <w:r w:rsidR="00B01C34" w:rsidRPr="004C29A3">
        <w:rPr>
          <w:rStyle w:val="FootnoteReference"/>
          <w:lang w:val="fr-CA"/>
        </w:rPr>
        <w:footnoteReference w:id="8"/>
      </w:r>
      <w:r w:rsidR="00324591" w:rsidRPr="004C29A3">
        <w:rPr>
          <w:lang w:val="fr-CA"/>
        </w:rPr>
        <w:t xml:space="preserve"> </w:t>
      </w:r>
      <w:r w:rsidR="007B2BCD" w:rsidRPr="004C29A3">
        <w:rPr>
          <w:lang w:val="fr-CA"/>
        </w:rPr>
        <w:t>sans fournir de motifs</w:t>
      </w:r>
      <w:r w:rsidR="0053323F" w:rsidRPr="004C29A3">
        <w:rPr>
          <w:lang w:val="fr-CA"/>
        </w:rPr>
        <w:t>.</w:t>
      </w:r>
    </w:p>
    <w:p w14:paraId="357812B3" w14:textId="59C66EEC" w:rsidR="00D12C1C" w:rsidRPr="004C29A3" w:rsidRDefault="00854D27" w:rsidP="004C29A3">
      <w:pPr>
        <w:pStyle w:val="AParaNumbering"/>
        <w:rPr>
          <w:lang w:val="fr-CA"/>
        </w:rPr>
      </w:pPr>
      <w:r>
        <w:t>[35]</w:t>
      </w:r>
      <w:r>
        <w:tab/>
      </w:r>
      <w:r w:rsidR="00866B5B" w:rsidRPr="004C29A3">
        <w:rPr>
          <w:lang w:val="fr-CA"/>
        </w:rPr>
        <w:t xml:space="preserve">Selon la juge de paix, elle croyait, à cette époque, que la décision du juge de la Cour supérieure de justice, dans l’affaire </w:t>
      </w:r>
      <w:r w:rsidR="00721E1B" w:rsidRPr="004C29A3">
        <w:rPr>
          <w:i/>
          <w:lang w:val="fr-CA"/>
        </w:rPr>
        <w:t>Regional Municipality of York v. Giovanni Di Vito</w:t>
      </w:r>
      <w:r w:rsidR="00912C35" w:rsidRPr="004C29A3">
        <w:rPr>
          <w:rStyle w:val="FootnoteReference"/>
          <w:i/>
          <w:lang w:val="fr-CA"/>
        </w:rPr>
        <w:footnoteReference w:id="9"/>
      </w:r>
      <w:r w:rsidR="00721E1B" w:rsidRPr="004C29A3">
        <w:rPr>
          <w:i/>
          <w:lang w:val="fr-CA"/>
        </w:rPr>
        <w:t xml:space="preserve">, </w:t>
      </w:r>
      <w:r w:rsidR="00866B5B" w:rsidRPr="004C29A3">
        <w:rPr>
          <w:lang w:val="fr-CA"/>
        </w:rPr>
        <w:t xml:space="preserve">s’adressait à un autre juge de paix, et n’était pas obligatoire pour elle. Dans l’Exposé conjoint des faits, la juge de paix </w:t>
      </w:r>
      <w:r w:rsidR="00884FA7" w:rsidRPr="004C29A3">
        <w:rPr>
          <w:lang w:val="fr-CA"/>
        </w:rPr>
        <w:t xml:space="preserve">Romagnoli </w:t>
      </w:r>
      <w:r w:rsidR="00866B5B" w:rsidRPr="004C29A3">
        <w:rPr>
          <w:lang w:val="fr-CA"/>
        </w:rPr>
        <w:t>a reconnu qu’elle aurait dû savoir qu’il n’y avait aucune raison valable d’écarter cette décision de la Cour supérieure de justice</w:t>
      </w:r>
      <w:r w:rsidR="008D477A" w:rsidRPr="004C29A3">
        <w:rPr>
          <w:lang w:val="fr-CA"/>
        </w:rPr>
        <w:t>.</w:t>
      </w:r>
    </w:p>
    <w:p w14:paraId="5A721D8A" w14:textId="364E3AE5" w:rsidR="00D12C1C" w:rsidRPr="004C29A3" w:rsidRDefault="006F6376" w:rsidP="004C29A3">
      <w:pPr>
        <w:pStyle w:val="AParaNumbering"/>
        <w:rPr>
          <w:lang w:val="fr-CA"/>
        </w:rPr>
      </w:pPr>
      <w:r>
        <w:t>[36]</w:t>
      </w:r>
      <w:r>
        <w:tab/>
      </w:r>
      <w:r w:rsidR="00866B5B" w:rsidRPr="004C29A3">
        <w:rPr>
          <w:lang w:val="fr-CA"/>
        </w:rPr>
        <w:t xml:space="preserve">La décision de la juge de paix dans l’affaire </w:t>
      </w:r>
      <w:r w:rsidR="00884FA7" w:rsidRPr="004C29A3">
        <w:rPr>
          <w:i/>
          <w:lang w:val="fr-CA"/>
        </w:rPr>
        <w:t>R. v. Perelman</w:t>
      </w:r>
      <w:r w:rsidR="00884FA7" w:rsidRPr="004C29A3">
        <w:rPr>
          <w:lang w:val="fr-CA"/>
        </w:rPr>
        <w:t xml:space="preserve"> </w:t>
      </w:r>
      <w:r w:rsidR="00866B5B" w:rsidRPr="004C29A3">
        <w:rPr>
          <w:lang w:val="fr-CA"/>
        </w:rPr>
        <w:t>a fait l’objet d’un appel</w:t>
      </w:r>
      <w:r w:rsidR="00884FA7" w:rsidRPr="004C29A3">
        <w:rPr>
          <w:lang w:val="fr-CA"/>
        </w:rPr>
        <w:t xml:space="preserve">. </w:t>
      </w:r>
      <w:r w:rsidR="00866B5B" w:rsidRPr="004C29A3">
        <w:rPr>
          <w:lang w:val="fr-CA"/>
        </w:rPr>
        <w:t xml:space="preserve">Le juge </w:t>
      </w:r>
      <w:r w:rsidR="00884FA7" w:rsidRPr="004C29A3">
        <w:rPr>
          <w:lang w:val="fr-CA"/>
        </w:rPr>
        <w:t xml:space="preserve">Howden </w:t>
      </w:r>
      <w:r w:rsidR="00866B5B" w:rsidRPr="004C29A3">
        <w:rPr>
          <w:lang w:val="fr-CA"/>
        </w:rPr>
        <w:t xml:space="preserve">de la Cour supérieure de justice a conclu qu’un procès-verbal d’infraction portant les termes « municipalité régionale de </w:t>
      </w:r>
      <w:r w:rsidR="00884FA7" w:rsidRPr="004C29A3">
        <w:rPr>
          <w:lang w:val="fr-CA"/>
        </w:rPr>
        <w:t>York</w:t>
      </w:r>
      <w:r w:rsidR="00866B5B" w:rsidRPr="004C29A3">
        <w:rPr>
          <w:lang w:val="fr-CA"/>
        </w:rPr>
        <w:t> » était complet et régulier à première vue</w:t>
      </w:r>
      <w:r w:rsidR="008309B6" w:rsidRPr="004C29A3">
        <w:rPr>
          <w:rStyle w:val="FootnoteReference"/>
          <w:lang w:val="fr-CA"/>
        </w:rPr>
        <w:footnoteReference w:id="10"/>
      </w:r>
      <w:r w:rsidR="00884FA7" w:rsidRPr="004C29A3">
        <w:rPr>
          <w:lang w:val="fr-CA"/>
        </w:rPr>
        <w:t xml:space="preserve">. </w:t>
      </w:r>
      <w:r w:rsidR="00866B5B" w:rsidRPr="004C29A3">
        <w:rPr>
          <w:lang w:val="fr-CA"/>
        </w:rPr>
        <w:t>Le juge</w:t>
      </w:r>
      <w:r w:rsidR="00884FA7" w:rsidRPr="004C29A3">
        <w:rPr>
          <w:lang w:val="fr-CA"/>
        </w:rPr>
        <w:t xml:space="preserve"> Howden </w:t>
      </w:r>
      <w:r w:rsidR="00866B5B" w:rsidRPr="004C29A3">
        <w:rPr>
          <w:lang w:val="fr-CA"/>
        </w:rPr>
        <w:t>a fait une inscription dans le dossier pour indiquer que les juges de paix étaient liés par cette ordonnance</w:t>
      </w:r>
      <w:r w:rsidR="00884FA7" w:rsidRPr="004C29A3">
        <w:rPr>
          <w:lang w:val="fr-CA"/>
        </w:rPr>
        <w:t>.</w:t>
      </w:r>
    </w:p>
    <w:p w14:paraId="66E42008" w14:textId="4FEA2831" w:rsidR="00D12C1C" w:rsidRPr="004C29A3" w:rsidRDefault="00064E45" w:rsidP="004C29A3">
      <w:pPr>
        <w:pStyle w:val="AParaNumbering"/>
        <w:rPr>
          <w:lang w:val="fr-CA"/>
        </w:rPr>
      </w:pPr>
      <w:r>
        <w:t>[37]</w:t>
      </w:r>
      <w:r>
        <w:tab/>
      </w:r>
      <w:r w:rsidR="00884FA7" w:rsidRPr="004C29A3">
        <w:rPr>
          <w:lang w:val="fr-CA"/>
        </w:rPr>
        <w:t xml:space="preserve">M. Saamen </w:t>
      </w:r>
      <w:r w:rsidR="000B01B7" w:rsidRPr="004C29A3">
        <w:rPr>
          <w:lang w:val="fr-CA"/>
        </w:rPr>
        <w:t xml:space="preserve">a transmis l’inscription du juge </w:t>
      </w:r>
      <w:r w:rsidR="00884FA7" w:rsidRPr="004C29A3">
        <w:rPr>
          <w:lang w:val="fr-CA"/>
        </w:rPr>
        <w:t>Howden</w:t>
      </w:r>
      <w:r w:rsidR="000B01B7" w:rsidRPr="004C29A3">
        <w:rPr>
          <w:lang w:val="fr-CA"/>
        </w:rPr>
        <w:t xml:space="preserve"> à la juge de paix </w:t>
      </w:r>
      <w:r w:rsidR="00884FA7" w:rsidRPr="004C29A3">
        <w:rPr>
          <w:lang w:val="fr-CA"/>
        </w:rPr>
        <w:t>Linda Kay</w:t>
      </w:r>
      <w:r w:rsidR="000B01B7" w:rsidRPr="004C29A3">
        <w:rPr>
          <w:lang w:val="fr-CA"/>
        </w:rPr>
        <w:t xml:space="preserve">, par un courriel daté du 12 décembre </w:t>
      </w:r>
      <w:r w:rsidR="008D477A" w:rsidRPr="004C29A3">
        <w:rPr>
          <w:lang w:val="fr-CA"/>
        </w:rPr>
        <w:t>2014.</w:t>
      </w:r>
      <w:r w:rsidR="00884FA7" w:rsidRPr="004C29A3">
        <w:rPr>
          <w:lang w:val="fr-CA"/>
        </w:rPr>
        <w:t xml:space="preserve"> </w:t>
      </w:r>
      <w:r w:rsidR="000B01B7" w:rsidRPr="004C29A3">
        <w:rPr>
          <w:lang w:val="fr-CA"/>
        </w:rPr>
        <w:t>La juge de paix</w:t>
      </w:r>
      <w:r w:rsidR="00884FA7" w:rsidRPr="004C29A3">
        <w:rPr>
          <w:lang w:val="fr-CA"/>
        </w:rPr>
        <w:t xml:space="preserve"> Kay </w:t>
      </w:r>
      <w:r w:rsidR="000B01B7" w:rsidRPr="004C29A3">
        <w:rPr>
          <w:lang w:val="fr-CA"/>
        </w:rPr>
        <w:t>a avisé le comité des plaintes</w:t>
      </w:r>
      <w:r w:rsidR="00095234">
        <w:rPr>
          <w:lang w:val="fr-CA"/>
        </w:rPr>
        <w:t>,</w:t>
      </w:r>
      <w:r w:rsidR="000B01B7" w:rsidRPr="004C29A3">
        <w:rPr>
          <w:lang w:val="fr-CA"/>
        </w:rPr>
        <w:t xml:space="preserve"> au cours de </w:t>
      </w:r>
      <w:r w:rsidR="002B0AAF" w:rsidRPr="004C29A3">
        <w:rPr>
          <w:lang w:val="fr-CA"/>
        </w:rPr>
        <w:t xml:space="preserve">son </w:t>
      </w:r>
      <w:r w:rsidR="000B01B7" w:rsidRPr="004C29A3">
        <w:rPr>
          <w:lang w:val="fr-CA"/>
        </w:rPr>
        <w:t>enquête</w:t>
      </w:r>
      <w:r w:rsidR="00095234">
        <w:rPr>
          <w:lang w:val="fr-CA"/>
        </w:rPr>
        <w:t>,</w:t>
      </w:r>
      <w:r w:rsidR="002B0AAF" w:rsidRPr="004C29A3">
        <w:rPr>
          <w:lang w:val="fr-CA"/>
        </w:rPr>
        <w:t xml:space="preserve"> qu’elle avait </w:t>
      </w:r>
      <w:r w:rsidR="00095234">
        <w:rPr>
          <w:lang w:val="fr-CA"/>
        </w:rPr>
        <w:t>transmis</w:t>
      </w:r>
      <w:r w:rsidR="002B0AAF" w:rsidRPr="004C29A3">
        <w:rPr>
          <w:lang w:val="fr-CA"/>
        </w:rPr>
        <w:t xml:space="preserve"> l’inscription</w:t>
      </w:r>
      <w:r w:rsidR="00095234">
        <w:rPr>
          <w:lang w:val="fr-CA"/>
        </w:rPr>
        <w:t xml:space="preserve"> </w:t>
      </w:r>
      <w:r w:rsidR="002B0AAF" w:rsidRPr="004C29A3">
        <w:rPr>
          <w:lang w:val="fr-CA"/>
        </w:rPr>
        <w:t xml:space="preserve">à la juge de </w:t>
      </w:r>
      <w:r w:rsidR="002B0AAF" w:rsidRPr="004C29A3">
        <w:rPr>
          <w:lang w:val="fr-CA"/>
        </w:rPr>
        <w:lastRenderedPageBreak/>
        <w:t xml:space="preserve">paix </w:t>
      </w:r>
      <w:r w:rsidR="008D477A" w:rsidRPr="004C29A3">
        <w:rPr>
          <w:lang w:val="fr-CA"/>
        </w:rPr>
        <w:t>Romagnoli</w:t>
      </w:r>
      <w:r w:rsidR="002B0AAF" w:rsidRPr="004C29A3">
        <w:rPr>
          <w:lang w:val="fr-CA"/>
        </w:rPr>
        <w:t xml:space="preserve">, le 16 décembre </w:t>
      </w:r>
      <w:r w:rsidR="008D477A" w:rsidRPr="004C29A3">
        <w:rPr>
          <w:lang w:val="fr-CA"/>
        </w:rPr>
        <w:t>2014.</w:t>
      </w:r>
      <w:r w:rsidR="00884FA7" w:rsidRPr="004C29A3">
        <w:rPr>
          <w:lang w:val="fr-CA"/>
        </w:rPr>
        <w:t xml:space="preserve"> </w:t>
      </w:r>
      <w:r w:rsidR="002B0AAF" w:rsidRPr="004C29A3">
        <w:rPr>
          <w:lang w:val="fr-CA"/>
        </w:rPr>
        <w:t xml:space="preserve">Une analyse judiciaire a localisé le courriel dans un dossier de </w:t>
      </w:r>
      <w:r w:rsidR="00095234">
        <w:rPr>
          <w:lang w:val="fr-CA"/>
        </w:rPr>
        <w:t xml:space="preserve">courriels </w:t>
      </w:r>
      <w:r w:rsidR="002B0AAF" w:rsidRPr="004C29A3">
        <w:rPr>
          <w:lang w:val="fr-CA"/>
        </w:rPr>
        <w:t xml:space="preserve">de l’adresse électronique de la juge de paix </w:t>
      </w:r>
      <w:r w:rsidR="00884FA7" w:rsidRPr="004C29A3">
        <w:rPr>
          <w:lang w:val="fr-CA"/>
        </w:rPr>
        <w:t>Romagnoli.</w:t>
      </w:r>
    </w:p>
    <w:p w14:paraId="58ADB822" w14:textId="4CD387D5" w:rsidR="00D12C1C" w:rsidRPr="004C29A3" w:rsidRDefault="00095234" w:rsidP="004C29A3">
      <w:pPr>
        <w:pStyle w:val="AParaNumbering"/>
        <w:rPr>
          <w:lang w:val="fr-CA"/>
        </w:rPr>
      </w:pPr>
      <w:r>
        <w:t>[38]</w:t>
      </w:r>
      <w:r>
        <w:tab/>
      </w:r>
      <w:r w:rsidR="00D279D5" w:rsidRPr="004C29A3">
        <w:rPr>
          <w:lang w:val="fr-CA"/>
        </w:rPr>
        <w:t xml:space="preserve">L’analyse judiciaire a révélé ce qui suit </w:t>
      </w:r>
      <w:r w:rsidR="00884FA7" w:rsidRPr="004C29A3">
        <w:rPr>
          <w:lang w:val="fr-CA"/>
        </w:rPr>
        <w:t>:</w:t>
      </w:r>
    </w:p>
    <w:p w14:paraId="1B7DD967" w14:textId="23DE94A5" w:rsidR="00D12C1C" w:rsidRPr="004C29A3" w:rsidRDefault="00D279D5" w:rsidP="004C29A3">
      <w:pPr>
        <w:pStyle w:val="AParaNumbering"/>
        <w:numPr>
          <w:ilvl w:val="0"/>
          <w:numId w:val="9"/>
        </w:numPr>
        <w:rPr>
          <w:lang w:val="fr-CA"/>
        </w:rPr>
      </w:pPr>
      <w:r w:rsidRPr="004C29A3">
        <w:rPr>
          <w:lang w:val="fr-CA"/>
        </w:rPr>
        <w:t xml:space="preserve">Le message a été marqué « lu » par </w:t>
      </w:r>
      <w:r w:rsidR="00884FA7" w:rsidRPr="004C29A3">
        <w:rPr>
          <w:lang w:val="fr-CA"/>
        </w:rPr>
        <w:t>Outlook;</w:t>
      </w:r>
    </w:p>
    <w:p w14:paraId="460A1138" w14:textId="35D383D4" w:rsidR="00D12C1C" w:rsidRPr="004C29A3" w:rsidRDefault="00D279D5" w:rsidP="004C29A3">
      <w:pPr>
        <w:pStyle w:val="AParaNumbering"/>
        <w:numPr>
          <w:ilvl w:val="0"/>
          <w:numId w:val="9"/>
        </w:numPr>
        <w:rPr>
          <w:lang w:val="fr-CA"/>
        </w:rPr>
      </w:pPr>
      <w:r w:rsidRPr="004C29A3">
        <w:rPr>
          <w:lang w:val="fr-CA"/>
        </w:rPr>
        <w:t xml:space="preserve">Le message a été transféré de la boîte de réception de courriels de la juge de paix à sa boîte de courriels archivés sur le lecteur de réseau que la juge de paix a indiqué ne pas utiliser </w:t>
      </w:r>
      <w:r w:rsidR="00095234">
        <w:rPr>
          <w:lang w:val="fr-CA"/>
        </w:rPr>
        <w:t>habituellement</w:t>
      </w:r>
      <w:r w:rsidR="00884FA7" w:rsidRPr="004C29A3">
        <w:rPr>
          <w:lang w:val="fr-CA"/>
        </w:rPr>
        <w:t>;</w:t>
      </w:r>
    </w:p>
    <w:p w14:paraId="0B437228" w14:textId="65730FB4" w:rsidR="00D12C1C" w:rsidRPr="004C29A3" w:rsidRDefault="00D279D5" w:rsidP="004C29A3">
      <w:pPr>
        <w:pStyle w:val="AParaNumbering"/>
        <w:numPr>
          <w:ilvl w:val="0"/>
          <w:numId w:val="9"/>
        </w:numPr>
        <w:rPr>
          <w:lang w:val="fr-CA"/>
        </w:rPr>
      </w:pPr>
      <w:r w:rsidRPr="004C29A3">
        <w:rPr>
          <w:lang w:val="fr-CA"/>
        </w:rPr>
        <w:t xml:space="preserve">La « date de dernière modification » du courriel était le 16 décembre </w:t>
      </w:r>
      <w:r w:rsidR="00884FA7" w:rsidRPr="004C29A3">
        <w:rPr>
          <w:lang w:val="fr-CA"/>
        </w:rPr>
        <w:t>2014;</w:t>
      </w:r>
    </w:p>
    <w:p w14:paraId="357F0FB8" w14:textId="13FDA7D4" w:rsidR="00D12C1C" w:rsidRPr="004C29A3" w:rsidRDefault="000551AF" w:rsidP="004C29A3">
      <w:pPr>
        <w:pStyle w:val="AParaNumbering"/>
        <w:numPr>
          <w:ilvl w:val="0"/>
          <w:numId w:val="9"/>
        </w:numPr>
        <w:rPr>
          <w:lang w:val="fr-CA"/>
        </w:rPr>
      </w:pPr>
      <w:r w:rsidRPr="004C29A3">
        <w:rPr>
          <w:lang w:val="fr-CA"/>
        </w:rPr>
        <w:t>La date de dernière modification peut indiquer le moment où Outlook a marqué le courriel comme étant « lu » ou le moment où le courriel a été transféré à la boîte de courriels archivés de la juge de paix. Un message courriel peut être marqué « lu » par Outlook lorsqu’il a été ouvert ou lorsqu’il a été affiché dans le volet Lecture, que le destinataire ait lu ou non le message</w:t>
      </w:r>
      <w:r w:rsidR="00884FA7" w:rsidRPr="004C29A3">
        <w:rPr>
          <w:lang w:val="fr-CA"/>
        </w:rPr>
        <w:t>.</w:t>
      </w:r>
    </w:p>
    <w:p w14:paraId="668ADF9B" w14:textId="282FBB87" w:rsidR="00D12C1C" w:rsidRPr="004C29A3" w:rsidRDefault="00095234" w:rsidP="004C29A3">
      <w:pPr>
        <w:pStyle w:val="AParaNumbering"/>
        <w:rPr>
          <w:lang w:val="fr-CA"/>
        </w:rPr>
      </w:pPr>
      <w:r>
        <w:t>[39]</w:t>
      </w:r>
      <w:r>
        <w:tab/>
      </w:r>
      <w:r w:rsidR="000551AF" w:rsidRPr="004C29A3">
        <w:rPr>
          <w:lang w:val="fr-CA"/>
        </w:rPr>
        <w:t xml:space="preserve">L’analyse judiciaire n’a donc pas pu confirmer que la juge de paix avait ouvert le document envoyé par courriel. Dans l’Exposé conjoint des faits, la juge de paix a affirmé qu’elle n’avait pas parlé avec la juge de paix </w:t>
      </w:r>
      <w:r w:rsidR="00884FA7" w:rsidRPr="004C29A3">
        <w:rPr>
          <w:lang w:val="fr-CA"/>
        </w:rPr>
        <w:t xml:space="preserve">Kay </w:t>
      </w:r>
      <w:r w:rsidR="000551AF" w:rsidRPr="004C29A3">
        <w:rPr>
          <w:lang w:val="fr-CA"/>
        </w:rPr>
        <w:t>de la question</w:t>
      </w:r>
      <w:r w:rsidR="00884FA7" w:rsidRPr="004C29A3">
        <w:rPr>
          <w:lang w:val="fr-CA"/>
        </w:rPr>
        <w:t>.</w:t>
      </w:r>
    </w:p>
    <w:p w14:paraId="78B12E5F" w14:textId="7E3D4F65" w:rsidR="00D12C1C" w:rsidRPr="004C29A3" w:rsidRDefault="00095234" w:rsidP="004C29A3">
      <w:pPr>
        <w:pStyle w:val="AParaNumbering"/>
        <w:rPr>
          <w:lang w:val="fr-CA"/>
        </w:rPr>
      </w:pPr>
      <w:r>
        <w:t>[40]</w:t>
      </w:r>
      <w:r>
        <w:tab/>
      </w:r>
      <w:r w:rsidR="000551AF" w:rsidRPr="004C29A3">
        <w:rPr>
          <w:lang w:val="fr-CA"/>
        </w:rPr>
        <w:t xml:space="preserve">En outre, la juge de paix a indiqué qu’elle ne se souvenait pas d’avoir reçu le courriel de la juge de paix </w:t>
      </w:r>
      <w:r w:rsidR="00257C4B" w:rsidRPr="004C29A3">
        <w:rPr>
          <w:lang w:val="fr-CA"/>
        </w:rPr>
        <w:t>Kay</w:t>
      </w:r>
      <w:r w:rsidR="000551AF" w:rsidRPr="004C29A3">
        <w:rPr>
          <w:lang w:val="fr-CA"/>
        </w:rPr>
        <w:t xml:space="preserve"> </w:t>
      </w:r>
      <w:r>
        <w:rPr>
          <w:lang w:val="fr-CA"/>
        </w:rPr>
        <w:t>ni</w:t>
      </w:r>
      <w:r w:rsidR="000551AF" w:rsidRPr="004C29A3">
        <w:rPr>
          <w:lang w:val="fr-CA"/>
        </w:rPr>
        <w:t xml:space="preserve"> d’avoir lu l’inscription du juge </w:t>
      </w:r>
      <w:r w:rsidR="00257C4B" w:rsidRPr="004C29A3">
        <w:rPr>
          <w:lang w:val="fr-CA"/>
        </w:rPr>
        <w:t>Howden</w:t>
      </w:r>
      <w:r w:rsidR="000551AF" w:rsidRPr="004C29A3">
        <w:rPr>
          <w:lang w:val="fr-CA"/>
        </w:rPr>
        <w:t xml:space="preserve"> à cette époque</w:t>
      </w:r>
      <w:r w:rsidR="008D477A" w:rsidRPr="004C29A3">
        <w:rPr>
          <w:lang w:val="fr-CA"/>
        </w:rPr>
        <w:t>.</w:t>
      </w:r>
    </w:p>
    <w:p w14:paraId="404CF663" w14:textId="141AA422" w:rsidR="00D12C1C" w:rsidRPr="004C29A3" w:rsidRDefault="00095234" w:rsidP="004C29A3">
      <w:pPr>
        <w:pStyle w:val="AParaNumbering"/>
        <w:rPr>
          <w:lang w:val="fr-CA"/>
        </w:rPr>
      </w:pPr>
      <w:r>
        <w:t>[41]</w:t>
      </w:r>
      <w:r>
        <w:tab/>
      </w:r>
      <w:r w:rsidR="000551AF" w:rsidRPr="004C29A3">
        <w:rPr>
          <w:lang w:val="fr-CA"/>
        </w:rPr>
        <w:t xml:space="preserve">Après avoir examiné les preuves, l’avocat chargé de la présentation a fait observer que le comité d’audition ne devrait pas déduire que la juge de paix </w:t>
      </w:r>
      <w:r w:rsidR="00884FA7" w:rsidRPr="004C29A3">
        <w:rPr>
          <w:lang w:val="fr-CA"/>
        </w:rPr>
        <w:t xml:space="preserve">Romagnoli </w:t>
      </w:r>
      <w:r w:rsidR="000551AF" w:rsidRPr="004C29A3">
        <w:rPr>
          <w:lang w:val="fr-CA"/>
        </w:rPr>
        <w:t xml:space="preserve">a lu le courriel ou l’inscription du juge </w:t>
      </w:r>
      <w:r w:rsidR="00884FA7" w:rsidRPr="004C29A3">
        <w:rPr>
          <w:lang w:val="fr-CA"/>
        </w:rPr>
        <w:t>Howden</w:t>
      </w:r>
      <w:r w:rsidR="000551AF" w:rsidRPr="004C29A3">
        <w:rPr>
          <w:lang w:val="fr-CA"/>
        </w:rPr>
        <w:t xml:space="preserve"> au moment où le courriel a été envoyé</w:t>
      </w:r>
      <w:r w:rsidR="00884FA7" w:rsidRPr="004C29A3">
        <w:rPr>
          <w:lang w:val="fr-CA"/>
        </w:rPr>
        <w:t>.</w:t>
      </w:r>
    </w:p>
    <w:p w14:paraId="639501D0" w14:textId="18064A7B" w:rsidR="00D12C1C" w:rsidRPr="004C29A3" w:rsidRDefault="008D256A" w:rsidP="004C29A3">
      <w:pPr>
        <w:pStyle w:val="AParaNumbering"/>
        <w:rPr>
          <w:lang w:val="fr-CA"/>
        </w:rPr>
      </w:pPr>
      <w:r>
        <w:lastRenderedPageBreak/>
        <w:t>[42]</w:t>
      </w:r>
      <w:r>
        <w:tab/>
      </w:r>
      <w:r w:rsidR="000551AF" w:rsidRPr="004C29A3">
        <w:rPr>
          <w:lang w:val="fr-CA"/>
        </w:rPr>
        <w:t xml:space="preserve">Le 5 janvier </w:t>
      </w:r>
      <w:r w:rsidR="00257C4B" w:rsidRPr="004C29A3">
        <w:rPr>
          <w:lang w:val="fr-CA"/>
        </w:rPr>
        <w:t xml:space="preserve">2015, </w:t>
      </w:r>
      <w:r w:rsidR="000551AF" w:rsidRPr="004C29A3">
        <w:rPr>
          <w:lang w:val="fr-CA"/>
        </w:rPr>
        <w:t>la juge de paix</w:t>
      </w:r>
      <w:r w:rsidR="00884FA7" w:rsidRPr="004C29A3">
        <w:rPr>
          <w:lang w:val="fr-CA"/>
        </w:rPr>
        <w:t xml:space="preserve"> Romagnoli </w:t>
      </w:r>
      <w:r w:rsidR="000551AF" w:rsidRPr="004C29A3">
        <w:rPr>
          <w:lang w:val="fr-CA"/>
        </w:rPr>
        <w:t xml:space="preserve">a rendu sa décision dans l’affaire </w:t>
      </w:r>
      <w:r w:rsidR="00884FA7" w:rsidRPr="004C29A3">
        <w:rPr>
          <w:i/>
          <w:lang w:val="fr-CA"/>
        </w:rPr>
        <w:t>R. v. Ho Shin</w:t>
      </w:r>
      <w:r w:rsidR="001C6B57" w:rsidRPr="004C29A3">
        <w:rPr>
          <w:i/>
          <w:lang w:val="fr-CA"/>
        </w:rPr>
        <w:t>.</w:t>
      </w:r>
      <w:r w:rsidR="001C6B57" w:rsidRPr="004C29A3">
        <w:rPr>
          <w:rStyle w:val="FootnoteReference"/>
          <w:i/>
          <w:lang w:val="fr-CA"/>
        </w:rPr>
        <w:footnoteReference w:id="11"/>
      </w:r>
      <w:r w:rsidR="00884FA7" w:rsidRPr="004C29A3">
        <w:rPr>
          <w:lang w:val="fr-CA"/>
        </w:rPr>
        <w:t xml:space="preserve"> </w:t>
      </w:r>
      <w:r w:rsidR="000551AF" w:rsidRPr="004C29A3">
        <w:rPr>
          <w:lang w:val="fr-CA"/>
        </w:rPr>
        <w:t>Elle a radié le plaidoyer de culpabilité dans cette affaire</w:t>
      </w:r>
      <w:r w:rsidR="001866E1" w:rsidRPr="004C29A3">
        <w:rPr>
          <w:lang w:val="fr-CA"/>
        </w:rPr>
        <w:t>, car le défendeur n’était pas prêt à avouer qu’il roulait sur la route</w:t>
      </w:r>
      <w:r w:rsidR="00884FA7" w:rsidRPr="004C29A3">
        <w:rPr>
          <w:lang w:val="fr-CA"/>
        </w:rPr>
        <w:t xml:space="preserve"> (</w:t>
      </w:r>
      <w:r w:rsidR="001866E1" w:rsidRPr="004C29A3">
        <w:rPr>
          <w:lang w:val="fr-CA"/>
        </w:rPr>
        <w:t xml:space="preserve">la rue </w:t>
      </w:r>
      <w:r w:rsidR="00257C4B" w:rsidRPr="004C29A3">
        <w:rPr>
          <w:lang w:val="fr-CA"/>
        </w:rPr>
        <w:t>Yonge</w:t>
      </w:r>
      <w:r w:rsidR="00884FA7" w:rsidRPr="004C29A3">
        <w:rPr>
          <w:lang w:val="fr-CA"/>
        </w:rPr>
        <w:t>)</w:t>
      </w:r>
      <w:r w:rsidR="008D477A" w:rsidRPr="004C29A3">
        <w:rPr>
          <w:lang w:val="fr-CA"/>
        </w:rPr>
        <w:t xml:space="preserve"> </w:t>
      </w:r>
      <w:r w:rsidR="001866E1" w:rsidRPr="004C29A3">
        <w:rPr>
          <w:lang w:val="fr-CA"/>
        </w:rPr>
        <w:t xml:space="preserve">désignée sur le procès-verbal d’infraction. La décision </w:t>
      </w:r>
      <w:r w:rsidR="00884FA7" w:rsidRPr="004C29A3">
        <w:rPr>
          <w:i/>
          <w:lang w:val="fr-CA"/>
        </w:rPr>
        <w:t>Perelman</w:t>
      </w:r>
      <w:r w:rsidR="00884FA7" w:rsidRPr="004C29A3">
        <w:rPr>
          <w:lang w:val="fr-CA"/>
        </w:rPr>
        <w:t xml:space="preserve"> </w:t>
      </w:r>
      <w:r w:rsidR="001866E1" w:rsidRPr="004C29A3">
        <w:rPr>
          <w:lang w:val="fr-CA"/>
        </w:rPr>
        <w:t>n’a pas été invoquée devant la juge de paix</w:t>
      </w:r>
      <w:r w:rsidR="00884FA7" w:rsidRPr="004C29A3">
        <w:rPr>
          <w:lang w:val="fr-CA"/>
        </w:rPr>
        <w:t>.</w:t>
      </w:r>
    </w:p>
    <w:p w14:paraId="66737E33" w14:textId="07E813C6" w:rsidR="00D12C1C" w:rsidRPr="004C29A3" w:rsidRDefault="008D256A" w:rsidP="004C29A3">
      <w:pPr>
        <w:pStyle w:val="AParaNumbering"/>
        <w:rPr>
          <w:lang w:val="fr-CA"/>
        </w:rPr>
      </w:pPr>
      <w:r>
        <w:t>[43]</w:t>
      </w:r>
      <w:r>
        <w:tab/>
      </w:r>
      <w:r w:rsidR="001866E1" w:rsidRPr="004C29A3">
        <w:rPr>
          <w:lang w:val="fr-CA"/>
        </w:rPr>
        <w:t>La juge de paix</w:t>
      </w:r>
      <w:r w:rsidR="00D6328A">
        <w:rPr>
          <w:lang w:val="fr-CA"/>
        </w:rPr>
        <w:t xml:space="preserve"> Romagnoli</w:t>
      </w:r>
      <w:r w:rsidR="001866E1" w:rsidRPr="004C29A3">
        <w:rPr>
          <w:lang w:val="fr-CA"/>
        </w:rPr>
        <w:t xml:space="preserve"> s’est prononcée sur l’affaire </w:t>
      </w:r>
      <w:r w:rsidR="00884FA7" w:rsidRPr="004C29A3">
        <w:rPr>
          <w:i/>
          <w:lang w:val="fr-CA"/>
        </w:rPr>
        <w:t>R. v. Vandenberg</w:t>
      </w:r>
      <w:r w:rsidR="008309B6" w:rsidRPr="004C29A3">
        <w:rPr>
          <w:rStyle w:val="FootnoteReference"/>
          <w:i/>
          <w:lang w:val="fr-CA"/>
        </w:rPr>
        <w:footnoteReference w:id="12"/>
      </w:r>
      <w:r w:rsidR="001866E1" w:rsidRPr="004C29A3">
        <w:rPr>
          <w:i/>
          <w:lang w:val="fr-CA"/>
        </w:rPr>
        <w:t>,</w:t>
      </w:r>
      <w:r w:rsidR="008D477A" w:rsidRPr="004C29A3">
        <w:rPr>
          <w:lang w:val="fr-CA"/>
        </w:rPr>
        <w:t xml:space="preserve"> </w:t>
      </w:r>
      <w:r w:rsidR="001866E1" w:rsidRPr="004C29A3">
        <w:rPr>
          <w:lang w:val="fr-CA"/>
        </w:rPr>
        <w:t>le 23 mars</w:t>
      </w:r>
      <w:r w:rsidR="008D477A" w:rsidRPr="004C29A3">
        <w:rPr>
          <w:lang w:val="fr-CA"/>
        </w:rPr>
        <w:t xml:space="preserve"> 2015. </w:t>
      </w:r>
      <w:r w:rsidR="00AD45DE" w:rsidRPr="004C29A3">
        <w:rPr>
          <w:lang w:val="fr-CA"/>
        </w:rPr>
        <w:t xml:space="preserve">L’affaire de </w:t>
      </w:r>
      <w:r w:rsidR="00884FA7" w:rsidRPr="004C29A3">
        <w:rPr>
          <w:lang w:val="fr-CA"/>
        </w:rPr>
        <w:t>M. Vandenberg</w:t>
      </w:r>
      <w:r w:rsidR="00AD45DE" w:rsidRPr="004C29A3">
        <w:rPr>
          <w:lang w:val="fr-CA"/>
        </w:rPr>
        <w:t xml:space="preserve"> a été ajournée pour lui permettre d’obtenir des conseils juridiques indépendants sur la question du lieu désigné de l’infraction, tel qu’il figurait sur le procès-verbal d’infraction. La décision </w:t>
      </w:r>
      <w:r w:rsidR="00AD45DE" w:rsidRPr="004C29A3">
        <w:rPr>
          <w:i/>
          <w:lang w:val="fr-CA"/>
        </w:rPr>
        <w:t>Perelman</w:t>
      </w:r>
      <w:r w:rsidR="00AD45DE" w:rsidRPr="004C29A3">
        <w:rPr>
          <w:lang w:val="fr-CA"/>
        </w:rPr>
        <w:t xml:space="preserve"> n’a pas été invoquée devant la juge de paix.</w:t>
      </w:r>
    </w:p>
    <w:p w14:paraId="77BD4B1B" w14:textId="14FD8421" w:rsidR="00D12C1C" w:rsidRPr="004C29A3" w:rsidRDefault="00D6328A" w:rsidP="004C29A3">
      <w:pPr>
        <w:pStyle w:val="AParaNumbering"/>
        <w:rPr>
          <w:lang w:val="fr-CA"/>
        </w:rPr>
      </w:pPr>
      <w:r>
        <w:t>[44]</w:t>
      </w:r>
      <w:r>
        <w:tab/>
      </w:r>
      <w:r w:rsidR="005E2EA2" w:rsidRPr="004C29A3">
        <w:rPr>
          <w:lang w:val="fr-CA"/>
        </w:rPr>
        <w:t>Le 15 avril 2015, M</w:t>
      </w:r>
      <w:r w:rsidR="00884FA7" w:rsidRPr="004C29A3">
        <w:rPr>
          <w:lang w:val="fr-CA"/>
        </w:rPr>
        <w:t xml:space="preserve">. Saamen </w:t>
      </w:r>
      <w:r w:rsidR="005E2EA2" w:rsidRPr="004C29A3">
        <w:rPr>
          <w:lang w:val="fr-CA"/>
        </w:rPr>
        <w:t xml:space="preserve">a transmis à nouveau l’inscription </w:t>
      </w:r>
      <w:r w:rsidR="00884FA7" w:rsidRPr="004C29A3">
        <w:rPr>
          <w:i/>
          <w:lang w:val="fr-CA"/>
        </w:rPr>
        <w:t>Perelman</w:t>
      </w:r>
      <w:r w:rsidR="00884FA7" w:rsidRPr="004C29A3">
        <w:rPr>
          <w:lang w:val="fr-CA"/>
        </w:rPr>
        <w:t xml:space="preserve"> </w:t>
      </w:r>
      <w:r w:rsidR="005E2EA2" w:rsidRPr="004C29A3">
        <w:rPr>
          <w:lang w:val="fr-CA"/>
        </w:rPr>
        <w:t xml:space="preserve">à la juge de paix </w:t>
      </w:r>
      <w:r w:rsidR="00884FA7" w:rsidRPr="004C29A3">
        <w:rPr>
          <w:lang w:val="fr-CA"/>
        </w:rPr>
        <w:t xml:space="preserve">Kay, </w:t>
      </w:r>
      <w:r w:rsidR="005E2EA2" w:rsidRPr="004C29A3">
        <w:rPr>
          <w:lang w:val="fr-CA"/>
        </w:rPr>
        <w:t xml:space="preserve">lui demandant de faire parvenir le courriel à la juge de paix. Il n’y a aucune preuve que la juge de paix </w:t>
      </w:r>
      <w:r w:rsidR="00884FA7" w:rsidRPr="004C29A3">
        <w:rPr>
          <w:lang w:val="fr-CA"/>
        </w:rPr>
        <w:t xml:space="preserve">Romagnoli </w:t>
      </w:r>
      <w:r w:rsidR="005E2EA2" w:rsidRPr="004C29A3">
        <w:rPr>
          <w:lang w:val="fr-CA"/>
        </w:rPr>
        <w:t xml:space="preserve">a reçu une copie de l’inscription à ce moment-là. </w:t>
      </w:r>
    </w:p>
    <w:p w14:paraId="33F7502F" w14:textId="798FCCD8" w:rsidR="00D12C1C" w:rsidRPr="004C29A3" w:rsidRDefault="00D6328A" w:rsidP="004C29A3">
      <w:pPr>
        <w:pStyle w:val="AParaNumbering"/>
        <w:rPr>
          <w:lang w:val="fr-CA"/>
        </w:rPr>
      </w:pPr>
      <w:r>
        <w:t>[45]</w:t>
      </w:r>
      <w:r>
        <w:tab/>
      </w:r>
      <w:r w:rsidR="005E2EA2" w:rsidRPr="004C29A3">
        <w:rPr>
          <w:lang w:val="fr-CA"/>
        </w:rPr>
        <w:t xml:space="preserve">Le 11 juin </w:t>
      </w:r>
      <w:r w:rsidR="00884FA7" w:rsidRPr="004C29A3">
        <w:rPr>
          <w:lang w:val="fr-CA"/>
        </w:rPr>
        <w:t xml:space="preserve">2015, </w:t>
      </w:r>
      <w:r w:rsidR="005E2EA2" w:rsidRPr="004C29A3">
        <w:rPr>
          <w:lang w:val="fr-CA"/>
        </w:rPr>
        <w:t xml:space="preserve">la juge de paix a rendu </w:t>
      </w:r>
      <w:r w:rsidR="00C02C63">
        <w:rPr>
          <w:lang w:val="fr-CA"/>
        </w:rPr>
        <w:t>sa</w:t>
      </w:r>
      <w:r w:rsidR="005E2EA2" w:rsidRPr="004C29A3">
        <w:rPr>
          <w:lang w:val="fr-CA"/>
        </w:rPr>
        <w:t xml:space="preserve"> décision dans les affaires </w:t>
      </w:r>
      <w:r w:rsidR="00884FA7" w:rsidRPr="004C29A3">
        <w:rPr>
          <w:i/>
          <w:lang w:val="fr-CA"/>
        </w:rPr>
        <w:t>R. v. Folles</w:t>
      </w:r>
      <w:r w:rsidR="008309B6" w:rsidRPr="004C29A3">
        <w:rPr>
          <w:i/>
          <w:lang w:val="fr-CA"/>
        </w:rPr>
        <w:t xml:space="preserve">t </w:t>
      </w:r>
      <w:r w:rsidR="001C6B57" w:rsidRPr="004C29A3">
        <w:rPr>
          <w:rStyle w:val="FootnoteReference"/>
          <w:lang w:val="fr-CA"/>
        </w:rPr>
        <w:footnoteReference w:id="13"/>
      </w:r>
      <w:r w:rsidR="001C6B57" w:rsidRPr="004C29A3">
        <w:rPr>
          <w:lang w:val="fr-CA"/>
        </w:rPr>
        <w:t xml:space="preserve"> </w:t>
      </w:r>
      <w:r w:rsidR="005E2EA2" w:rsidRPr="004C29A3">
        <w:rPr>
          <w:lang w:val="fr-CA"/>
        </w:rPr>
        <w:t>et</w:t>
      </w:r>
      <w:r w:rsidR="00884FA7" w:rsidRPr="004C29A3">
        <w:rPr>
          <w:lang w:val="fr-CA"/>
        </w:rPr>
        <w:t xml:space="preserve"> </w:t>
      </w:r>
      <w:r w:rsidR="00884FA7" w:rsidRPr="004C29A3">
        <w:rPr>
          <w:i/>
          <w:lang w:val="fr-CA"/>
        </w:rPr>
        <w:t>R. v. Tricker</w:t>
      </w:r>
      <w:r w:rsidR="008309B6" w:rsidRPr="004C29A3">
        <w:rPr>
          <w:rStyle w:val="FootnoteReference"/>
          <w:i/>
          <w:lang w:val="fr-CA"/>
        </w:rPr>
        <w:footnoteReference w:id="14"/>
      </w:r>
      <w:r w:rsidR="005E2EA2" w:rsidRPr="004C29A3">
        <w:rPr>
          <w:i/>
          <w:lang w:val="fr-CA"/>
        </w:rPr>
        <w:t>.</w:t>
      </w:r>
      <w:r w:rsidR="008D477A" w:rsidRPr="004C29A3">
        <w:rPr>
          <w:lang w:val="fr-CA"/>
        </w:rPr>
        <w:t xml:space="preserve"> </w:t>
      </w:r>
      <w:r w:rsidR="005E2EA2" w:rsidRPr="004C29A3">
        <w:rPr>
          <w:lang w:val="fr-CA"/>
        </w:rPr>
        <w:t>Elle a demandé aux deux défendeurs s’ils étaient préoccupés par le fait que les documents contenant les accusations contre eux n’indiquaient pas le nom d’une ville. Elle a ajourné l’affaire de M</w:t>
      </w:r>
      <w:r w:rsidR="00884FA7" w:rsidRPr="004C29A3">
        <w:rPr>
          <w:lang w:val="fr-CA"/>
        </w:rPr>
        <w:t>. Follest</w:t>
      </w:r>
      <w:r w:rsidR="005E2EA2" w:rsidRPr="004C29A3">
        <w:rPr>
          <w:lang w:val="fr-CA"/>
        </w:rPr>
        <w:t xml:space="preserve"> pour lui donner le tem</w:t>
      </w:r>
      <w:r w:rsidR="00C02C63">
        <w:rPr>
          <w:lang w:val="fr-CA"/>
        </w:rPr>
        <w:t>p</w:t>
      </w:r>
      <w:r w:rsidR="005E2EA2" w:rsidRPr="004C29A3">
        <w:rPr>
          <w:lang w:val="fr-CA"/>
        </w:rPr>
        <w:t xml:space="preserve">s de consulter un avocat et a accepté le plaidoyer de culpabilité de Mme </w:t>
      </w:r>
      <w:r w:rsidR="00884FA7" w:rsidRPr="004C29A3">
        <w:rPr>
          <w:lang w:val="fr-CA"/>
        </w:rPr>
        <w:t>Tricker.</w:t>
      </w:r>
    </w:p>
    <w:p w14:paraId="31CBDAD7" w14:textId="715D5CB9" w:rsidR="00D12C1C" w:rsidRPr="004C29A3" w:rsidRDefault="00C02C63" w:rsidP="004C29A3">
      <w:pPr>
        <w:pStyle w:val="AParaNumbering"/>
        <w:rPr>
          <w:lang w:val="fr-CA"/>
        </w:rPr>
      </w:pPr>
      <w:r>
        <w:t>[46]</w:t>
      </w:r>
      <w:r>
        <w:tab/>
      </w:r>
      <w:r w:rsidR="005E2EA2" w:rsidRPr="004C29A3">
        <w:rPr>
          <w:lang w:val="fr-CA"/>
        </w:rPr>
        <w:t xml:space="preserve">Après la décision </w:t>
      </w:r>
      <w:r w:rsidR="00F428DB" w:rsidRPr="004C29A3">
        <w:rPr>
          <w:i/>
          <w:lang w:val="fr-CA"/>
        </w:rPr>
        <w:t>Perelman</w:t>
      </w:r>
      <w:r w:rsidR="00F428DB" w:rsidRPr="004C29A3">
        <w:rPr>
          <w:lang w:val="fr-CA"/>
        </w:rPr>
        <w:t xml:space="preserve">, </w:t>
      </w:r>
      <w:r w:rsidR="005E2EA2" w:rsidRPr="004C29A3">
        <w:rPr>
          <w:lang w:val="fr-CA"/>
        </w:rPr>
        <w:t>la juge de paix n’a annulé aucun procès-verbal d’infraction en se fondant sur son interprétation erronée de la loi, bien qu’elle ait continué à soulever la question de la désignation d’une ville auprès des défendeurs qui comparaissaient devant elle</w:t>
      </w:r>
      <w:r w:rsidR="008D477A" w:rsidRPr="004C29A3">
        <w:rPr>
          <w:lang w:val="fr-CA"/>
        </w:rPr>
        <w:t>.</w:t>
      </w:r>
    </w:p>
    <w:p w14:paraId="749733AF" w14:textId="66C78A65" w:rsidR="00D12C1C" w:rsidRPr="004C29A3" w:rsidRDefault="002A12CA" w:rsidP="004C29A3">
      <w:pPr>
        <w:pStyle w:val="AParaNumbering"/>
        <w:rPr>
          <w:lang w:val="fr-CA"/>
        </w:rPr>
      </w:pPr>
      <w:r>
        <w:lastRenderedPageBreak/>
        <w:t>[47]</w:t>
      </w:r>
      <w:r>
        <w:tab/>
      </w:r>
      <w:r w:rsidR="005E2EA2" w:rsidRPr="004C29A3">
        <w:rPr>
          <w:lang w:val="fr-CA"/>
        </w:rPr>
        <w:t xml:space="preserve">Dans l’Exposé conjoint des faits, la juge de paix </w:t>
      </w:r>
      <w:r w:rsidR="00884FA7" w:rsidRPr="004C29A3">
        <w:rPr>
          <w:lang w:val="fr-CA"/>
        </w:rPr>
        <w:t xml:space="preserve">Romagnoli </w:t>
      </w:r>
      <w:r w:rsidR="005E2EA2" w:rsidRPr="004C29A3">
        <w:rPr>
          <w:lang w:val="fr-CA"/>
        </w:rPr>
        <w:t xml:space="preserve">a reconnu que si elle avait été au courant de l’inscription du juge </w:t>
      </w:r>
      <w:r w:rsidR="00884FA7" w:rsidRPr="004C29A3">
        <w:rPr>
          <w:lang w:val="fr-CA"/>
        </w:rPr>
        <w:t>Howden</w:t>
      </w:r>
      <w:r w:rsidR="005E2EA2" w:rsidRPr="004C29A3">
        <w:rPr>
          <w:lang w:val="fr-CA"/>
        </w:rPr>
        <w:t xml:space="preserve">, elle aurait cessé de </w:t>
      </w:r>
      <w:r>
        <w:rPr>
          <w:lang w:val="fr-CA"/>
        </w:rPr>
        <w:t>soulever</w:t>
      </w:r>
      <w:r w:rsidR="005E2EA2" w:rsidRPr="004C29A3">
        <w:rPr>
          <w:lang w:val="fr-CA"/>
        </w:rPr>
        <w:t xml:space="preserve"> la question</w:t>
      </w:r>
      <w:r>
        <w:rPr>
          <w:lang w:val="fr-CA"/>
        </w:rPr>
        <w:t xml:space="preserve"> auprès des</w:t>
      </w:r>
      <w:r w:rsidR="005E2EA2" w:rsidRPr="004C29A3">
        <w:rPr>
          <w:lang w:val="fr-CA"/>
        </w:rPr>
        <w:t xml:space="preserve"> défendeurs qui comparaissaient devant elle</w:t>
      </w:r>
      <w:r w:rsidR="008D477A" w:rsidRPr="004C29A3">
        <w:rPr>
          <w:lang w:val="fr-CA"/>
        </w:rPr>
        <w:t>.</w:t>
      </w:r>
    </w:p>
    <w:p w14:paraId="67A6A8A6" w14:textId="746CDC08" w:rsidR="00D12C1C" w:rsidRPr="004C29A3" w:rsidRDefault="002A12CA" w:rsidP="004C29A3">
      <w:pPr>
        <w:pStyle w:val="AParaNumbering"/>
        <w:rPr>
          <w:lang w:val="fr-CA"/>
        </w:rPr>
      </w:pPr>
      <w:r>
        <w:t>[48]</w:t>
      </w:r>
      <w:r>
        <w:tab/>
      </w:r>
      <w:r w:rsidR="005E2EA2" w:rsidRPr="004C29A3">
        <w:rPr>
          <w:lang w:val="fr-CA"/>
        </w:rPr>
        <w:t xml:space="preserve">La juge de paix a affirmé qu’elle comprenait désormais qu’elle et les autres juges de paix étaient liés par l’inscription du juge </w:t>
      </w:r>
      <w:r w:rsidR="00884FA7" w:rsidRPr="004C29A3">
        <w:rPr>
          <w:lang w:val="fr-CA"/>
        </w:rPr>
        <w:t>Howden</w:t>
      </w:r>
      <w:r w:rsidR="005E2EA2" w:rsidRPr="004C29A3">
        <w:rPr>
          <w:lang w:val="fr-CA"/>
        </w:rPr>
        <w:t xml:space="preserve"> et qu’il n’est plus nécessaire de se demander si un procès-verbal d’infraction est complet et régulier à première </w:t>
      </w:r>
      <w:r w:rsidR="003263EB" w:rsidRPr="004C29A3">
        <w:rPr>
          <w:lang w:val="fr-CA"/>
        </w:rPr>
        <w:t xml:space="preserve">vue si le lieu de l’infraction indiqué est la municipalité régionale de </w:t>
      </w:r>
      <w:r w:rsidR="00884FA7" w:rsidRPr="004C29A3">
        <w:rPr>
          <w:lang w:val="fr-CA"/>
        </w:rPr>
        <w:t>York.</w:t>
      </w:r>
    </w:p>
    <w:p w14:paraId="7FA0CDAE" w14:textId="7B397AFC" w:rsidR="00D12C1C" w:rsidRPr="004C29A3" w:rsidRDefault="00F4443B" w:rsidP="004C29A3">
      <w:pPr>
        <w:pStyle w:val="AParaNumbering"/>
        <w:rPr>
          <w:lang w:val="fr-CA"/>
        </w:rPr>
      </w:pPr>
      <w:r>
        <w:t>[49]</w:t>
      </w:r>
      <w:r>
        <w:tab/>
      </w:r>
      <w:r w:rsidR="003263EB" w:rsidRPr="004C29A3">
        <w:rPr>
          <w:lang w:val="fr-CA"/>
        </w:rPr>
        <w:t>La juge de paix a discuté de sa conduite avec Me Sandler et avec M.</w:t>
      </w:r>
      <w:r>
        <w:rPr>
          <w:lang w:val="fr-CA"/>
        </w:rPr>
        <w:t> </w:t>
      </w:r>
      <w:r w:rsidR="003263EB" w:rsidRPr="004C29A3">
        <w:rPr>
          <w:lang w:val="fr-CA"/>
        </w:rPr>
        <w:t xml:space="preserve">Goudge, dans le cadre </w:t>
      </w:r>
      <w:r>
        <w:rPr>
          <w:lang w:val="fr-CA"/>
        </w:rPr>
        <w:t>de la formation</w:t>
      </w:r>
      <w:r w:rsidR="003263EB" w:rsidRPr="004C29A3">
        <w:rPr>
          <w:lang w:val="fr-CA"/>
        </w:rPr>
        <w:t xml:space="preserve"> qu’elle a suivi</w:t>
      </w:r>
      <w:r>
        <w:rPr>
          <w:lang w:val="fr-CA"/>
        </w:rPr>
        <w:t>e</w:t>
      </w:r>
      <w:r w:rsidR="003263EB" w:rsidRPr="004C29A3">
        <w:rPr>
          <w:lang w:val="fr-CA"/>
        </w:rPr>
        <w:t xml:space="preserve"> avant </w:t>
      </w:r>
      <w:r>
        <w:rPr>
          <w:lang w:val="fr-CA"/>
        </w:rPr>
        <w:t xml:space="preserve">notre </w:t>
      </w:r>
      <w:r w:rsidR="003263EB" w:rsidRPr="004C29A3">
        <w:rPr>
          <w:lang w:val="fr-CA"/>
        </w:rPr>
        <w:t>audience. M.</w:t>
      </w:r>
      <w:r>
        <w:rPr>
          <w:lang w:val="fr-CA"/>
        </w:rPr>
        <w:t> </w:t>
      </w:r>
      <w:r w:rsidR="003263EB" w:rsidRPr="004C29A3">
        <w:rPr>
          <w:lang w:val="fr-CA"/>
        </w:rPr>
        <w:t>Goudge a confirmé, dans une lettre adressée au comité d’audition, que la juge de paix comprenait désormais très bien que des décisions d’un tribunal supérieur, qu’elles soient rendues dans le cadre d’un appel ou d’une révision judiciaire, créaient des normes juridiques qu’elle est obligée de suivre, que l’appel ou la révision judiciaire concerne une de ses décisions ou non</w:t>
      </w:r>
      <w:r w:rsidR="00884FA7" w:rsidRPr="004C29A3">
        <w:rPr>
          <w:lang w:val="fr-CA"/>
        </w:rPr>
        <w:t>.</w:t>
      </w:r>
    </w:p>
    <w:p w14:paraId="56FF8332" w14:textId="53675A56" w:rsidR="00D12C1C" w:rsidRPr="004C29A3" w:rsidRDefault="00884FA7" w:rsidP="004C29A3">
      <w:pPr>
        <w:pStyle w:val="AParaNumbering"/>
        <w:rPr>
          <w:lang w:val="fr-CA"/>
        </w:rPr>
      </w:pPr>
      <w:r w:rsidRPr="004C29A3">
        <w:rPr>
          <w:lang w:val="fr-CA"/>
        </w:rPr>
        <w:t>c. Imposi</w:t>
      </w:r>
      <w:r w:rsidR="00B74DA7" w:rsidRPr="004C29A3">
        <w:rPr>
          <w:lang w:val="fr-CA"/>
        </w:rPr>
        <w:t xml:space="preserve">tion </w:t>
      </w:r>
      <w:r w:rsidR="00B74DA7" w:rsidRPr="00F4443B">
        <w:rPr>
          <w:lang w:val="fr-CA"/>
        </w:rPr>
        <w:t>d’une peine qui n’existe pas dans la loi</w:t>
      </w:r>
      <w:r w:rsidR="00B74DA7" w:rsidRPr="004C29A3">
        <w:rPr>
          <w:lang w:val="fr-CA"/>
        </w:rPr>
        <w:t xml:space="preserve"> (amende négative)</w:t>
      </w:r>
      <w:r w:rsidRPr="004C29A3">
        <w:rPr>
          <w:lang w:val="fr-CA"/>
        </w:rPr>
        <w:t xml:space="preserve"> </w:t>
      </w:r>
    </w:p>
    <w:p w14:paraId="23590017" w14:textId="3C482263" w:rsidR="00D12C1C" w:rsidRPr="004C29A3" w:rsidRDefault="00F4443B" w:rsidP="004C29A3">
      <w:pPr>
        <w:pStyle w:val="AParaNumbering"/>
        <w:rPr>
          <w:lang w:val="fr-CA"/>
        </w:rPr>
      </w:pPr>
      <w:r>
        <w:t>[50]</w:t>
      </w:r>
      <w:r>
        <w:tab/>
      </w:r>
      <w:r w:rsidR="006472D1" w:rsidRPr="004C29A3">
        <w:rPr>
          <w:lang w:val="fr-CA"/>
        </w:rPr>
        <w:t xml:space="preserve">Un grand nombre des infractions poursuivies en vertu de la </w:t>
      </w:r>
      <w:r w:rsidR="006472D1" w:rsidRPr="004C29A3">
        <w:rPr>
          <w:i/>
          <w:lang w:val="fr-CA"/>
        </w:rPr>
        <w:t>Loi sur les infractions provinciales</w:t>
      </w:r>
      <w:r w:rsidR="006472D1" w:rsidRPr="004C29A3">
        <w:rPr>
          <w:lang w:val="fr-CA"/>
        </w:rPr>
        <w:t xml:space="preserve"> sont punissables d’une amende. Les amendes minimales peuvent être réduites si les conditions prévues par le paragraphe </w:t>
      </w:r>
      <w:r w:rsidR="008D477A" w:rsidRPr="004C29A3">
        <w:rPr>
          <w:lang w:val="fr-CA"/>
        </w:rPr>
        <w:t>59</w:t>
      </w:r>
      <w:r w:rsidR="006472D1" w:rsidRPr="004C29A3">
        <w:rPr>
          <w:lang w:val="fr-CA"/>
        </w:rPr>
        <w:t> </w:t>
      </w:r>
      <w:r w:rsidR="008D477A" w:rsidRPr="004C29A3">
        <w:rPr>
          <w:lang w:val="fr-CA"/>
        </w:rPr>
        <w:t>(2)</w:t>
      </w:r>
      <w:r w:rsidR="006472D1" w:rsidRPr="004C29A3">
        <w:rPr>
          <w:lang w:val="fr-CA"/>
        </w:rPr>
        <w:t xml:space="preserve"> sont réunies</w:t>
      </w:r>
      <w:r w:rsidR="008D477A" w:rsidRPr="004C29A3">
        <w:rPr>
          <w:lang w:val="fr-CA"/>
        </w:rPr>
        <w:t xml:space="preserve">. </w:t>
      </w:r>
      <w:r w:rsidR="006472D1" w:rsidRPr="004C29A3">
        <w:rPr>
          <w:lang w:val="fr-CA"/>
        </w:rPr>
        <w:t xml:space="preserve">Une amende négative qui exige que l’état rembourse au défendeur un montant ne constitue pas une mesure prévue par la </w:t>
      </w:r>
      <w:r w:rsidR="006472D1" w:rsidRPr="004C29A3">
        <w:rPr>
          <w:i/>
          <w:lang w:val="fr-CA"/>
        </w:rPr>
        <w:t>Loi sur les infractions provinciales</w:t>
      </w:r>
      <w:r w:rsidR="006472D1" w:rsidRPr="004C29A3">
        <w:rPr>
          <w:lang w:val="fr-CA"/>
        </w:rPr>
        <w:t xml:space="preserve">. </w:t>
      </w:r>
    </w:p>
    <w:p w14:paraId="28652D8D" w14:textId="63E4889D" w:rsidR="00D12C1C" w:rsidRPr="004C29A3" w:rsidRDefault="00A1496F" w:rsidP="004C29A3">
      <w:pPr>
        <w:pStyle w:val="AParaNumbering"/>
        <w:rPr>
          <w:lang w:val="fr-CA"/>
        </w:rPr>
      </w:pPr>
      <w:r>
        <w:t>[51]</w:t>
      </w:r>
      <w:r>
        <w:tab/>
      </w:r>
      <w:r w:rsidR="006A11E0" w:rsidRPr="004C29A3">
        <w:rPr>
          <w:lang w:val="fr-CA"/>
        </w:rPr>
        <w:t xml:space="preserve">La juge de paix </w:t>
      </w:r>
      <w:r w:rsidR="00884FA7" w:rsidRPr="004C29A3">
        <w:rPr>
          <w:lang w:val="fr-CA"/>
        </w:rPr>
        <w:t xml:space="preserve">Romagnoli </w:t>
      </w:r>
      <w:r w:rsidR="006A11E0" w:rsidRPr="004C29A3">
        <w:rPr>
          <w:lang w:val="fr-CA"/>
        </w:rPr>
        <w:t xml:space="preserve">a imposé une amende négative pour compenser </w:t>
      </w:r>
      <w:r>
        <w:rPr>
          <w:lang w:val="fr-CA"/>
        </w:rPr>
        <w:t>d</w:t>
      </w:r>
      <w:r w:rsidR="006A11E0" w:rsidRPr="004C29A3">
        <w:rPr>
          <w:lang w:val="fr-CA"/>
        </w:rPr>
        <w:t xml:space="preserve">es dépens dans trois décisions rendues entre le 6 janvier </w:t>
      </w:r>
      <w:r w:rsidR="00884FA7" w:rsidRPr="004C29A3">
        <w:rPr>
          <w:lang w:val="fr-CA"/>
        </w:rPr>
        <w:t xml:space="preserve">2014 </w:t>
      </w:r>
      <w:r w:rsidR="006A11E0" w:rsidRPr="004C29A3">
        <w:rPr>
          <w:lang w:val="fr-CA"/>
        </w:rPr>
        <w:t xml:space="preserve">et le 9 juillet </w:t>
      </w:r>
      <w:r w:rsidR="00884FA7" w:rsidRPr="004C29A3">
        <w:rPr>
          <w:lang w:val="fr-CA"/>
        </w:rPr>
        <w:t>2014</w:t>
      </w:r>
      <w:r w:rsidR="006A11E0" w:rsidRPr="004C29A3">
        <w:rPr>
          <w:lang w:val="fr-CA"/>
        </w:rPr>
        <w:t xml:space="preserve"> </w:t>
      </w:r>
      <w:r w:rsidR="009D5A41" w:rsidRPr="004C29A3">
        <w:rPr>
          <w:lang w:val="fr-CA"/>
        </w:rPr>
        <w:t xml:space="preserve">: </w:t>
      </w:r>
      <w:r w:rsidR="00884FA7" w:rsidRPr="004C29A3">
        <w:rPr>
          <w:i/>
          <w:lang w:val="fr-CA"/>
        </w:rPr>
        <w:t>R.</w:t>
      </w:r>
      <w:r w:rsidR="006A11E0" w:rsidRPr="004C29A3">
        <w:rPr>
          <w:i/>
          <w:lang w:val="fr-CA"/>
        </w:rPr>
        <w:t> </w:t>
      </w:r>
      <w:r w:rsidR="00884FA7" w:rsidRPr="004C29A3">
        <w:rPr>
          <w:i/>
          <w:lang w:val="fr-CA"/>
        </w:rPr>
        <w:t>v. Lavadan</w:t>
      </w:r>
      <w:r w:rsidR="008309B6" w:rsidRPr="004C29A3">
        <w:rPr>
          <w:rStyle w:val="FootnoteReference"/>
          <w:i/>
          <w:lang w:val="fr-CA"/>
        </w:rPr>
        <w:footnoteReference w:id="15"/>
      </w:r>
      <w:r>
        <w:rPr>
          <w:i/>
          <w:lang w:val="fr-CA"/>
        </w:rPr>
        <w:t>,</w:t>
      </w:r>
      <w:r w:rsidR="00884FA7" w:rsidRPr="004C29A3">
        <w:rPr>
          <w:i/>
          <w:lang w:val="fr-CA"/>
        </w:rPr>
        <w:t xml:space="preserve"> R. v. McLean</w:t>
      </w:r>
      <w:r w:rsidR="00324591" w:rsidRPr="004C29A3">
        <w:rPr>
          <w:rStyle w:val="FootnoteReference"/>
          <w:i/>
          <w:lang w:val="fr-CA"/>
        </w:rPr>
        <w:footnoteReference w:id="16"/>
      </w:r>
      <w:r w:rsidR="00884FA7" w:rsidRPr="004C29A3">
        <w:rPr>
          <w:i/>
          <w:lang w:val="fr-CA"/>
        </w:rPr>
        <w:t xml:space="preserve"> </w:t>
      </w:r>
      <w:r w:rsidR="006A11E0" w:rsidRPr="004C29A3">
        <w:rPr>
          <w:lang w:val="fr-CA"/>
        </w:rPr>
        <w:t>et</w:t>
      </w:r>
      <w:r w:rsidR="00884FA7" w:rsidRPr="004C29A3">
        <w:rPr>
          <w:lang w:val="fr-CA"/>
        </w:rPr>
        <w:t xml:space="preserve"> </w:t>
      </w:r>
      <w:r w:rsidR="00884FA7" w:rsidRPr="004C29A3">
        <w:rPr>
          <w:i/>
          <w:lang w:val="fr-CA"/>
        </w:rPr>
        <w:t>R. v. Kotler</w:t>
      </w:r>
      <w:r w:rsidR="008309B6" w:rsidRPr="004C29A3">
        <w:rPr>
          <w:rStyle w:val="FootnoteReference"/>
          <w:i/>
          <w:lang w:val="fr-CA"/>
        </w:rPr>
        <w:footnoteReference w:id="17"/>
      </w:r>
      <w:r w:rsidR="006A11E0" w:rsidRPr="004C29A3">
        <w:rPr>
          <w:i/>
          <w:lang w:val="fr-CA"/>
        </w:rPr>
        <w:t>.</w:t>
      </w:r>
    </w:p>
    <w:p w14:paraId="4C9140BB" w14:textId="670D33D5" w:rsidR="00D12C1C" w:rsidRPr="004C29A3" w:rsidRDefault="00A1496F" w:rsidP="004C29A3">
      <w:pPr>
        <w:pStyle w:val="AParaNumbering"/>
        <w:rPr>
          <w:lang w:val="fr-CA"/>
        </w:rPr>
      </w:pPr>
      <w:r>
        <w:t>[52]</w:t>
      </w:r>
      <w:r>
        <w:tab/>
      </w:r>
      <w:r w:rsidR="006A11E0" w:rsidRPr="004C29A3">
        <w:rPr>
          <w:lang w:val="fr-CA"/>
        </w:rPr>
        <w:t xml:space="preserve">La juge de paix a expliqué qu’elle imposait des amendes négatives pour compenser les frais judiciaires obligatoires de </w:t>
      </w:r>
      <w:r w:rsidR="00884FA7" w:rsidRPr="004C29A3">
        <w:rPr>
          <w:lang w:val="fr-CA"/>
        </w:rPr>
        <w:t>5</w:t>
      </w:r>
      <w:r w:rsidR="006A11E0" w:rsidRPr="004C29A3">
        <w:rPr>
          <w:lang w:val="fr-CA"/>
        </w:rPr>
        <w:t xml:space="preserve"> $ qui sont exigés en cas de </w:t>
      </w:r>
      <w:r w:rsidR="006A11E0" w:rsidRPr="004C29A3">
        <w:rPr>
          <w:lang w:val="fr-CA"/>
        </w:rPr>
        <w:lastRenderedPageBreak/>
        <w:t xml:space="preserve">déclaration de culpabilité. Dans l’affaire </w:t>
      </w:r>
      <w:r w:rsidR="00884FA7" w:rsidRPr="004C29A3">
        <w:rPr>
          <w:i/>
          <w:lang w:val="fr-CA"/>
        </w:rPr>
        <w:t>R. v. McLean</w:t>
      </w:r>
      <w:r w:rsidR="006A11E0" w:rsidRPr="004C29A3">
        <w:rPr>
          <w:lang w:val="fr-CA"/>
        </w:rPr>
        <w:t xml:space="preserve">, par exemple, la juge de paix a imposé une amende négative de </w:t>
      </w:r>
      <w:r w:rsidR="00884FA7" w:rsidRPr="004C29A3">
        <w:rPr>
          <w:lang w:val="fr-CA"/>
        </w:rPr>
        <w:t>5</w:t>
      </w:r>
      <w:r w:rsidR="006A11E0" w:rsidRPr="004C29A3">
        <w:rPr>
          <w:lang w:val="fr-CA"/>
        </w:rPr>
        <w:t> $ afin de compenser les frais administratifs du tribunal pour Mme </w:t>
      </w:r>
      <w:r w:rsidR="00884FA7" w:rsidRPr="004C29A3">
        <w:rPr>
          <w:lang w:val="fr-CA"/>
        </w:rPr>
        <w:t xml:space="preserve">McLean, </w:t>
      </w:r>
      <w:r w:rsidR="006A11E0" w:rsidRPr="004C29A3">
        <w:rPr>
          <w:lang w:val="fr-CA"/>
        </w:rPr>
        <w:t xml:space="preserve">une étudiante qui n’avait pas </w:t>
      </w:r>
      <w:r w:rsidR="001C2B9C">
        <w:rPr>
          <w:lang w:val="fr-CA"/>
        </w:rPr>
        <w:t>fait valider son</w:t>
      </w:r>
      <w:r w:rsidR="006A11E0" w:rsidRPr="004C29A3">
        <w:rPr>
          <w:lang w:val="fr-CA"/>
        </w:rPr>
        <w:t xml:space="preserve"> billet de transport en commun</w:t>
      </w:r>
      <w:r w:rsidR="008D477A" w:rsidRPr="004C29A3">
        <w:rPr>
          <w:lang w:val="fr-CA"/>
        </w:rPr>
        <w:t>.</w:t>
      </w:r>
    </w:p>
    <w:p w14:paraId="7B6D1CD9" w14:textId="7CAB45F7" w:rsidR="00D12C1C" w:rsidRPr="004C29A3" w:rsidRDefault="001C2B9C" w:rsidP="004C29A3">
      <w:pPr>
        <w:pStyle w:val="AParaNumbering"/>
        <w:rPr>
          <w:lang w:val="fr-CA"/>
        </w:rPr>
      </w:pPr>
      <w:r>
        <w:t>[53]</w:t>
      </w:r>
      <w:r>
        <w:tab/>
      </w:r>
      <w:r w:rsidR="006A11E0" w:rsidRPr="004C29A3">
        <w:rPr>
          <w:lang w:val="fr-CA"/>
        </w:rPr>
        <w:t xml:space="preserve">Bien que la juge de paix </w:t>
      </w:r>
      <w:r w:rsidR="00884FA7" w:rsidRPr="004C29A3">
        <w:rPr>
          <w:lang w:val="fr-CA"/>
        </w:rPr>
        <w:t xml:space="preserve">Romagnoli </w:t>
      </w:r>
      <w:r w:rsidR="006A11E0" w:rsidRPr="004C29A3">
        <w:rPr>
          <w:lang w:val="fr-CA"/>
        </w:rPr>
        <w:t xml:space="preserve">ait déclaré </w:t>
      </w:r>
      <w:r>
        <w:rPr>
          <w:lang w:val="fr-CA"/>
        </w:rPr>
        <w:t>être</w:t>
      </w:r>
      <w:r w:rsidR="006A11E0" w:rsidRPr="004C29A3">
        <w:rPr>
          <w:lang w:val="fr-CA"/>
        </w:rPr>
        <w:t xml:space="preserve"> favorable à des peines créatives qui répondent aux besoins de chaque défendeur, le comité d’audition a </w:t>
      </w:r>
      <w:r>
        <w:rPr>
          <w:lang w:val="fr-CA"/>
        </w:rPr>
        <w:t xml:space="preserve">été avisé </w:t>
      </w:r>
      <w:r w:rsidR="006A11E0" w:rsidRPr="004C29A3">
        <w:rPr>
          <w:lang w:val="fr-CA"/>
        </w:rPr>
        <w:t>que la juge de paix compren</w:t>
      </w:r>
      <w:r>
        <w:rPr>
          <w:lang w:val="fr-CA"/>
        </w:rPr>
        <w:t>ait</w:t>
      </w:r>
      <w:r w:rsidR="006A11E0" w:rsidRPr="004C29A3">
        <w:rPr>
          <w:lang w:val="fr-CA"/>
        </w:rPr>
        <w:t xml:space="preserve"> maintenant que son approche à cet égard constituait une</w:t>
      </w:r>
      <w:r>
        <w:rPr>
          <w:lang w:val="fr-CA"/>
        </w:rPr>
        <w:t xml:space="preserve"> erreur juridique et qu’elle n’imposerait plus </w:t>
      </w:r>
      <w:r w:rsidR="006A11E0" w:rsidRPr="004C29A3">
        <w:rPr>
          <w:lang w:val="fr-CA"/>
        </w:rPr>
        <w:t>des amendes négatives</w:t>
      </w:r>
      <w:r w:rsidR="00884FA7" w:rsidRPr="004C29A3">
        <w:rPr>
          <w:lang w:val="fr-CA"/>
        </w:rPr>
        <w:t>.</w:t>
      </w:r>
    </w:p>
    <w:p w14:paraId="155A6D1F" w14:textId="15058D9F" w:rsidR="009D5A41" w:rsidRPr="004C29A3" w:rsidRDefault="001C2B9C" w:rsidP="004C29A3">
      <w:pPr>
        <w:pStyle w:val="AParaNumbering"/>
        <w:rPr>
          <w:lang w:val="fr-CA"/>
        </w:rPr>
      </w:pPr>
      <w:r>
        <w:t>[54]</w:t>
      </w:r>
      <w:r>
        <w:tab/>
      </w:r>
      <w:r w:rsidR="006A11E0" w:rsidRPr="004C29A3">
        <w:rPr>
          <w:lang w:val="fr-CA"/>
        </w:rPr>
        <w:t xml:space="preserve">Le comité d’audition accepte la recommandation conjointe de l’avocat chargé de la présentation et de l’avocat de la juge de paix </w:t>
      </w:r>
      <w:r w:rsidR="00884FA7" w:rsidRPr="004C29A3">
        <w:rPr>
          <w:lang w:val="fr-CA"/>
        </w:rPr>
        <w:t xml:space="preserve">Romagnoli </w:t>
      </w:r>
      <w:r w:rsidR="006A11E0" w:rsidRPr="004C29A3">
        <w:rPr>
          <w:lang w:val="fr-CA"/>
        </w:rPr>
        <w:t xml:space="preserve">portant que la conduite décrite dans les trois catégories décrites ci-dessus, </w:t>
      </w:r>
      <w:r w:rsidR="00C902B6">
        <w:rPr>
          <w:lang w:val="fr-CA"/>
        </w:rPr>
        <w:t>collectivement</w:t>
      </w:r>
      <w:r w:rsidR="006A11E0" w:rsidRPr="004C29A3">
        <w:rPr>
          <w:lang w:val="fr-CA"/>
        </w:rPr>
        <w:t>, constitue une inconduite</w:t>
      </w:r>
      <w:r w:rsidR="00884FA7" w:rsidRPr="004C29A3">
        <w:rPr>
          <w:lang w:val="fr-CA"/>
        </w:rPr>
        <w:t>.</w:t>
      </w:r>
    </w:p>
    <w:p w14:paraId="14F78BAD" w14:textId="62160F0D" w:rsidR="00D12C1C" w:rsidRPr="004C29A3" w:rsidRDefault="00C902B6" w:rsidP="004C29A3">
      <w:pPr>
        <w:pStyle w:val="AParaNumbering"/>
        <w:rPr>
          <w:i/>
          <w:lang w:val="fr-CA"/>
        </w:rPr>
      </w:pPr>
      <w:r>
        <w:t>[55]</w:t>
      </w:r>
      <w:r>
        <w:tab/>
      </w:r>
      <w:r w:rsidR="00E178A7" w:rsidRPr="004C29A3">
        <w:rPr>
          <w:lang w:val="fr-CA"/>
        </w:rPr>
        <w:t>Comme indiqué plus haut, l’avocat chargé de la présentation n’a pas donné suite aux 2</w:t>
      </w:r>
      <w:r w:rsidR="00E178A7" w:rsidRPr="004C29A3">
        <w:rPr>
          <w:vertAlign w:val="superscript"/>
          <w:lang w:val="fr-CA"/>
        </w:rPr>
        <w:t>e</w:t>
      </w:r>
      <w:r w:rsidR="00E178A7" w:rsidRPr="004C29A3">
        <w:rPr>
          <w:lang w:val="fr-CA"/>
        </w:rPr>
        <w:t xml:space="preserve"> et 3</w:t>
      </w:r>
      <w:r w:rsidR="00E178A7" w:rsidRPr="004C29A3">
        <w:rPr>
          <w:vertAlign w:val="superscript"/>
          <w:lang w:val="fr-CA"/>
        </w:rPr>
        <w:t>e</w:t>
      </w:r>
      <w:r w:rsidR="00E178A7" w:rsidRPr="004C29A3">
        <w:rPr>
          <w:lang w:val="fr-CA"/>
        </w:rPr>
        <w:t xml:space="preserve"> allégations énoncées dans l’Avis d’audience</w:t>
      </w:r>
      <w:r w:rsidR="008D477A" w:rsidRPr="004C29A3">
        <w:rPr>
          <w:lang w:val="fr-CA"/>
        </w:rPr>
        <w:t>.</w:t>
      </w:r>
    </w:p>
    <w:p w14:paraId="23B983D9" w14:textId="0CB2EB7C" w:rsidR="00D12C1C" w:rsidRPr="00C902B6" w:rsidRDefault="00E178A7" w:rsidP="004C29A3">
      <w:pPr>
        <w:pStyle w:val="AParaNumbering"/>
        <w:rPr>
          <w:b/>
          <w:lang w:val="fr-CA"/>
        </w:rPr>
      </w:pPr>
      <w:r w:rsidRPr="003174B2">
        <w:rPr>
          <w:b/>
          <w:i/>
          <w:lang w:val="fr-CA"/>
        </w:rPr>
        <w:t>2</w:t>
      </w:r>
      <w:r w:rsidRPr="003174B2">
        <w:rPr>
          <w:b/>
          <w:i/>
          <w:vertAlign w:val="superscript"/>
          <w:lang w:val="fr-CA"/>
        </w:rPr>
        <w:t>e</w:t>
      </w:r>
      <w:r w:rsidRPr="003174B2">
        <w:rPr>
          <w:b/>
          <w:i/>
          <w:lang w:val="fr-CA"/>
        </w:rPr>
        <w:t xml:space="preserve"> allégation </w:t>
      </w:r>
      <w:r w:rsidR="00884FA7" w:rsidRPr="003174B2">
        <w:rPr>
          <w:b/>
          <w:i/>
          <w:lang w:val="fr-CA"/>
        </w:rPr>
        <w:t xml:space="preserve">: </w:t>
      </w:r>
      <w:r w:rsidR="003174B2" w:rsidRPr="003174B2">
        <w:rPr>
          <w:b/>
          <w:i/>
          <w:lang w:val="fr-CA"/>
        </w:rPr>
        <w:t>Ajournement d’affaires avant de rejeter des observations conjointes et omission de rendre des décisions et de régler des affaires rapidement</w:t>
      </w:r>
      <w:r w:rsidRPr="00C902B6">
        <w:rPr>
          <w:b/>
          <w:lang w:val="fr-CA"/>
        </w:rPr>
        <w:t>.</w:t>
      </w:r>
    </w:p>
    <w:p w14:paraId="1F03E63D" w14:textId="7DC999AC" w:rsidR="00D12C1C" w:rsidRPr="004C29A3" w:rsidRDefault="00234DBB" w:rsidP="004C29A3">
      <w:pPr>
        <w:pStyle w:val="AParaNumbering"/>
        <w:rPr>
          <w:lang w:val="fr-CA"/>
        </w:rPr>
      </w:pPr>
      <w:r>
        <w:t>[56]</w:t>
      </w:r>
      <w:r>
        <w:tab/>
      </w:r>
      <w:r w:rsidR="0079555E" w:rsidRPr="004C29A3">
        <w:rPr>
          <w:lang w:val="fr-CA"/>
        </w:rPr>
        <w:t>Les juges de paix ont la responsabilité de diriger les affaires du tribunal avec une diligence raisonnable et de trancher avec promptitude et efficience les affaires qui leur sont soumises en tenant toujours compte des intérêts de la justice et des droits des parties devant le tribunal</w:t>
      </w:r>
      <w:r w:rsidR="00884FA7" w:rsidRPr="004C29A3">
        <w:rPr>
          <w:lang w:val="fr-CA"/>
        </w:rPr>
        <w:t xml:space="preserve">. </w:t>
      </w:r>
      <w:r w:rsidR="0079555E" w:rsidRPr="004C29A3">
        <w:rPr>
          <w:lang w:val="fr-CA"/>
        </w:rPr>
        <w:t xml:space="preserve">L’article </w:t>
      </w:r>
      <w:r w:rsidR="00884FA7" w:rsidRPr="004C29A3">
        <w:rPr>
          <w:lang w:val="fr-CA"/>
        </w:rPr>
        <w:t xml:space="preserve">2.3 </w:t>
      </w:r>
      <w:r w:rsidR="0079555E" w:rsidRPr="004C29A3">
        <w:rPr>
          <w:lang w:val="fr-CA"/>
        </w:rPr>
        <w:t xml:space="preserve">des </w:t>
      </w:r>
      <w:r w:rsidR="0079555E" w:rsidRPr="004C29A3">
        <w:rPr>
          <w:i/>
          <w:lang w:val="fr-CA"/>
        </w:rPr>
        <w:t xml:space="preserve">Principes </w:t>
      </w:r>
      <w:r w:rsidR="0079555E" w:rsidRPr="004C29A3">
        <w:rPr>
          <w:lang w:val="fr-CA"/>
        </w:rPr>
        <w:t>exige que les juges de paix communiquent leurs motifs de jugement dans un délai raisonnable. Le paragraphe </w:t>
      </w:r>
      <w:r w:rsidR="00884FA7" w:rsidRPr="004C29A3">
        <w:rPr>
          <w:lang w:val="fr-CA"/>
        </w:rPr>
        <w:t>13.1</w:t>
      </w:r>
      <w:r w:rsidR="0079555E" w:rsidRPr="004C29A3">
        <w:rPr>
          <w:lang w:val="fr-CA"/>
        </w:rPr>
        <w:t> </w:t>
      </w:r>
      <w:r w:rsidR="00884FA7" w:rsidRPr="004C29A3">
        <w:rPr>
          <w:lang w:val="fr-CA"/>
        </w:rPr>
        <w:t xml:space="preserve">(3) </w:t>
      </w:r>
      <w:r w:rsidR="0079555E" w:rsidRPr="004C29A3">
        <w:rPr>
          <w:lang w:val="fr-CA"/>
        </w:rPr>
        <w:t xml:space="preserve">de la Loi exige en outre qu’un juge de paix rende sa décision </w:t>
      </w:r>
      <w:r w:rsidR="0030228D" w:rsidRPr="004C29A3">
        <w:rPr>
          <w:lang w:val="fr-CA"/>
        </w:rPr>
        <w:t>dans un délai de six mois, s’il s’agit d’un jugement, ou de trois mois, dans les autres cas, sauf si le juge en chef de la Cour de justice de l’Ontario proroge le délai pour rendre la décision</w:t>
      </w:r>
      <w:r w:rsidR="00884FA7" w:rsidRPr="004C29A3">
        <w:rPr>
          <w:lang w:val="fr-CA"/>
        </w:rPr>
        <w:t>.</w:t>
      </w:r>
    </w:p>
    <w:p w14:paraId="73A473CB" w14:textId="440598BF" w:rsidR="00D12C1C" w:rsidRPr="004C29A3" w:rsidRDefault="00944A3B" w:rsidP="004C29A3">
      <w:pPr>
        <w:pStyle w:val="AParaNumbering"/>
        <w:rPr>
          <w:lang w:val="fr-CA"/>
        </w:rPr>
      </w:pPr>
      <w:r>
        <w:lastRenderedPageBreak/>
        <w:t>[57]</w:t>
      </w:r>
      <w:r>
        <w:tab/>
      </w:r>
      <w:r w:rsidR="0030228D" w:rsidRPr="004C29A3">
        <w:rPr>
          <w:lang w:val="fr-CA"/>
        </w:rPr>
        <w:t xml:space="preserve">À deux occasions, la juge de paix n’a pas rendu sa décision avec promptitude. Les affaires </w:t>
      </w:r>
      <w:r w:rsidR="00884FA7" w:rsidRPr="004C29A3">
        <w:rPr>
          <w:i/>
          <w:lang w:val="fr-CA"/>
        </w:rPr>
        <w:t>R. v. Newhook</w:t>
      </w:r>
      <w:r w:rsidR="00C0421A" w:rsidRPr="004C29A3">
        <w:rPr>
          <w:rStyle w:val="FootnoteReference"/>
          <w:i/>
          <w:lang w:val="fr-CA"/>
        </w:rPr>
        <w:footnoteReference w:id="18"/>
      </w:r>
      <w:r w:rsidR="00884FA7" w:rsidRPr="004C29A3">
        <w:rPr>
          <w:lang w:val="fr-CA"/>
        </w:rPr>
        <w:t xml:space="preserve"> </w:t>
      </w:r>
      <w:r w:rsidR="0030228D" w:rsidRPr="004C29A3">
        <w:rPr>
          <w:lang w:val="fr-CA"/>
        </w:rPr>
        <w:t>et</w:t>
      </w:r>
      <w:r w:rsidR="00884FA7" w:rsidRPr="004C29A3">
        <w:rPr>
          <w:lang w:val="fr-CA"/>
        </w:rPr>
        <w:t xml:space="preserve"> </w:t>
      </w:r>
      <w:r w:rsidR="00884FA7" w:rsidRPr="004C29A3">
        <w:rPr>
          <w:i/>
          <w:lang w:val="fr-CA"/>
        </w:rPr>
        <w:t>R. v. Sun et al.</w:t>
      </w:r>
      <w:r w:rsidR="00C0421A" w:rsidRPr="004C29A3">
        <w:rPr>
          <w:rStyle w:val="FootnoteReference"/>
          <w:i/>
          <w:lang w:val="fr-CA"/>
        </w:rPr>
        <w:footnoteReference w:id="19"/>
      </w:r>
      <w:r w:rsidR="00884FA7" w:rsidRPr="004C29A3">
        <w:rPr>
          <w:i/>
          <w:lang w:val="fr-CA"/>
        </w:rPr>
        <w:t xml:space="preserve"> </w:t>
      </w:r>
      <w:r w:rsidR="0030228D" w:rsidRPr="004C29A3">
        <w:rPr>
          <w:lang w:val="fr-CA"/>
        </w:rPr>
        <w:t xml:space="preserve">ont été toutes deux ajournées pendant </w:t>
      </w:r>
      <w:r>
        <w:rPr>
          <w:lang w:val="fr-CA"/>
        </w:rPr>
        <w:t xml:space="preserve">plus de </w:t>
      </w:r>
      <w:r w:rsidR="0030228D" w:rsidRPr="004C29A3">
        <w:rPr>
          <w:lang w:val="fr-CA"/>
        </w:rPr>
        <w:t xml:space="preserve">neuf mois. Dans l’affaire </w:t>
      </w:r>
      <w:r w:rsidR="00884FA7" w:rsidRPr="004C29A3">
        <w:rPr>
          <w:i/>
          <w:lang w:val="fr-CA"/>
        </w:rPr>
        <w:t>Newhook</w:t>
      </w:r>
      <w:r w:rsidR="00884FA7" w:rsidRPr="004C29A3">
        <w:rPr>
          <w:lang w:val="fr-CA"/>
        </w:rPr>
        <w:t xml:space="preserve">, </w:t>
      </w:r>
      <w:r w:rsidR="0030228D" w:rsidRPr="004C29A3">
        <w:rPr>
          <w:lang w:val="fr-CA"/>
        </w:rPr>
        <w:t xml:space="preserve">la juge de paix a accepté un plaidoyer de culpabilité puis a ajourné l’audience du prononcé de la peine. Dans l’affaire </w:t>
      </w:r>
      <w:r w:rsidR="00884FA7" w:rsidRPr="004C29A3">
        <w:rPr>
          <w:i/>
          <w:lang w:val="fr-CA"/>
        </w:rPr>
        <w:t xml:space="preserve">Sun et al., </w:t>
      </w:r>
      <w:r w:rsidR="0030228D" w:rsidRPr="004C29A3">
        <w:rPr>
          <w:lang w:val="fr-CA"/>
        </w:rPr>
        <w:t xml:space="preserve">la juge de paix a différé sa décision sur la question de savoir si elle devait accepter le plaidoyer de culpabilité anticipé. </w:t>
      </w:r>
      <w:r w:rsidR="00915E44" w:rsidRPr="004C29A3">
        <w:rPr>
          <w:lang w:val="fr-CA"/>
        </w:rPr>
        <w:t xml:space="preserve">Dans les deux cas, des observations conjointes sur la peine </w:t>
      </w:r>
      <w:r>
        <w:rPr>
          <w:lang w:val="fr-CA"/>
        </w:rPr>
        <w:t>avaient</w:t>
      </w:r>
      <w:r w:rsidR="00915E44" w:rsidRPr="004C29A3">
        <w:rPr>
          <w:lang w:val="fr-CA"/>
        </w:rPr>
        <w:t xml:space="preserve"> été proposées</w:t>
      </w:r>
      <w:r w:rsidR="00884FA7" w:rsidRPr="004C29A3">
        <w:rPr>
          <w:lang w:val="fr-CA"/>
        </w:rPr>
        <w:t>.</w:t>
      </w:r>
    </w:p>
    <w:p w14:paraId="06FB3773" w14:textId="28914782" w:rsidR="00D12C1C" w:rsidRPr="004C29A3" w:rsidRDefault="00944A3B" w:rsidP="004C29A3">
      <w:pPr>
        <w:pStyle w:val="AParaNumbering"/>
        <w:rPr>
          <w:lang w:val="fr-CA"/>
        </w:rPr>
      </w:pPr>
      <w:r>
        <w:t>[58]</w:t>
      </w:r>
      <w:r>
        <w:tab/>
      </w:r>
      <w:r w:rsidR="00915E44" w:rsidRPr="004C29A3">
        <w:rPr>
          <w:lang w:val="fr-CA"/>
        </w:rPr>
        <w:t>Dans l’Exposé conjoint des faits, la juge de paix a expliqué qu</w:t>
      </w:r>
      <w:r>
        <w:rPr>
          <w:lang w:val="fr-CA"/>
        </w:rPr>
        <w:t xml:space="preserve">’elle avait ajourné </w:t>
      </w:r>
      <w:r w:rsidR="00915E44" w:rsidRPr="004C29A3">
        <w:rPr>
          <w:lang w:val="fr-CA"/>
        </w:rPr>
        <w:t xml:space="preserve">ces dossiers </w:t>
      </w:r>
      <w:r w:rsidR="006209B7" w:rsidRPr="004C29A3">
        <w:rPr>
          <w:lang w:val="fr-CA"/>
        </w:rPr>
        <w:t xml:space="preserve">en raison de l’intense stress personnel qu’elle subissait à cette époque. En août </w:t>
      </w:r>
      <w:r w:rsidR="00884FA7" w:rsidRPr="004C29A3">
        <w:rPr>
          <w:lang w:val="fr-CA"/>
        </w:rPr>
        <w:t xml:space="preserve">2015, </w:t>
      </w:r>
      <w:r w:rsidR="006209B7" w:rsidRPr="004C29A3">
        <w:rPr>
          <w:lang w:val="fr-CA"/>
        </w:rPr>
        <w:t>la juge de paix a pris connaissance de la plainte de M</w:t>
      </w:r>
      <w:r w:rsidR="008D477A" w:rsidRPr="004C29A3">
        <w:rPr>
          <w:lang w:val="fr-CA"/>
        </w:rPr>
        <w:t>.</w:t>
      </w:r>
      <w:r>
        <w:rPr>
          <w:lang w:val="fr-CA"/>
        </w:rPr>
        <w:t> </w:t>
      </w:r>
      <w:r w:rsidR="008D477A" w:rsidRPr="004C29A3">
        <w:rPr>
          <w:lang w:val="fr-CA"/>
        </w:rPr>
        <w:t>Saamen.</w:t>
      </w:r>
      <w:r w:rsidR="00884FA7" w:rsidRPr="004C29A3">
        <w:rPr>
          <w:lang w:val="fr-CA"/>
        </w:rPr>
        <w:t xml:space="preserve"> </w:t>
      </w:r>
      <w:r w:rsidR="006209B7" w:rsidRPr="004C29A3">
        <w:rPr>
          <w:lang w:val="fr-CA"/>
        </w:rPr>
        <w:t xml:space="preserve">La juge de paix </w:t>
      </w:r>
      <w:r w:rsidR="00884FA7" w:rsidRPr="004C29A3">
        <w:rPr>
          <w:lang w:val="fr-CA"/>
        </w:rPr>
        <w:t>Romagnoli</w:t>
      </w:r>
      <w:r w:rsidR="006209B7" w:rsidRPr="004C29A3">
        <w:rPr>
          <w:lang w:val="fr-CA"/>
        </w:rPr>
        <w:t xml:space="preserve"> a indiqué qu’elle préférait ne pas trancher ces cas pendant le traitement de</w:t>
      </w:r>
      <w:r>
        <w:rPr>
          <w:lang w:val="fr-CA"/>
        </w:rPr>
        <w:t xml:space="preserve"> la plainte</w:t>
      </w:r>
      <w:r w:rsidR="006209B7" w:rsidRPr="004C29A3">
        <w:rPr>
          <w:lang w:val="fr-CA"/>
        </w:rPr>
        <w:t>. C’est pourquoi elle a ajourné les dossiers pendant une période excessivement longue sans fournir d’explication aux parties au tribunal</w:t>
      </w:r>
      <w:r w:rsidR="00884FA7" w:rsidRPr="004C29A3">
        <w:rPr>
          <w:lang w:val="fr-CA"/>
        </w:rPr>
        <w:t>.</w:t>
      </w:r>
    </w:p>
    <w:p w14:paraId="6E8ADE43" w14:textId="6464EDD3" w:rsidR="00D12C1C" w:rsidRPr="004C29A3" w:rsidRDefault="00944A3B" w:rsidP="004C29A3">
      <w:pPr>
        <w:pStyle w:val="AParaNumbering"/>
        <w:rPr>
          <w:lang w:val="fr-CA"/>
        </w:rPr>
      </w:pPr>
      <w:r>
        <w:t>[59]</w:t>
      </w:r>
      <w:r>
        <w:tab/>
      </w:r>
      <w:r w:rsidR="006209B7" w:rsidRPr="004C29A3">
        <w:rPr>
          <w:lang w:val="fr-CA"/>
        </w:rPr>
        <w:t xml:space="preserve">Le poursuivant dans l’affaire </w:t>
      </w:r>
      <w:r w:rsidR="00EA3451" w:rsidRPr="004C29A3">
        <w:rPr>
          <w:i/>
          <w:lang w:val="fr-CA"/>
        </w:rPr>
        <w:t>Newhook</w:t>
      </w:r>
      <w:r w:rsidR="00EA3451" w:rsidRPr="004C29A3">
        <w:rPr>
          <w:lang w:val="fr-CA"/>
        </w:rPr>
        <w:t xml:space="preserve"> </w:t>
      </w:r>
      <w:r w:rsidR="00884FA7" w:rsidRPr="004C29A3">
        <w:rPr>
          <w:lang w:val="fr-CA"/>
        </w:rPr>
        <w:t>a</w:t>
      </w:r>
      <w:r w:rsidR="006209B7" w:rsidRPr="004C29A3">
        <w:rPr>
          <w:lang w:val="fr-CA"/>
        </w:rPr>
        <w:t xml:space="preserve"> demandé à la Cour supérieure de justice de rendre une ordonnance de</w:t>
      </w:r>
      <w:r w:rsidR="00884FA7" w:rsidRPr="004C29A3">
        <w:rPr>
          <w:lang w:val="fr-CA"/>
        </w:rPr>
        <w:t xml:space="preserve"> </w:t>
      </w:r>
      <w:r w:rsidR="00884FA7" w:rsidRPr="004C29A3">
        <w:rPr>
          <w:i/>
          <w:lang w:val="fr-CA"/>
        </w:rPr>
        <w:t>mandamus</w:t>
      </w:r>
      <w:r w:rsidR="006209B7" w:rsidRPr="004C29A3">
        <w:rPr>
          <w:lang w:val="fr-CA"/>
        </w:rPr>
        <w:t xml:space="preserve"> exigeant que la juge de paix </w:t>
      </w:r>
      <w:r w:rsidR="00884FA7" w:rsidRPr="004C29A3">
        <w:rPr>
          <w:lang w:val="fr-CA"/>
        </w:rPr>
        <w:t xml:space="preserve">Romagnoli </w:t>
      </w:r>
      <w:r w:rsidR="006209B7" w:rsidRPr="004C29A3">
        <w:rPr>
          <w:lang w:val="fr-CA"/>
        </w:rPr>
        <w:t xml:space="preserve">rende sa décision dans l’affaire </w:t>
      </w:r>
      <w:r w:rsidR="00884FA7" w:rsidRPr="004C29A3">
        <w:rPr>
          <w:i/>
          <w:lang w:val="fr-CA"/>
        </w:rPr>
        <w:t>Newhook</w:t>
      </w:r>
      <w:r w:rsidR="00884FA7" w:rsidRPr="004C29A3">
        <w:rPr>
          <w:lang w:val="fr-CA"/>
        </w:rPr>
        <w:t xml:space="preserve"> </w:t>
      </w:r>
      <w:r w:rsidR="006209B7" w:rsidRPr="004C29A3">
        <w:rPr>
          <w:lang w:val="fr-CA"/>
        </w:rPr>
        <w:t>et dans des affaires connexes dans un délai de 30 jours. La juge de paix l’a fait et a rejeté les observations conjointes au même motif que celui cité plus haut. La juge de paix a reconnu que c’était une erreur, car les peines proposé</w:t>
      </w:r>
      <w:r w:rsidR="00881B0A">
        <w:rPr>
          <w:lang w:val="fr-CA"/>
        </w:rPr>
        <w:t>e</w:t>
      </w:r>
      <w:r w:rsidR="006209B7" w:rsidRPr="004C29A3">
        <w:rPr>
          <w:lang w:val="fr-CA"/>
        </w:rPr>
        <w:t>s dans les observations conjoint</w:t>
      </w:r>
      <w:r>
        <w:rPr>
          <w:lang w:val="fr-CA"/>
        </w:rPr>
        <w:t>es présentées n</w:t>
      </w:r>
      <w:r w:rsidR="006209B7" w:rsidRPr="004C29A3">
        <w:rPr>
          <w:lang w:val="fr-CA"/>
        </w:rPr>
        <w:t xml:space="preserve">e sortaient pas de l’éventail des mesures </w:t>
      </w:r>
      <w:r>
        <w:rPr>
          <w:lang w:val="fr-CA"/>
        </w:rPr>
        <w:t>raisonnables</w:t>
      </w:r>
      <w:r w:rsidR="006209B7" w:rsidRPr="004C29A3">
        <w:rPr>
          <w:lang w:val="fr-CA"/>
        </w:rPr>
        <w:t xml:space="preserve"> dans les circonstances. </w:t>
      </w:r>
    </w:p>
    <w:p w14:paraId="607DA5FA" w14:textId="5E745CAF" w:rsidR="00D12C1C" w:rsidRPr="004C29A3" w:rsidRDefault="00944A3B" w:rsidP="004C29A3">
      <w:pPr>
        <w:pStyle w:val="AParaNumbering"/>
        <w:rPr>
          <w:lang w:val="fr-CA"/>
        </w:rPr>
      </w:pPr>
      <w:r>
        <w:t>[60]</w:t>
      </w:r>
      <w:r>
        <w:tab/>
      </w:r>
      <w:r w:rsidR="00295BCB" w:rsidRPr="004C29A3">
        <w:rPr>
          <w:lang w:val="fr-CA"/>
        </w:rPr>
        <w:t xml:space="preserve">Le comité d’audition souligne l’opinion de M. Goudge, après ses discussions avec la juge de paix </w:t>
      </w:r>
      <w:r w:rsidR="00884FA7" w:rsidRPr="004C29A3">
        <w:rPr>
          <w:lang w:val="fr-CA"/>
        </w:rPr>
        <w:t>Romagnoli</w:t>
      </w:r>
      <w:r w:rsidR="00295BCB" w:rsidRPr="004C29A3">
        <w:rPr>
          <w:lang w:val="fr-CA"/>
        </w:rPr>
        <w:t>, qu’elle ne r</w:t>
      </w:r>
      <w:r>
        <w:rPr>
          <w:lang w:val="fr-CA"/>
        </w:rPr>
        <w:t>eferait</w:t>
      </w:r>
      <w:r w:rsidR="00295BCB" w:rsidRPr="004C29A3">
        <w:rPr>
          <w:lang w:val="fr-CA"/>
        </w:rPr>
        <w:t xml:space="preserve"> plus la même erreur et qu’elle compren</w:t>
      </w:r>
      <w:r>
        <w:rPr>
          <w:lang w:val="fr-CA"/>
        </w:rPr>
        <w:t>ait</w:t>
      </w:r>
      <w:r w:rsidR="00295BCB" w:rsidRPr="004C29A3">
        <w:rPr>
          <w:lang w:val="fr-CA"/>
        </w:rPr>
        <w:t xml:space="preserve"> maintenant pourquoi un délai aussi long </w:t>
      </w:r>
      <w:r>
        <w:rPr>
          <w:lang w:val="fr-CA"/>
        </w:rPr>
        <w:t>pouvait susciter</w:t>
      </w:r>
      <w:r w:rsidR="00295BCB" w:rsidRPr="004C29A3">
        <w:rPr>
          <w:lang w:val="fr-CA"/>
        </w:rPr>
        <w:t xml:space="preserve"> une impression négative chez le public</w:t>
      </w:r>
      <w:r w:rsidR="00884FA7" w:rsidRPr="004C29A3">
        <w:rPr>
          <w:lang w:val="fr-CA"/>
        </w:rPr>
        <w:t>.</w:t>
      </w:r>
    </w:p>
    <w:p w14:paraId="4F55488D" w14:textId="4C641DC7" w:rsidR="00D12C1C" w:rsidRPr="004C29A3" w:rsidRDefault="00944A3B" w:rsidP="004C29A3">
      <w:pPr>
        <w:pStyle w:val="AParaNumbering"/>
        <w:rPr>
          <w:lang w:val="fr-CA"/>
        </w:rPr>
      </w:pPr>
      <w:r>
        <w:t>[61]</w:t>
      </w:r>
      <w:r>
        <w:tab/>
      </w:r>
      <w:r w:rsidR="001C577F" w:rsidRPr="004C29A3">
        <w:rPr>
          <w:lang w:val="fr-CA"/>
        </w:rPr>
        <w:t xml:space="preserve">Après avoir étudié tous les éléments de preuve, l’avocat chargé de la présentation et l’avocat de la juge de paix </w:t>
      </w:r>
      <w:r w:rsidR="00884FA7" w:rsidRPr="004C29A3">
        <w:rPr>
          <w:lang w:val="fr-CA"/>
        </w:rPr>
        <w:t>Romagnoli</w:t>
      </w:r>
      <w:r w:rsidR="001C577F" w:rsidRPr="004C29A3">
        <w:rPr>
          <w:lang w:val="fr-CA"/>
        </w:rPr>
        <w:t xml:space="preserve"> ont </w:t>
      </w:r>
      <w:r w:rsidR="006C1EF3">
        <w:rPr>
          <w:lang w:val="fr-CA"/>
        </w:rPr>
        <w:t xml:space="preserve">tous deux </w:t>
      </w:r>
      <w:r w:rsidR="001C577F" w:rsidRPr="004C29A3">
        <w:rPr>
          <w:lang w:val="fr-CA"/>
        </w:rPr>
        <w:t xml:space="preserve">soutenu que les </w:t>
      </w:r>
      <w:r w:rsidR="001C577F" w:rsidRPr="004C29A3">
        <w:rPr>
          <w:lang w:val="fr-CA"/>
        </w:rPr>
        <w:lastRenderedPageBreak/>
        <w:t>preuves concernant cette catégorie d’allégations n’établissaient pas une inconduite, car l’ajournement n’a</w:t>
      </w:r>
      <w:r w:rsidR="006C1EF3">
        <w:rPr>
          <w:lang w:val="fr-CA"/>
        </w:rPr>
        <w:t>vait</w:t>
      </w:r>
      <w:r w:rsidR="001C577F" w:rsidRPr="004C29A3">
        <w:rPr>
          <w:lang w:val="fr-CA"/>
        </w:rPr>
        <w:t xml:space="preserve"> été relevé que dans deux instances et qu’il a constitué une erreur qui avait été corrigée par la Cour supérieure de justice. En outre, la juge de paix a reconnu avoir commis une erreur et s’est engagé</w:t>
      </w:r>
      <w:r w:rsidR="006C1EF3">
        <w:rPr>
          <w:lang w:val="fr-CA"/>
        </w:rPr>
        <w:t>e</w:t>
      </w:r>
      <w:r w:rsidR="001C577F" w:rsidRPr="004C29A3">
        <w:rPr>
          <w:lang w:val="fr-CA"/>
        </w:rPr>
        <w:t xml:space="preserve"> à ne plus le faire</w:t>
      </w:r>
      <w:r w:rsidR="00884FA7" w:rsidRPr="004C29A3">
        <w:rPr>
          <w:lang w:val="fr-CA"/>
        </w:rPr>
        <w:t>.</w:t>
      </w:r>
    </w:p>
    <w:p w14:paraId="7CA3ED81" w14:textId="3DA2A357" w:rsidR="00D12C1C" w:rsidRPr="006C1EF3" w:rsidRDefault="00774A8B" w:rsidP="004C29A3">
      <w:pPr>
        <w:pStyle w:val="AParaNumbering"/>
        <w:rPr>
          <w:b/>
          <w:lang w:val="fr-CA"/>
        </w:rPr>
      </w:pPr>
      <w:r w:rsidRPr="006C1EF3">
        <w:rPr>
          <w:b/>
          <w:lang w:val="fr-CA"/>
        </w:rPr>
        <w:t>3</w:t>
      </w:r>
      <w:r w:rsidRPr="006C1EF3">
        <w:rPr>
          <w:b/>
          <w:vertAlign w:val="superscript"/>
          <w:lang w:val="fr-CA"/>
        </w:rPr>
        <w:t>e</w:t>
      </w:r>
      <w:r w:rsidRPr="006C1EF3">
        <w:rPr>
          <w:b/>
          <w:lang w:val="fr-CA"/>
        </w:rPr>
        <w:t xml:space="preserve"> allégation </w:t>
      </w:r>
      <w:r w:rsidR="00884FA7" w:rsidRPr="006C1EF3">
        <w:rPr>
          <w:b/>
          <w:lang w:val="fr-CA"/>
        </w:rPr>
        <w:t xml:space="preserve">: </w:t>
      </w:r>
      <w:r w:rsidRPr="006C1EF3">
        <w:rPr>
          <w:b/>
          <w:lang w:val="fr-CA"/>
        </w:rPr>
        <w:t xml:space="preserve">Partialité </w:t>
      </w:r>
      <w:r w:rsidR="00884FA7" w:rsidRPr="006C1EF3">
        <w:rPr>
          <w:b/>
          <w:lang w:val="fr-CA"/>
        </w:rPr>
        <w:t>(</w:t>
      </w:r>
      <w:r w:rsidRPr="006C1EF3">
        <w:rPr>
          <w:b/>
          <w:lang w:val="fr-CA"/>
        </w:rPr>
        <w:t xml:space="preserve">réelle ou perçue) </w:t>
      </w:r>
      <w:r w:rsidR="005F4E23">
        <w:rPr>
          <w:b/>
          <w:lang w:val="fr-CA"/>
        </w:rPr>
        <w:t>contre des</w:t>
      </w:r>
      <w:r w:rsidRPr="006C1EF3">
        <w:rPr>
          <w:b/>
          <w:lang w:val="fr-CA"/>
        </w:rPr>
        <w:t xml:space="preserve"> poursuivants et la police </w:t>
      </w:r>
    </w:p>
    <w:p w14:paraId="37DB5E8E" w14:textId="113705E7" w:rsidR="00D12C1C" w:rsidRPr="004C29A3" w:rsidRDefault="005F4E23" w:rsidP="004C29A3">
      <w:pPr>
        <w:pStyle w:val="AParaNumbering"/>
        <w:rPr>
          <w:lang w:val="fr-CA"/>
        </w:rPr>
      </w:pPr>
      <w:r>
        <w:t>[6</w:t>
      </w:r>
      <w:r w:rsidR="00243DE1">
        <w:t>2</w:t>
      </w:r>
      <w:r>
        <w:t>]</w:t>
      </w:r>
      <w:r>
        <w:tab/>
      </w:r>
      <w:r w:rsidR="00484312" w:rsidRPr="004C29A3">
        <w:rPr>
          <w:lang w:val="fr-CA"/>
        </w:rPr>
        <w:t xml:space="preserve">Les </w:t>
      </w:r>
      <w:r w:rsidR="006A5C40" w:rsidRPr="004C29A3">
        <w:rPr>
          <w:lang w:val="fr-CA"/>
        </w:rPr>
        <w:t xml:space="preserve">juges de paix doivent être impartiaux et objectifs dans l’exercice de leurs fonctions judiciaires, et doivent conserver l’apparence d’impartialité. Ce principe bien établi est énoncé à l’article </w:t>
      </w:r>
      <w:r w:rsidR="00884FA7" w:rsidRPr="004C29A3">
        <w:rPr>
          <w:lang w:val="fr-CA"/>
        </w:rPr>
        <w:t xml:space="preserve">1.1 </w:t>
      </w:r>
      <w:r w:rsidR="006A5C40" w:rsidRPr="004C29A3">
        <w:rPr>
          <w:lang w:val="fr-CA"/>
        </w:rPr>
        <w:t xml:space="preserve">des </w:t>
      </w:r>
      <w:r w:rsidR="006A5C40" w:rsidRPr="004C29A3">
        <w:rPr>
          <w:i/>
          <w:lang w:val="fr-CA"/>
        </w:rPr>
        <w:t>Principes de la charge judiciaire</w:t>
      </w:r>
      <w:r w:rsidR="006A5C40" w:rsidRPr="004C29A3">
        <w:rPr>
          <w:lang w:val="fr-CA"/>
        </w:rPr>
        <w:t xml:space="preserve"> du Conseil d’évaluation, ainsi que dans les </w:t>
      </w:r>
      <w:r w:rsidR="006A5C40" w:rsidRPr="004C29A3">
        <w:rPr>
          <w:i/>
          <w:lang w:val="fr-CA"/>
        </w:rPr>
        <w:t>Principes de déontologie judiciaire</w:t>
      </w:r>
      <w:r w:rsidR="006A5C40" w:rsidRPr="004C29A3">
        <w:rPr>
          <w:lang w:val="fr-CA"/>
        </w:rPr>
        <w:t xml:space="preserve"> du Conseil canadien de la magistrature</w:t>
      </w:r>
      <w:r w:rsidR="00884FA7" w:rsidRPr="004C29A3">
        <w:rPr>
          <w:lang w:val="fr-CA"/>
        </w:rPr>
        <w:t>.</w:t>
      </w:r>
    </w:p>
    <w:p w14:paraId="75C74E9D" w14:textId="721A40C6" w:rsidR="00D12C1C" w:rsidRPr="004C29A3" w:rsidRDefault="00243DE1" w:rsidP="004C29A3">
      <w:pPr>
        <w:pStyle w:val="AParaNumbering"/>
        <w:rPr>
          <w:lang w:val="fr-CA"/>
        </w:rPr>
      </w:pPr>
      <w:r>
        <w:t>[63]</w:t>
      </w:r>
      <w:r>
        <w:tab/>
      </w:r>
      <w:r w:rsidR="007B6E1A" w:rsidRPr="004C29A3">
        <w:rPr>
          <w:lang w:val="fr-CA"/>
        </w:rPr>
        <w:t>Dans l’Exposé conjoint des faits, la juge de paix a reconnu qu’à quelques occasions elle avait interagi avec des parajuristes durant les congés judiciaires. En particulier, elle s’est jointe à divers parajuristes pour discuter avec eux ou boire un café avec eux au palais de justice. Pendant ces conversations, la juge de paix portait généralement sa veste judiciaire (habituellement avec un tailleur), mais pas sa toge</w:t>
      </w:r>
      <w:r w:rsidR="00F91DE1">
        <w:rPr>
          <w:lang w:val="fr-CA"/>
        </w:rPr>
        <w:t>.</w:t>
      </w:r>
    </w:p>
    <w:p w14:paraId="7A1FE5DA" w14:textId="07B9FC6F" w:rsidR="00D12C1C" w:rsidRPr="004C29A3" w:rsidRDefault="00F91DE1" w:rsidP="004C29A3">
      <w:pPr>
        <w:pStyle w:val="AParaNumbering"/>
        <w:rPr>
          <w:lang w:val="fr-CA"/>
        </w:rPr>
      </w:pPr>
      <w:r>
        <w:t>[64]</w:t>
      </w:r>
      <w:r>
        <w:tab/>
      </w:r>
      <w:r w:rsidR="007B6E1A" w:rsidRPr="004C29A3">
        <w:rPr>
          <w:lang w:val="fr-CA"/>
        </w:rPr>
        <w:t>L’Exposé conjoint des faits indique qu’au cours de ces rencontres, la juge de paix ne discutait pas seulement avec des parajuristes. Elle engageait parfois la conversation avec des greffiers, des poursuivants et des agents de police. Une fois, la juge de paix a envoyé par courriel une affaire intéressante à un parajuriste avec lequel elle s’était entretenue. L’affaire n’avait aucun lie</w:t>
      </w:r>
      <w:r>
        <w:rPr>
          <w:lang w:val="fr-CA"/>
        </w:rPr>
        <w:t>n</w:t>
      </w:r>
      <w:r w:rsidR="007B6E1A" w:rsidRPr="004C29A3">
        <w:rPr>
          <w:lang w:val="fr-CA"/>
        </w:rPr>
        <w:t xml:space="preserve"> avec le dossier pour lequel le parajuriste avait comparu devant la juge de paix</w:t>
      </w:r>
      <w:r w:rsidR="00884FA7" w:rsidRPr="004C29A3">
        <w:rPr>
          <w:lang w:val="fr-CA"/>
        </w:rPr>
        <w:t>.</w:t>
      </w:r>
    </w:p>
    <w:p w14:paraId="6E7AF66D" w14:textId="2F1276EC" w:rsidR="001A0A0A" w:rsidRPr="004C29A3" w:rsidRDefault="00F91DE1" w:rsidP="004C29A3">
      <w:pPr>
        <w:pStyle w:val="AParaNumbering"/>
        <w:rPr>
          <w:lang w:val="fr-CA"/>
        </w:rPr>
      </w:pPr>
      <w:r>
        <w:t>[65]</w:t>
      </w:r>
      <w:r>
        <w:tab/>
      </w:r>
      <w:r w:rsidR="007B6E1A" w:rsidRPr="004C29A3">
        <w:rPr>
          <w:lang w:val="fr-CA"/>
        </w:rPr>
        <w:t xml:space="preserve">L’Exposé conjoint des faits précise que même si aucune des interactions </w:t>
      </w:r>
      <w:r>
        <w:rPr>
          <w:lang w:val="fr-CA"/>
        </w:rPr>
        <w:t>hors du</w:t>
      </w:r>
      <w:r w:rsidR="007B6E1A" w:rsidRPr="004C29A3">
        <w:rPr>
          <w:lang w:val="fr-CA"/>
        </w:rPr>
        <w:t xml:space="preserve"> tribunal susmentionnées ne démontre une partialité réelle de la part de la juge de paix, ces interactions ont peut-être contribué à une perception de manque d’impartialité. Dans l’Exposé conjoint des faits, </w:t>
      </w:r>
      <w:r w:rsidR="00E73E4D" w:rsidRPr="004C29A3">
        <w:rPr>
          <w:lang w:val="fr-CA"/>
        </w:rPr>
        <w:t>la juge de paix a reconnu que la plainte portée contre elle l’avait sensibilisée aux perceptions que ses interactions sociales causaient. La juge de paix a affirmé qu’elle ne se joignait plus à des parajuristes, poursuivants ou agents de police pour manger le lunch ou boire un café</w:t>
      </w:r>
      <w:r w:rsidR="008D477A" w:rsidRPr="004C29A3">
        <w:rPr>
          <w:lang w:val="fr-CA"/>
        </w:rPr>
        <w:t>.</w:t>
      </w:r>
    </w:p>
    <w:p w14:paraId="34C1D01C" w14:textId="0F04B682" w:rsidR="00D12C1C" w:rsidRPr="004C29A3" w:rsidRDefault="00F91DE1" w:rsidP="004C29A3">
      <w:pPr>
        <w:pStyle w:val="AParaNumbering"/>
        <w:rPr>
          <w:lang w:val="fr-CA"/>
        </w:rPr>
      </w:pPr>
      <w:r>
        <w:lastRenderedPageBreak/>
        <w:t>[66]</w:t>
      </w:r>
      <w:r>
        <w:tab/>
      </w:r>
      <w:r w:rsidR="00884FA7" w:rsidRPr="004C29A3">
        <w:rPr>
          <w:lang w:val="fr-CA"/>
        </w:rPr>
        <w:t xml:space="preserve">M. Goudge </w:t>
      </w:r>
      <w:r w:rsidR="00E73E4D" w:rsidRPr="004C29A3">
        <w:rPr>
          <w:lang w:val="fr-CA"/>
        </w:rPr>
        <w:t xml:space="preserve">a indiqué qu’il avait eu de longues conversations avec la juge de paix au sujet de la perception de partialité </w:t>
      </w:r>
      <w:r w:rsidR="006E6C44">
        <w:rPr>
          <w:lang w:val="fr-CA"/>
        </w:rPr>
        <w:t>et de subjectivité que des interactions sociales, la communication de jurisprudence, le partage d’un lunch et un traitement différentiel envers des parties qui comparaissent devant elles peuvent créer</w:t>
      </w:r>
      <w:r w:rsidR="00E73E4D" w:rsidRPr="004C29A3">
        <w:rPr>
          <w:lang w:val="fr-CA"/>
        </w:rPr>
        <w:t xml:space="preserve">. </w:t>
      </w:r>
      <w:r w:rsidR="00884FA7" w:rsidRPr="004C29A3">
        <w:rPr>
          <w:lang w:val="fr-CA"/>
        </w:rPr>
        <w:t>M.</w:t>
      </w:r>
      <w:r w:rsidR="006E6C44">
        <w:rPr>
          <w:lang w:val="fr-CA"/>
        </w:rPr>
        <w:t> </w:t>
      </w:r>
      <w:r w:rsidR="00884FA7" w:rsidRPr="004C29A3">
        <w:rPr>
          <w:lang w:val="fr-CA"/>
        </w:rPr>
        <w:t xml:space="preserve">Goudge </w:t>
      </w:r>
      <w:r w:rsidR="00E73E4D" w:rsidRPr="004C29A3">
        <w:rPr>
          <w:lang w:val="fr-CA"/>
        </w:rPr>
        <w:t xml:space="preserve">estimait que </w:t>
      </w:r>
      <w:r w:rsidR="006E6C44" w:rsidRPr="004C29A3">
        <w:rPr>
          <w:lang w:val="fr-CA"/>
        </w:rPr>
        <w:t xml:space="preserve">la juge de paix Romagnoli </w:t>
      </w:r>
      <w:r w:rsidR="006E6C44">
        <w:rPr>
          <w:lang w:val="fr-CA"/>
        </w:rPr>
        <w:t xml:space="preserve">avait désormais compris </w:t>
      </w:r>
      <w:r w:rsidR="00E73E4D" w:rsidRPr="004C29A3">
        <w:rPr>
          <w:lang w:val="fr-CA"/>
        </w:rPr>
        <w:t>l’importance fondamentale de l’apparence d’impartialité dans les fonctions d’un juge de paix</w:t>
      </w:r>
      <w:r w:rsidR="008D477A" w:rsidRPr="004C29A3">
        <w:rPr>
          <w:lang w:val="fr-CA"/>
        </w:rPr>
        <w:t>.</w:t>
      </w:r>
    </w:p>
    <w:p w14:paraId="0A599C04" w14:textId="3D01FF53" w:rsidR="00D12C1C" w:rsidRPr="004C29A3" w:rsidRDefault="006E6C44" w:rsidP="004C29A3">
      <w:pPr>
        <w:pStyle w:val="AParaNumbering"/>
        <w:rPr>
          <w:lang w:val="fr-CA"/>
        </w:rPr>
      </w:pPr>
      <w:r>
        <w:t>[67]</w:t>
      </w:r>
      <w:r>
        <w:tab/>
      </w:r>
      <w:r w:rsidR="00C5486F" w:rsidRPr="004C29A3">
        <w:rPr>
          <w:lang w:val="fr-CA"/>
        </w:rPr>
        <w:t>Dans l’Exposé conjoint des faits, la juge de paix a également reconnu que sa conduite au tribunal, à plusieurs occasions, pouvait donner l’impression qu’elle avait des attentes excessive</w:t>
      </w:r>
      <w:r w:rsidR="00F65389">
        <w:rPr>
          <w:lang w:val="fr-CA"/>
        </w:rPr>
        <w:t xml:space="preserve">ment élevées </w:t>
      </w:r>
      <w:r w:rsidR="00C5486F" w:rsidRPr="004C29A3">
        <w:rPr>
          <w:lang w:val="fr-CA"/>
        </w:rPr>
        <w:t xml:space="preserve">des poursuivants </w:t>
      </w:r>
    </w:p>
    <w:p w14:paraId="2AC2F0C3" w14:textId="1A1541D0" w:rsidR="00D12C1C" w:rsidRPr="004C29A3" w:rsidRDefault="00F65389" w:rsidP="004C29A3">
      <w:pPr>
        <w:pStyle w:val="AParaNumbering"/>
        <w:rPr>
          <w:lang w:val="fr-CA"/>
        </w:rPr>
      </w:pPr>
      <w:r>
        <w:t>[68]</w:t>
      </w:r>
      <w:r>
        <w:tab/>
      </w:r>
      <w:r w:rsidR="00C5486F" w:rsidRPr="004C29A3">
        <w:rPr>
          <w:lang w:val="fr-CA"/>
        </w:rPr>
        <w:t>Il y a eu des cas o</w:t>
      </w:r>
      <w:r w:rsidR="008B19E7" w:rsidRPr="004C29A3">
        <w:rPr>
          <w:lang w:val="fr-CA"/>
        </w:rPr>
        <w:t>ù la juge de paix n’a pas veillé à donner aux deux parties la possibilité de faire des observations. Dans plusieurs cas, le poursuivant avait contesté la décision de la juge de paix de radier un plaidoyer de culpabilité. Dans l’Exposé conjoint des faits, la juge de paix a reconnu que l’omission de donner aux deux parties la possibilité de présenter des observations ou de la jurisprudence suscitait des craintes d’</w:t>
      </w:r>
      <w:r w:rsidR="000E07CD">
        <w:rPr>
          <w:lang w:val="fr-CA"/>
        </w:rPr>
        <w:t>inégalité</w:t>
      </w:r>
      <w:r w:rsidR="008B19E7" w:rsidRPr="004C29A3">
        <w:rPr>
          <w:lang w:val="fr-CA"/>
        </w:rPr>
        <w:t xml:space="preserve"> procédurale qui contribuaient à la perception d’un traitement différentiel des parties</w:t>
      </w:r>
      <w:r w:rsidR="00884FA7" w:rsidRPr="004C29A3">
        <w:rPr>
          <w:lang w:val="fr-CA"/>
        </w:rPr>
        <w:t>.</w:t>
      </w:r>
    </w:p>
    <w:p w14:paraId="139B423B" w14:textId="5F4814C6" w:rsidR="00D12C1C" w:rsidRPr="004C29A3" w:rsidRDefault="00F65389" w:rsidP="004C29A3">
      <w:pPr>
        <w:pStyle w:val="AParaNumbering"/>
        <w:rPr>
          <w:lang w:val="fr-CA"/>
        </w:rPr>
      </w:pPr>
      <w:r>
        <w:t>[69]</w:t>
      </w:r>
      <w:r>
        <w:tab/>
      </w:r>
      <w:r w:rsidR="008B19E7" w:rsidRPr="004C29A3">
        <w:rPr>
          <w:lang w:val="fr-CA"/>
        </w:rPr>
        <w:t xml:space="preserve">La juge de paix a aussi reconnu que mentionner la possibilité de sanctionner une partie pour outrage au tribunal était grave. Dans l’Exposé conjoint des faits, la juge de paix explique qu’après réflexion, elle regrette de l’avoir fait dans les audiences indiquées dans l’Avis d’audience. </w:t>
      </w:r>
    </w:p>
    <w:p w14:paraId="46489FA9" w14:textId="403C9C50" w:rsidR="00D12C1C" w:rsidRPr="004C29A3" w:rsidRDefault="000E07CD" w:rsidP="004C29A3">
      <w:pPr>
        <w:pStyle w:val="AParaNumbering"/>
        <w:rPr>
          <w:lang w:val="fr-CA"/>
        </w:rPr>
      </w:pPr>
      <w:r>
        <w:t>[70]</w:t>
      </w:r>
      <w:r>
        <w:tab/>
      </w:r>
      <w:r w:rsidR="008B19E7" w:rsidRPr="004C29A3">
        <w:rPr>
          <w:lang w:val="fr-CA"/>
        </w:rPr>
        <w:t>La juge de paix reconnaît qu’il y a eu des cas où sa conduite aurait pu donner la perception qu’elle traitait les poursuivants différemment des avocats de la défense en ce qui concerne les demandes d’ajournement.</w:t>
      </w:r>
      <w:r w:rsidR="00884FA7" w:rsidRPr="004C29A3">
        <w:rPr>
          <w:lang w:val="fr-CA"/>
        </w:rPr>
        <w:t xml:space="preserve"> </w:t>
      </w:r>
      <w:r w:rsidR="008B19E7" w:rsidRPr="004C29A3">
        <w:rPr>
          <w:lang w:val="fr-CA"/>
        </w:rPr>
        <w:t xml:space="preserve">Dans les affaires </w:t>
      </w:r>
      <w:r w:rsidR="00884FA7" w:rsidRPr="004C29A3">
        <w:rPr>
          <w:i/>
          <w:lang w:val="fr-CA"/>
        </w:rPr>
        <w:t>R. v. Maria Campoli</w:t>
      </w:r>
      <w:r w:rsidR="001B4CB3" w:rsidRPr="004C29A3">
        <w:rPr>
          <w:rStyle w:val="FootnoteReference"/>
          <w:i/>
          <w:lang w:val="fr-CA"/>
        </w:rPr>
        <w:footnoteReference w:id="20"/>
      </w:r>
      <w:r w:rsidR="00884FA7" w:rsidRPr="004C29A3">
        <w:rPr>
          <w:lang w:val="fr-CA"/>
        </w:rPr>
        <w:t xml:space="preserve"> </w:t>
      </w:r>
      <w:r w:rsidR="008B19E7" w:rsidRPr="004C29A3">
        <w:rPr>
          <w:lang w:val="fr-CA"/>
        </w:rPr>
        <w:t>et</w:t>
      </w:r>
      <w:r w:rsidR="00884FA7" w:rsidRPr="004C29A3">
        <w:rPr>
          <w:lang w:val="fr-CA"/>
        </w:rPr>
        <w:t xml:space="preserve"> </w:t>
      </w:r>
      <w:r w:rsidR="00884FA7" w:rsidRPr="004C29A3">
        <w:rPr>
          <w:i/>
          <w:lang w:val="fr-CA"/>
        </w:rPr>
        <w:t>R. v. Gerald Hefferon/R. v. Igor Abramov</w:t>
      </w:r>
      <w:r w:rsidR="001B4CB3" w:rsidRPr="004C29A3">
        <w:rPr>
          <w:rStyle w:val="FootnoteReference"/>
          <w:i/>
          <w:lang w:val="fr-CA"/>
        </w:rPr>
        <w:footnoteReference w:id="21"/>
      </w:r>
      <w:r w:rsidR="00884FA7" w:rsidRPr="004C29A3">
        <w:rPr>
          <w:lang w:val="fr-CA"/>
        </w:rPr>
        <w:t xml:space="preserve">, </w:t>
      </w:r>
      <w:r w:rsidR="00354A53" w:rsidRPr="004C29A3">
        <w:rPr>
          <w:lang w:val="fr-CA"/>
        </w:rPr>
        <w:t xml:space="preserve">la juge de paix </w:t>
      </w:r>
      <w:r w:rsidR="00884FA7" w:rsidRPr="004C29A3">
        <w:rPr>
          <w:lang w:val="fr-CA"/>
        </w:rPr>
        <w:t xml:space="preserve">Romagnoli </w:t>
      </w:r>
      <w:r w:rsidR="00354A53" w:rsidRPr="004C29A3">
        <w:rPr>
          <w:lang w:val="fr-CA"/>
        </w:rPr>
        <w:t xml:space="preserve">a refusé la demande d’ajournement de la poursuite au motif qu’il manquait certains </w:t>
      </w:r>
      <w:r w:rsidR="00354A53" w:rsidRPr="004C29A3">
        <w:rPr>
          <w:lang w:val="fr-CA"/>
        </w:rPr>
        <w:lastRenderedPageBreak/>
        <w:t>éléments de preuve à l’appui de la demande, alors qu’elle a accepté les demandes d’ajournement de la défense le même jour, sans exiger ces éléments de preuve</w:t>
      </w:r>
      <w:r w:rsidR="00884FA7" w:rsidRPr="004C29A3">
        <w:rPr>
          <w:lang w:val="fr-CA"/>
        </w:rPr>
        <w:t>.</w:t>
      </w:r>
    </w:p>
    <w:p w14:paraId="280F7576" w14:textId="42DA608F" w:rsidR="00C333E8" w:rsidRPr="004C29A3" w:rsidRDefault="00E11D16" w:rsidP="004C29A3">
      <w:pPr>
        <w:pStyle w:val="AParaNumbering"/>
        <w:rPr>
          <w:lang w:val="fr-CA"/>
        </w:rPr>
      </w:pPr>
      <w:r>
        <w:t>[71]</w:t>
      </w:r>
      <w:r>
        <w:tab/>
      </w:r>
      <w:r w:rsidR="00710764" w:rsidRPr="004C29A3">
        <w:rPr>
          <w:lang w:val="fr-CA"/>
        </w:rPr>
        <w:t>Dans l’Exposé conjoint des faits, la juge de paix a reconnu que les décisions qu’elle a prises à cet ég</w:t>
      </w:r>
      <w:r w:rsidR="00C72526" w:rsidRPr="004C29A3">
        <w:rPr>
          <w:lang w:val="fr-CA"/>
        </w:rPr>
        <w:t xml:space="preserve">ard étaient problématiques et elle a </w:t>
      </w:r>
      <w:r w:rsidR="005B4CCB">
        <w:rPr>
          <w:lang w:val="fr-CA"/>
        </w:rPr>
        <w:t>pris conscience de</w:t>
      </w:r>
      <w:r w:rsidR="00C72526" w:rsidRPr="004C29A3">
        <w:rPr>
          <w:lang w:val="fr-CA"/>
        </w:rPr>
        <w:t xml:space="preserve"> la perception qu’elles ont pu donner. Elle a expliqué que ses décisions découlaient des positions différentes de la défense et de la poursuite. Dans les deux demandes d’ajournement présentées par la défense</w:t>
      </w:r>
      <w:r w:rsidR="00884FA7" w:rsidRPr="004C29A3">
        <w:rPr>
          <w:lang w:val="fr-CA"/>
        </w:rPr>
        <w:t xml:space="preserve"> (</w:t>
      </w:r>
      <w:r w:rsidR="00884FA7" w:rsidRPr="004C29A3">
        <w:rPr>
          <w:i/>
          <w:lang w:val="fr-CA"/>
        </w:rPr>
        <w:t xml:space="preserve">Hefferon </w:t>
      </w:r>
      <w:r w:rsidR="00C72526" w:rsidRPr="004C29A3">
        <w:rPr>
          <w:lang w:val="fr-CA"/>
        </w:rPr>
        <w:t>et</w:t>
      </w:r>
      <w:r w:rsidR="00884FA7" w:rsidRPr="004C29A3">
        <w:rPr>
          <w:lang w:val="fr-CA"/>
        </w:rPr>
        <w:t xml:space="preserve"> </w:t>
      </w:r>
      <w:r w:rsidR="00884FA7" w:rsidRPr="004C29A3">
        <w:rPr>
          <w:i/>
          <w:lang w:val="fr-CA"/>
        </w:rPr>
        <w:t>Abramov</w:t>
      </w:r>
      <w:r w:rsidR="00884FA7" w:rsidRPr="004C29A3">
        <w:rPr>
          <w:lang w:val="fr-CA"/>
        </w:rPr>
        <w:t xml:space="preserve">), </w:t>
      </w:r>
      <w:r w:rsidR="00C72526" w:rsidRPr="004C29A3">
        <w:rPr>
          <w:lang w:val="fr-CA"/>
        </w:rPr>
        <w:t xml:space="preserve">la juge de paix a remarqué qu’elles ont été faites dans le contexte d’un premier procès. Dans chaque cas, un mandataire était présent et a expliqué oralement pourquoi l’ajournement était nécessaire; l’avocat n’était pas présent dans le premier cas et l’accusé n’était pas présent dans le deuxième cas. Étant donné les conséquences de la condamnation d’un défendeur </w:t>
      </w:r>
      <w:r w:rsidR="00884FA7" w:rsidRPr="004C29A3">
        <w:rPr>
          <w:i/>
          <w:lang w:val="fr-CA"/>
        </w:rPr>
        <w:t>in absentia</w:t>
      </w:r>
      <w:r w:rsidR="00884FA7" w:rsidRPr="004C29A3">
        <w:rPr>
          <w:lang w:val="fr-CA"/>
        </w:rPr>
        <w:t xml:space="preserve">, </w:t>
      </w:r>
      <w:r w:rsidR="00C72526" w:rsidRPr="004C29A3">
        <w:rPr>
          <w:lang w:val="fr-CA"/>
        </w:rPr>
        <w:t>la juge de paix a décidé de faire preuve de clémence à l’égard des demandes présentée</w:t>
      </w:r>
      <w:r w:rsidR="00881B0A">
        <w:rPr>
          <w:lang w:val="fr-CA"/>
        </w:rPr>
        <w:t>s</w:t>
      </w:r>
      <w:r w:rsidR="00C72526" w:rsidRPr="004C29A3">
        <w:rPr>
          <w:lang w:val="fr-CA"/>
        </w:rPr>
        <w:t xml:space="preserve"> au nom des accusés. Néanmoins, la juge de paix a reconnu qu’elle devait être sensible à la perception d’un traitement différentiel inapproprié de sa part</w:t>
      </w:r>
      <w:r w:rsidR="00884FA7" w:rsidRPr="004C29A3">
        <w:rPr>
          <w:lang w:val="fr-CA"/>
        </w:rPr>
        <w:t>.</w:t>
      </w:r>
    </w:p>
    <w:p w14:paraId="0DED97C9" w14:textId="2496FB75" w:rsidR="00D12C1C" w:rsidRPr="004C29A3" w:rsidRDefault="005B4CCB" w:rsidP="004C29A3">
      <w:pPr>
        <w:pStyle w:val="AParaNumbering"/>
        <w:rPr>
          <w:lang w:val="fr-CA"/>
        </w:rPr>
      </w:pPr>
      <w:r>
        <w:t>[72]</w:t>
      </w:r>
      <w:r>
        <w:tab/>
      </w:r>
      <w:r w:rsidR="00B06B88" w:rsidRPr="004C29A3">
        <w:rPr>
          <w:lang w:val="fr-CA"/>
        </w:rPr>
        <w:t xml:space="preserve">L’enquête plus approfondie menée par l’avocat chargé de la présentation l’a convaincu qu’il n’y avait aucune chance d’obtenir une conclusion d’inconduite à l’égard de certains détails visés par cette allégation. Il a estimé que les autres détails visés par cette allégation, tels que mentionnés plus haut, révélaient des erreurs, mais pas une inconduite. Le fait que la juge de paix Romagnoli ait reconnu ses manquements et qu’elle ait pris des mesures pour s’améliorer en discutant avec M. Goudge a convaincu le comité d’audition que l’objectif réparateur du processus a été atteint. L’avocat chargé de la présentation n’a pas réclamé une conclusion d’inconduite en ce qui concerne cette allégation et le comité d’audition en convient. </w:t>
      </w:r>
    </w:p>
    <w:p w14:paraId="500BCA0F" w14:textId="0C42AC25" w:rsidR="006F478D" w:rsidRPr="004C29A3" w:rsidRDefault="00151DD1" w:rsidP="0085391E">
      <w:pPr>
        <w:pStyle w:val="Heading2"/>
        <w:spacing w:after="240"/>
        <w:rPr>
          <w:rFonts w:ascii="Arial" w:hAnsi="Arial" w:cs="Arial"/>
          <w:b/>
          <w:color w:val="000000" w:themeColor="text1"/>
          <w:sz w:val="24"/>
          <w:szCs w:val="24"/>
          <w:lang w:val="fr-CA"/>
        </w:rPr>
      </w:pPr>
      <w:r w:rsidRPr="004C29A3">
        <w:rPr>
          <w:rFonts w:ascii="Arial" w:hAnsi="Arial" w:cs="Arial"/>
          <w:b/>
          <w:color w:val="000000" w:themeColor="text1"/>
          <w:sz w:val="24"/>
          <w:szCs w:val="24"/>
          <w:lang w:val="fr-CA"/>
        </w:rPr>
        <w:t>Choix de la mesure à prendre</w:t>
      </w:r>
    </w:p>
    <w:p w14:paraId="56F4A664" w14:textId="12252A78" w:rsidR="00D12C1C" w:rsidRPr="004C29A3" w:rsidRDefault="005B4CCB" w:rsidP="004C29A3">
      <w:pPr>
        <w:pStyle w:val="AParaNumbering"/>
        <w:rPr>
          <w:lang w:val="fr-CA"/>
        </w:rPr>
      </w:pPr>
      <w:r>
        <w:t>[73]</w:t>
      </w:r>
      <w:r>
        <w:tab/>
      </w:r>
      <w:r w:rsidR="000A1CA1" w:rsidRPr="004C29A3">
        <w:rPr>
          <w:lang w:val="fr-CA"/>
        </w:rPr>
        <w:t>Ayant déterminé que la conduite de la juge de paix en ce qui concerne la 1</w:t>
      </w:r>
      <w:r w:rsidR="000A1CA1" w:rsidRPr="004C29A3">
        <w:rPr>
          <w:vertAlign w:val="superscript"/>
          <w:lang w:val="fr-CA"/>
        </w:rPr>
        <w:t>ère</w:t>
      </w:r>
      <w:r w:rsidR="00011133">
        <w:rPr>
          <w:lang w:val="fr-CA"/>
        </w:rPr>
        <w:t> </w:t>
      </w:r>
      <w:r w:rsidR="000A1CA1" w:rsidRPr="004C29A3">
        <w:rPr>
          <w:lang w:val="fr-CA"/>
        </w:rPr>
        <w:t xml:space="preserve">allégation constituait une inconduite judiciaire, car elle avait omis de connaître la loi, d’appliquer la loi et de maintenir sa compétence </w:t>
      </w:r>
      <w:r w:rsidR="00011133">
        <w:rPr>
          <w:lang w:val="fr-CA"/>
        </w:rPr>
        <w:t xml:space="preserve">professionnelle </w:t>
      </w:r>
      <w:r w:rsidR="000A1CA1" w:rsidRPr="004C29A3">
        <w:rPr>
          <w:lang w:val="fr-CA"/>
        </w:rPr>
        <w:t xml:space="preserve">dans la loi dans les trois domaines du droit indiqués dans l’Avis d’audience, plus précisément à </w:t>
      </w:r>
      <w:r w:rsidR="000A1CA1" w:rsidRPr="004C29A3">
        <w:rPr>
          <w:lang w:val="fr-CA"/>
        </w:rPr>
        <w:lastRenderedPageBreak/>
        <w:t>l’égard des observations conjointes sur la peine (elle a refusé d’appliquer la loi qui a établi que la municipalité régionale de York était une région désignée aux fins d’infractions constatées par une caméra à des feux rouges et a imposé des peines qui n’existent pas dans la loi, à savoir des amendes négatives), le comité d’audition doit décider quelle mesure ou quelle combinaison de mesures il est approprié de prendre afin de rétablir la confiance du public dans la magistrature et dans l’administration de la justice</w:t>
      </w:r>
      <w:r w:rsidR="00884FA7" w:rsidRPr="004C29A3">
        <w:rPr>
          <w:lang w:val="fr-CA"/>
        </w:rPr>
        <w:t>.</w:t>
      </w:r>
    </w:p>
    <w:p w14:paraId="02A03E3F" w14:textId="014FC916" w:rsidR="00D12C1C" w:rsidRPr="004C29A3" w:rsidRDefault="00011133" w:rsidP="004C29A3">
      <w:pPr>
        <w:pStyle w:val="AParaNumbering"/>
        <w:rPr>
          <w:lang w:val="fr-CA"/>
        </w:rPr>
      </w:pPr>
      <w:r>
        <w:t>[74]</w:t>
      </w:r>
      <w:r>
        <w:tab/>
      </w:r>
      <w:r w:rsidR="000A1CA1" w:rsidRPr="004C29A3">
        <w:rPr>
          <w:lang w:val="fr-CA"/>
        </w:rPr>
        <w:t xml:space="preserve">Le paragraphe </w:t>
      </w:r>
      <w:r w:rsidR="00884FA7" w:rsidRPr="004C29A3">
        <w:rPr>
          <w:lang w:val="fr-CA"/>
        </w:rPr>
        <w:t>11.1</w:t>
      </w:r>
      <w:r w:rsidR="000A1CA1" w:rsidRPr="004C29A3">
        <w:rPr>
          <w:lang w:val="fr-CA"/>
        </w:rPr>
        <w:t> </w:t>
      </w:r>
      <w:r w:rsidR="00884FA7" w:rsidRPr="004C29A3">
        <w:rPr>
          <w:lang w:val="fr-CA"/>
        </w:rPr>
        <w:t xml:space="preserve">(1) </w:t>
      </w:r>
      <w:r w:rsidR="000A1CA1" w:rsidRPr="004C29A3">
        <w:rPr>
          <w:lang w:val="fr-CA"/>
        </w:rPr>
        <w:t xml:space="preserve">de la Loi prévoit ce qui suit </w:t>
      </w:r>
      <w:r w:rsidR="00884FA7" w:rsidRPr="004C29A3">
        <w:rPr>
          <w:lang w:val="fr-CA"/>
        </w:rPr>
        <w:t>:</w:t>
      </w:r>
    </w:p>
    <w:p w14:paraId="5880AA49" w14:textId="3396151B" w:rsidR="00D12C1C" w:rsidRPr="004C29A3" w:rsidRDefault="00884FA7" w:rsidP="004C29A3">
      <w:pPr>
        <w:pStyle w:val="AParaNumbering"/>
        <w:rPr>
          <w:lang w:val="fr-CA"/>
        </w:rPr>
      </w:pPr>
      <w:r w:rsidRPr="004C29A3">
        <w:rPr>
          <w:lang w:val="fr-CA"/>
        </w:rPr>
        <w:t>11.1</w:t>
      </w:r>
      <w:r w:rsidR="000A1CA1" w:rsidRPr="004C29A3">
        <w:rPr>
          <w:lang w:val="fr-CA"/>
        </w:rPr>
        <w:t xml:space="preserve"> </w:t>
      </w:r>
      <w:r w:rsidRPr="004C29A3">
        <w:rPr>
          <w:lang w:val="fr-CA"/>
        </w:rPr>
        <w:t xml:space="preserve">(10) </w:t>
      </w:r>
      <w:r w:rsidR="000A1CA1" w:rsidRPr="004C29A3">
        <w:rPr>
          <w:lang w:val="fr-CA"/>
        </w:rPr>
        <w:t>Une fois qu’il a terminé l’audience, le comité d’audition peut rejeter la plainte, qu’il ait conclu ou non que la plainte n’est pas fondée ou, s’il donne droit à la plainte, il peut, selon le cas :</w:t>
      </w:r>
    </w:p>
    <w:p w14:paraId="63D2C7F5" w14:textId="50354154" w:rsidR="00011944" w:rsidRPr="004C29A3" w:rsidRDefault="000A1CA1" w:rsidP="004C29A3">
      <w:pPr>
        <w:pStyle w:val="AParaNumbering"/>
        <w:numPr>
          <w:ilvl w:val="0"/>
          <w:numId w:val="19"/>
        </w:numPr>
        <w:rPr>
          <w:lang w:val="fr-CA"/>
        </w:rPr>
      </w:pPr>
      <w:r w:rsidRPr="004C29A3">
        <w:rPr>
          <w:shd w:val="clear" w:color="auto" w:fill="FFFFFF"/>
          <w:lang w:val="fr-CA"/>
        </w:rPr>
        <w:t>donner un avertissement au juge de paix;</w:t>
      </w:r>
    </w:p>
    <w:p w14:paraId="1498E5A9" w14:textId="57214E0A" w:rsidR="00011944" w:rsidRPr="004C29A3" w:rsidRDefault="000A1CA1" w:rsidP="004C29A3">
      <w:pPr>
        <w:pStyle w:val="AParaNumbering"/>
        <w:numPr>
          <w:ilvl w:val="0"/>
          <w:numId w:val="19"/>
        </w:numPr>
        <w:rPr>
          <w:lang w:val="fr-CA"/>
        </w:rPr>
      </w:pPr>
      <w:r w:rsidRPr="004C29A3">
        <w:rPr>
          <w:shd w:val="clear" w:color="auto" w:fill="FFFFFF"/>
          <w:lang w:val="fr-CA"/>
        </w:rPr>
        <w:t>réprimander le juge de paix;</w:t>
      </w:r>
    </w:p>
    <w:p w14:paraId="614731BF" w14:textId="4C4AE157" w:rsidR="0087291E" w:rsidRPr="004C29A3" w:rsidRDefault="000A1CA1" w:rsidP="004C29A3">
      <w:pPr>
        <w:pStyle w:val="AParaNumbering"/>
        <w:numPr>
          <w:ilvl w:val="0"/>
          <w:numId w:val="19"/>
        </w:numPr>
        <w:rPr>
          <w:lang w:val="fr-CA"/>
        </w:rPr>
      </w:pPr>
      <w:r w:rsidRPr="004C29A3">
        <w:rPr>
          <w:shd w:val="clear" w:color="auto" w:fill="FFFFFF"/>
          <w:lang w:val="fr-CA"/>
        </w:rPr>
        <w:t>ordonner au juge de paix de présenter des excuses au plaignant ou à toute autre personne;</w:t>
      </w:r>
    </w:p>
    <w:p w14:paraId="42FCB6AB" w14:textId="03D46234" w:rsidR="0087291E" w:rsidRPr="004C29A3" w:rsidRDefault="000A1CA1" w:rsidP="004C29A3">
      <w:pPr>
        <w:pStyle w:val="AParaNumbering"/>
        <w:numPr>
          <w:ilvl w:val="0"/>
          <w:numId w:val="19"/>
        </w:numPr>
        <w:rPr>
          <w:lang w:val="fr-CA"/>
        </w:rPr>
      </w:pPr>
      <w:r w:rsidRPr="004C29A3">
        <w:rPr>
          <w:shd w:val="clear" w:color="auto" w:fill="FFFFFF"/>
          <w:lang w:val="fr-CA"/>
        </w:rPr>
        <w:t>ordonner que le juge de paix prenne des dispositions précises, telles suivre une formation ou un traitement, comme condition pour continuer de siéger à titre de juge de paix;</w:t>
      </w:r>
    </w:p>
    <w:p w14:paraId="502977A3" w14:textId="69F42445" w:rsidR="0087291E" w:rsidRPr="004C29A3" w:rsidRDefault="000A1CA1" w:rsidP="004C29A3">
      <w:pPr>
        <w:pStyle w:val="AParaNumbering"/>
        <w:numPr>
          <w:ilvl w:val="0"/>
          <w:numId w:val="19"/>
        </w:numPr>
        <w:rPr>
          <w:lang w:val="fr-CA"/>
        </w:rPr>
      </w:pPr>
      <w:r w:rsidRPr="004C29A3">
        <w:rPr>
          <w:shd w:val="clear" w:color="auto" w:fill="FFFFFF"/>
          <w:lang w:val="fr-CA"/>
        </w:rPr>
        <w:t>suspendre le juge de paix, avec rémunération, pendant une période quelle qu’elle soit;</w:t>
      </w:r>
      <w:r w:rsidR="00884FA7" w:rsidRPr="004C29A3">
        <w:rPr>
          <w:lang w:val="fr-CA"/>
        </w:rPr>
        <w:t xml:space="preserve"> </w:t>
      </w:r>
    </w:p>
    <w:p w14:paraId="6C236963" w14:textId="0D50B94B" w:rsidR="00D12C1C" w:rsidRPr="004C29A3" w:rsidRDefault="000A1CA1" w:rsidP="004C29A3">
      <w:pPr>
        <w:pStyle w:val="AParaNumbering"/>
        <w:numPr>
          <w:ilvl w:val="0"/>
          <w:numId w:val="19"/>
        </w:numPr>
        <w:rPr>
          <w:lang w:val="fr-CA"/>
        </w:rPr>
      </w:pPr>
      <w:r w:rsidRPr="004C29A3">
        <w:rPr>
          <w:shd w:val="clear" w:color="auto" w:fill="FFFFFF"/>
          <w:lang w:val="fr-CA"/>
        </w:rPr>
        <w:t>suspendre le juge de paix, sans rémunération mais avec avantages sociaux, pendant une période maximale de 30 jours;</w:t>
      </w:r>
    </w:p>
    <w:p w14:paraId="562068DF" w14:textId="6BC36641" w:rsidR="000A1CA1" w:rsidRPr="004C29A3" w:rsidRDefault="000A1CA1" w:rsidP="004C29A3">
      <w:pPr>
        <w:pStyle w:val="AParaNumbering"/>
        <w:numPr>
          <w:ilvl w:val="0"/>
          <w:numId w:val="19"/>
        </w:numPr>
        <w:rPr>
          <w:lang w:val="fr-CA"/>
        </w:rPr>
      </w:pPr>
      <w:r w:rsidRPr="004C29A3">
        <w:rPr>
          <w:shd w:val="clear" w:color="auto" w:fill="FFFFFF"/>
          <w:lang w:val="fr-CA"/>
        </w:rPr>
        <w:t>recommander au procureur général la destitution du juge de paix conformément à l’article 11.2. </w:t>
      </w:r>
    </w:p>
    <w:p w14:paraId="37569507" w14:textId="622AB4F9" w:rsidR="0050332D" w:rsidRPr="004C29A3" w:rsidRDefault="00011133" w:rsidP="004C29A3">
      <w:pPr>
        <w:pStyle w:val="AParaNumbering"/>
        <w:rPr>
          <w:lang w:val="fr-CA"/>
        </w:rPr>
      </w:pPr>
      <w:r>
        <w:lastRenderedPageBreak/>
        <w:t>[75]</w:t>
      </w:r>
      <w:r>
        <w:tab/>
      </w:r>
      <w:r w:rsidR="00C03ECF" w:rsidRPr="004C29A3">
        <w:rPr>
          <w:lang w:val="fr-CA"/>
        </w:rPr>
        <w:t xml:space="preserve">L’avocat chargé de la présentation et l’avocat de la juge de paix soutiennent conjointement que la peine appropriée serait une réprimande en vertu de l’alinéa </w:t>
      </w:r>
      <w:r w:rsidR="0050332D" w:rsidRPr="004C29A3">
        <w:rPr>
          <w:lang w:val="fr-CA"/>
        </w:rPr>
        <w:t>11.1</w:t>
      </w:r>
      <w:r w:rsidR="00C03ECF" w:rsidRPr="004C29A3">
        <w:rPr>
          <w:lang w:val="fr-CA"/>
        </w:rPr>
        <w:t> </w:t>
      </w:r>
      <w:r w:rsidR="0050332D" w:rsidRPr="004C29A3">
        <w:rPr>
          <w:lang w:val="fr-CA"/>
        </w:rPr>
        <w:t>(10)</w:t>
      </w:r>
      <w:r w:rsidR="00C03ECF" w:rsidRPr="004C29A3">
        <w:rPr>
          <w:lang w:val="fr-CA"/>
        </w:rPr>
        <w:t> </w:t>
      </w:r>
      <w:r w:rsidR="0050332D" w:rsidRPr="004C29A3">
        <w:rPr>
          <w:lang w:val="fr-CA"/>
        </w:rPr>
        <w:t xml:space="preserve">b) </w:t>
      </w:r>
      <w:r w:rsidR="00C03ECF" w:rsidRPr="004C29A3">
        <w:rPr>
          <w:lang w:val="fr-CA"/>
        </w:rPr>
        <w:t xml:space="preserve">de la Loi, conjuguée à une ordonnance conforme à l’alinéa </w:t>
      </w:r>
      <w:r w:rsidR="0050332D" w:rsidRPr="004C29A3">
        <w:rPr>
          <w:lang w:val="fr-CA"/>
        </w:rPr>
        <w:t>11.1</w:t>
      </w:r>
      <w:r w:rsidR="00C03ECF" w:rsidRPr="004C29A3">
        <w:rPr>
          <w:lang w:val="fr-CA"/>
        </w:rPr>
        <w:t> (</w:t>
      </w:r>
      <w:r w:rsidR="0050332D" w:rsidRPr="004C29A3">
        <w:rPr>
          <w:lang w:val="fr-CA"/>
        </w:rPr>
        <w:t>10)</w:t>
      </w:r>
      <w:r w:rsidR="00C03ECF" w:rsidRPr="004C29A3">
        <w:rPr>
          <w:lang w:val="fr-CA"/>
        </w:rPr>
        <w:t xml:space="preserve"> </w:t>
      </w:r>
      <w:r w:rsidR="0050332D" w:rsidRPr="004C29A3">
        <w:rPr>
          <w:lang w:val="fr-CA"/>
        </w:rPr>
        <w:t>d)</w:t>
      </w:r>
      <w:r w:rsidR="00C03ECF" w:rsidRPr="004C29A3">
        <w:rPr>
          <w:lang w:val="fr-CA"/>
        </w:rPr>
        <w:t xml:space="preserve"> portant que la juge de paix prenne des dispositions précises, telle que suivre une formation auprès d’une personne qualifiée</w:t>
      </w:r>
      <w:r w:rsidR="002475AE" w:rsidRPr="004C29A3">
        <w:rPr>
          <w:lang w:val="fr-CA"/>
        </w:rPr>
        <w:t>.</w:t>
      </w:r>
      <w:r w:rsidR="0050332D" w:rsidRPr="004C29A3">
        <w:rPr>
          <w:lang w:val="fr-CA"/>
        </w:rPr>
        <w:t xml:space="preserve"> </w:t>
      </w:r>
      <w:r w:rsidR="00C03ECF" w:rsidRPr="004C29A3">
        <w:rPr>
          <w:lang w:val="fr-CA"/>
        </w:rPr>
        <w:t>Le mentorat devrait consister en au moins deux sessions et devrait porter sur les sujets suivants : les observations conjointes, la jurisprudence obligatoire et non obligatoire, l’équité procédurale et comment éviter la perception d’inégalité ou d’un traitement différentiel</w:t>
      </w:r>
      <w:r w:rsidR="0050332D" w:rsidRPr="004C29A3">
        <w:rPr>
          <w:lang w:val="fr-CA"/>
        </w:rPr>
        <w:t>.</w:t>
      </w:r>
    </w:p>
    <w:p w14:paraId="2F2CCAC1" w14:textId="3C2F4EC0" w:rsidR="0087291E" w:rsidRPr="004C29A3" w:rsidRDefault="00011133" w:rsidP="004C29A3">
      <w:pPr>
        <w:pStyle w:val="AParaNumbering"/>
        <w:rPr>
          <w:lang w:val="fr-CA"/>
        </w:rPr>
      </w:pPr>
      <w:r>
        <w:t>[76]</w:t>
      </w:r>
      <w:r>
        <w:tab/>
      </w:r>
      <w:r w:rsidR="00E21ADC" w:rsidRPr="004C29A3">
        <w:rPr>
          <w:lang w:val="fr-CA"/>
        </w:rPr>
        <w:t xml:space="preserve">Le comité d’audition relève les commentaires du comité d’audition qui a présidé l’audience sur la conduite du juge de paix </w:t>
      </w:r>
      <w:r w:rsidR="0087291E" w:rsidRPr="004C29A3">
        <w:rPr>
          <w:lang w:val="fr-CA"/>
        </w:rPr>
        <w:t>Spadafora</w:t>
      </w:r>
      <w:r w:rsidR="0087291E" w:rsidRPr="004C29A3">
        <w:rPr>
          <w:rStyle w:val="FootnoteReference"/>
          <w:lang w:val="fr-CA"/>
        </w:rPr>
        <w:footnoteReference w:id="22"/>
      </w:r>
      <w:r w:rsidR="00E21ADC" w:rsidRPr="004C29A3">
        <w:rPr>
          <w:lang w:val="fr-CA"/>
        </w:rPr>
        <w:t xml:space="preserve"> </w:t>
      </w:r>
      <w:r w:rsidR="002475AE" w:rsidRPr="004C29A3">
        <w:rPr>
          <w:lang w:val="fr-CA"/>
        </w:rPr>
        <w:t>:</w:t>
      </w:r>
    </w:p>
    <w:p w14:paraId="646B0ED9" w14:textId="0A1F8FD6" w:rsidR="0087291E" w:rsidRPr="004C29A3" w:rsidRDefault="0087291E" w:rsidP="00011133">
      <w:pPr>
        <w:pStyle w:val="AParaNumbering"/>
        <w:spacing w:line="240" w:lineRule="auto"/>
        <w:ind w:left="851"/>
        <w:rPr>
          <w:lang w:val="fr-CA"/>
        </w:rPr>
      </w:pPr>
      <w:r w:rsidRPr="004C29A3">
        <w:rPr>
          <w:lang w:val="fr-CA"/>
        </w:rPr>
        <w:t>5.</w:t>
      </w:r>
      <w:r w:rsidR="005F64AC" w:rsidRPr="004C29A3">
        <w:rPr>
          <w:lang w:val="fr-CA"/>
        </w:rPr>
        <w:tab/>
        <w:t>Même si l’avocat chargé de la présentation consent à la divulgation des renseignements demandés au juge de paix et que les deux avocats demandent instamment au comité d’audition de communiquer les renseignements visés sans autres précisions ou restrictions quant à leur diffusion à d’autres personnes, le comité d’audition doit examiner la demande de divulgation portée devant lui de façon indépendante. Comme la Cour suprême du Canada l’a fait observer dans l’arrêt Ruffo c. Conseil de la Magistrature, [1995] 4 R.C.S. 267 au para. 72, le processus disciplinaire judiciaire « n'est-il pas de l'essence d'un litige dominé par une procédure contradictoire mais se veut plutôt l'expression de fonctions purement investigatrices, marquées par la recherche active de la vérité ». L’avocat chargé de la présentation expose son opinion, mais le comité d’audition a la responsabilité d’atteindre sa propre décision sur les questions portées devant lui.</w:t>
      </w:r>
      <w:r w:rsidRPr="004C29A3">
        <w:rPr>
          <w:lang w:val="fr-CA"/>
        </w:rPr>
        <w:t xml:space="preserve"> </w:t>
      </w:r>
    </w:p>
    <w:p w14:paraId="258EEAAF" w14:textId="01AE35B7" w:rsidR="00D12C1C" w:rsidRPr="004C29A3" w:rsidRDefault="00011133" w:rsidP="004C29A3">
      <w:pPr>
        <w:pStyle w:val="AParaNumbering"/>
        <w:rPr>
          <w:lang w:val="fr-CA"/>
        </w:rPr>
      </w:pPr>
      <w:r>
        <w:t>[77]</w:t>
      </w:r>
      <w:r>
        <w:tab/>
      </w:r>
      <w:r w:rsidR="00E21ADC" w:rsidRPr="004C29A3">
        <w:rPr>
          <w:lang w:val="fr-CA"/>
        </w:rPr>
        <w:t xml:space="preserve">L’approche à suivre pour déterminer la mesure appropriée a été décrite comme ceci par l’honorable juge </w:t>
      </w:r>
      <w:r w:rsidR="00884FA7" w:rsidRPr="004C29A3">
        <w:rPr>
          <w:lang w:val="fr-CA"/>
        </w:rPr>
        <w:t xml:space="preserve">Dennis O’Connor </w:t>
      </w:r>
      <w:r w:rsidR="00E21ADC" w:rsidRPr="004C29A3">
        <w:rPr>
          <w:i/>
          <w:lang w:val="fr-CA"/>
        </w:rPr>
        <w:t xml:space="preserve">Dans l’affaire d’une plainte en ce qui concerne l’honorable juge </w:t>
      </w:r>
      <w:r w:rsidR="00884FA7" w:rsidRPr="004C29A3">
        <w:rPr>
          <w:i/>
          <w:lang w:val="fr-CA"/>
        </w:rPr>
        <w:t>Lesley M. Baldwin, (</w:t>
      </w:r>
      <w:r w:rsidR="00005353">
        <w:rPr>
          <w:i/>
          <w:lang w:val="fr-CA"/>
        </w:rPr>
        <w:t>CMO</w:t>
      </w:r>
      <w:r w:rsidR="00884FA7" w:rsidRPr="004C29A3">
        <w:rPr>
          <w:i/>
          <w:lang w:val="fr-CA"/>
        </w:rPr>
        <w:t>, 2002)</w:t>
      </w:r>
      <w:r w:rsidR="00005353">
        <w:rPr>
          <w:i/>
          <w:lang w:val="fr-CA"/>
        </w:rPr>
        <w:t xml:space="preserve"> </w:t>
      </w:r>
      <w:r w:rsidR="00884FA7" w:rsidRPr="004C29A3">
        <w:rPr>
          <w:i/>
          <w:lang w:val="fr-CA"/>
        </w:rPr>
        <w:t>:</w:t>
      </w:r>
    </w:p>
    <w:p w14:paraId="76CE0ED1" w14:textId="7B6A4553" w:rsidR="00D12C1C" w:rsidRPr="004C29A3" w:rsidRDefault="005F64AC" w:rsidP="00442D4A">
      <w:pPr>
        <w:pStyle w:val="AParaNumbering"/>
        <w:spacing w:after="120" w:line="240" w:lineRule="auto"/>
        <w:ind w:left="851"/>
        <w:rPr>
          <w:lang w:val="fr-CA"/>
        </w:rPr>
      </w:pPr>
      <w:r w:rsidRPr="004C29A3">
        <w:rPr>
          <w:lang w:val="fr-CA"/>
        </w:rPr>
        <w:t>L’objet de l’instance sur une inconduite de la magistrature est essentiellement correctif. Les dispositions prévues à l’article 51.6(11) doivent être invoquées au besoin pour rétablir la confiance du public à la suite de la conduite du juge.</w:t>
      </w:r>
    </w:p>
    <w:p w14:paraId="5A1B608F" w14:textId="77777777" w:rsidR="00D12C1C" w:rsidRPr="004C29A3" w:rsidRDefault="00884FA7" w:rsidP="00442D4A">
      <w:pPr>
        <w:pStyle w:val="AParaNumbering"/>
        <w:spacing w:after="120" w:line="240" w:lineRule="auto"/>
        <w:ind w:left="851"/>
        <w:rPr>
          <w:lang w:val="fr-CA"/>
        </w:rPr>
      </w:pPr>
      <w:r w:rsidRPr="004C29A3">
        <w:rPr>
          <w:lang w:val="fr-CA"/>
        </w:rPr>
        <w:t>…</w:t>
      </w:r>
    </w:p>
    <w:p w14:paraId="675438DF" w14:textId="76FED122" w:rsidR="00D12C1C" w:rsidRPr="004C29A3" w:rsidRDefault="00E21ADC" w:rsidP="00442D4A">
      <w:pPr>
        <w:pStyle w:val="AParaNumbering"/>
        <w:spacing w:after="120" w:line="240" w:lineRule="auto"/>
        <w:ind w:left="851"/>
        <w:rPr>
          <w:i/>
          <w:lang w:val="fr-CA"/>
        </w:rPr>
      </w:pPr>
      <w:r w:rsidRPr="004C29A3">
        <w:rPr>
          <w:lang w:val="fr-CA"/>
        </w:rPr>
        <w:t xml:space="preserve">Une fois qu'il est établi qu'une mesure en vertu du par. </w:t>
      </w:r>
      <w:r w:rsidR="00884FA7" w:rsidRPr="004C29A3">
        <w:rPr>
          <w:lang w:val="fr-CA"/>
        </w:rPr>
        <w:t xml:space="preserve">56.6(11) </w:t>
      </w:r>
      <w:r w:rsidRPr="004C29A3">
        <w:rPr>
          <w:lang w:val="fr-CA"/>
        </w:rPr>
        <w:t xml:space="preserve">s'impose, nous devrions </w:t>
      </w:r>
      <w:r w:rsidRPr="004C29A3">
        <w:rPr>
          <w:rStyle w:val="Emphasis"/>
          <w:i w:val="0"/>
          <w:lang w:val="fr-CA"/>
        </w:rPr>
        <w:t xml:space="preserve">envisager en premier la mesure la moins grave, l'avertissement, et remonter une mesure à la fois jusqu'à la mesure la plus grave, la </w:t>
      </w:r>
      <w:r w:rsidRPr="004C29A3">
        <w:rPr>
          <w:rStyle w:val="Emphasis"/>
          <w:i w:val="0"/>
          <w:lang w:val="fr-CA"/>
        </w:rPr>
        <w:lastRenderedPageBreak/>
        <w:t>recommandation de destitution, et n'ordonner que la mesure qui est nécessaire pour rétablir la confiance du public envers le juge et l'administration de la justice en général</w:t>
      </w:r>
      <w:r w:rsidRPr="004C29A3">
        <w:rPr>
          <w:i/>
          <w:lang w:val="fr-CA"/>
        </w:rPr>
        <w:t>.</w:t>
      </w:r>
    </w:p>
    <w:p w14:paraId="70B43B8B" w14:textId="063E0AF9" w:rsidR="00D12C1C" w:rsidRPr="007B5A3D" w:rsidRDefault="007B5A3D" w:rsidP="004C29A3">
      <w:pPr>
        <w:pStyle w:val="AParaNumbering"/>
        <w:rPr>
          <w:lang w:val="fr-CA"/>
        </w:rPr>
      </w:pPr>
      <w:r>
        <w:t>[78]</w:t>
      </w:r>
      <w:r>
        <w:tab/>
      </w:r>
      <w:r w:rsidRPr="007B5A3D">
        <w:rPr>
          <w:lang w:val="fr-CA"/>
        </w:rPr>
        <w:t xml:space="preserve">Bien que cet extrait </w:t>
      </w:r>
      <w:r>
        <w:rPr>
          <w:lang w:val="fr-CA"/>
        </w:rPr>
        <w:t>porte sur l’approche à suivre dans des cas mettant en jeu des juges, la même approche s’applique pour déterminer la mesure appropriée parmi les mesures proposées par la Loi à l’égard de l’inconduite d’un juge de paix</w:t>
      </w:r>
      <w:r w:rsidR="00884FA7" w:rsidRPr="007B5A3D">
        <w:rPr>
          <w:lang w:val="fr-CA"/>
        </w:rPr>
        <w:t>.</w:t>
      </w:r>
    </w:p>
    <w:p w14:paraId="4D5D40C7" w14:textId="18C88A83" w:rsidR="00D12C1C" w:rsidRPr="004C29A3" w:rsidRDefault="007B5A3D" w:rsidP="004C29A3">
      <w:pPr>
        <w:pStyle w:val="AParaNumbering"/>
        <w:rPr>
          <w:lang w:val="fr-CA"/>
        </w:rPr>
      </w:pPr>
      <w:r>
        <w:t>[79]</w:t>
      </w:r>
      <w:r>
        <w:tab/>
      </w:r>
      <w:r w:rsidR="00E21ADC" w:rsidRPr="004C29A3">
        <w:rPr>
          <w:lang w:val="fr-CA"/>
        </w:rPr>
        <w:t xml:space="preserve">Comme la Cour suprême l’a fait remarquer dans l’affaire </w:t>
      </w:r>
      <w:r w:rsidR="00884FA7" w:rsidRPr="004C29A3">
        <w:rPr>
          <w:i/>
          <w:lang w:val="fr-CA"/>
        </w:rPr>
        <w:t>Therrien (R</w:t>
      </w:r>
      <w:r w:rsidR="006140B2" w:rsidRPr="004C29A3">
        <w:rPr>
          <w:i/>
          <w:lang w:val="fr-CA"/>
        </w:rPr>
        <w:t>e</w:t>
      </w:r>
      <w:r w:rsidR="00884FA7" w:rsidRPr="004C29A3">
        <w:rPr>
          <w:i/>
          <w:lang w:val="fr-CA"/>
        </w:rPr>
        <w:t>)</w:t>
      </w:r>
      <w:r w:rsidR="00884FA7" w:rsidRPr="004C29A3">
        <w:rPr>
          <w:lang w:val="fr-CA"/>
        </w:rPr>
        <w:t xml:space="preserve">, 2001 </w:t>
      </w:r>
      <w:r w:rsidR="00E21ADC" w:rsidRPr="004C29A3">
        <w:rPr>
          <w:lang w:val="fr-CA"/>
        </w:rPr>
        <w:t>CSC</w:t>
      </w:r>
      <w:r w:rsidR="00884FA7" w:rsidRPr="004C29A3">
        <w:rPr>
          <w:lang w:val="fr-CA"/>
        </w:rPr>
        <w:t xml:space="preserve"> 35 a</w:t>
      </w:r>
      <w:r w:rsidR="00E21ADC" w:rsidRPr="004C29A3">
        <w:rPr>
          <w:lang w:val="fr-CA"/>
        </w:rPr>
        <w:t>ux</w:t>
      </w:r>
      <w:r w:rsidR="00884FA7" w:rsidRPr="004C29A3">
        <w:rPr>
          <w:lang w:val="fr-CA"/>
        </w:rPr>
        <w:t xml:space="preserve"> paras. 110 </w:t>
      </w:r>
      <w:r w:rsidR="00E21ADC" w:rsidRPr="004C29A3">
        <w:rPr>
          <w:lang w:val="fr-CA"/>
        </w:rPr>
        <w:t xml:space="preserve">et </w:t>
      </w:r>
      <w:r w:rsidR="00884FA7" w:rsidRPr="004C29A3">
        <w:rPr>
          <w:lang w:val="fr-CA"/>
        </w:rPr>
        <w:t>111</w:t>
      </w:r>
      <w:r w:rsidR="00E21ADC" w:rsidRPr="004C29A3">
        <w:rPr>
          <w:lang w:val="fr-CA"/>
        </w:rPr>
        <w:t xml:space="preserve"> </w:t>
      </w:r>
      <w:r w:rsidR="00884FA7" w:rsidRPr="004C29A3">
        <w:rPr>
          <w:lang w:val="fr-CA"/>
        </w:rPr>
        <w:t>:</w:t>
      </w:r>
    </w:p>
    <w:p w14:paraId="0D8AE0BF" w14:textId="05CC135B" w:rsidR="00D12C1C" w:rsidRPr="004C29A3" w:rsidRDefault="00884FA7" w:rsidP="00727002">
      <w:pPr>
        <w:pStyle w:val="AParaNumbering"/>
        <w:spacing w:line="240" w:lineRule="auto"/>
        <w:ind w:left="851"/>
        <w:rPr>
          <w:lang w:val="fr-CA"/>
        </w:rPr>
      </w:pPr>
      <w:r w:rsidRPr="004C29A3">
        <w:rPr>
          <w:lang w:val="fr-CA"/>
        </w:rPr>
        <w:t xml:space="preserve">110. … </w:t>
      </w:r>
      <w:r w:rsidR="00E21ADC" w:rsidRPr="004C29A3">
        <w:rPr>
          <w:lang w:val="fr-CA"/>
        </w:rPr>
        <w:t>les qualités personnelles, la conduite et l'image que le juge projette sont tributaires de celles de l'ensemble du système judiciaire et, par le fait même, de la confiance que le public place en celui-ci. Le maintien de cette confiance du public en son système de justice est garant de son efficacité et de son bon fonctionnement. Bien plus, la confiance du public assure le bien-être général et la paix sociale en maintenant un État de droit. Dans un ouvrage destiné à ses membres, le Conseil canadien de la magistrature explique :</w:t>
      </w:r>
    </w:p>
    <w:p w14:paraId="23DCB9AF" w14:textId="544DFAA5" w:rsidR="00D12C1C" w:rsidRPr="004C29A3" w:rsidRDefault="00E21ADC" w:rsidP="00172211">
      <w:pPr>
        <w:pStyle w:val="AParaNumbering"/>
        <w:spacing w:line="240" w:lineRule="auto"/>
        <w:ind w:left="851"/>
        <w:rPr>
          <w:lang w:val="fr-CA"/>
        </w:rPr>
      </w:pPr>
      <w:r w:rsidRPr="004C29A3">
        <w:rPr>
          <w:lang w:val="fr-CA"/>
        </w:rPr>
        <w:t>La confiance et le respect que le public porte à la magistrature sont essentiels à l'efficacité de notre système de justice et, ultimement, à l'existence d'une démocratie fondée sur la primauté du droit. De nombreux facteurs peuvent ébranler la confiance et le respect du public à l'égard de la magistrature, notamment : des critiques injustifiées ou malavisées; de simples malentendus sur le rôle de la magistrature; ou encore toute conduite de juges, en cour ou hors cour, démontrant un manque d'intégrité. Par conséquent, les juges doivent s'efforcer d'avoir une conduite qui leur mérite le respect du public et ils doivent cultiver une image d'intégrité, d'impartialité et de bon jugement.</w:t>
      </w:r>
    </w:p>
    <w:p w14:paraId="495E82E6" w14:textId="61BBDBD0" w:rsidR="00F31E22" w:rsidRPr="004C29A3" w:rsidRDefault="00172211" w:rsidP="0034663F">
      <w:pPr>
        <w:pStyle w:val="AParaNumbering"/>
        <w:spacing w:line="240" w:lineRule="auto"/>
        <w:ind w:left="851"/>
        <w:rPr>
          <w:lang w:val="fr-CA"/>
        </w:rPr>
      </w:pPr>
      <w:r w:rsidRPr="004C29A3">
        <w:rPr>
          <w:lang w:val="fr-CA"/>
        </w:rPr>
        <w:t>(</w:t>
      </w:r>
      <w:r w:rsidRPr="004C29A3">
        <w:rPr>
          <w:rFonts w:eastAsia="Arial Unicode MS"/>
          <w:u w:color="000000"/>
          <w:bdr w:val="nil"/>
          <w:lang w:val="fr-CA"/>
        </w:rPr>
        <w:t>Conseil canadien de la magistrature</w:t>
      </w:r>
      <w:r w:rsidRPr="004C29A3">
        <w:rPr>
          <w:lang w:val="fr-CA"/>
        </w:rPr>
        <w:t xml:space="preserve">, </w:t>
      </w:r>
      <w:r w:rsidRPr="004C29A3">
        <w:rPr>
          <w:rFonts w:eastAsia="Arial Unicode MS"/>
          <w:i/>
          <w:u w:color="000000"/>
          <w:bdr w:val="nil"/>
          <w:lang w:val="fr-CA"/>
        </w:rPr>
        <w:t>Principes de déontologie judiciaire</w:t>
      </w:r>
      <w:r w:rsidRPr="004C29A3">
        <w:rPr>
          <w:rFonts w:eastAsia="Arial Unicode MS"/>
          <w:u w:color="000000"/>
          <w:bdr w:val="nil"/>
          <w:lang w:val="fr-CA"/>
        </w:rPr>
        <w:t xml:space="preserve"> </w:t>
      </w:r>
      <w:r w:rsidRPr="004C29A3">
        <w:rPr>
          <w:lang w:val="fr-CA"/>
        </w:rPr>
        <w:t>(1998), p. 14)</w:t>
      </w:r>
    </w:p>
    <w:p w14:paraId="65CC2E30" w14:textId="0A9DC5D9" w:rsidR="00D12C1C" w:rsidRPr="004C29A3" w:rsidRDefault="00D12C1C" w:rsidP="004C29A3">
      <w:pPr>
        <w:pStyle w:val="AParaNumbering"/>
        <w:rPr>
          <w:lang w:val="fr-CA"/>
        </w:rPr>
      </w:pPr>
    </w:p>
    <w:p w14:paraId="6F5274FA" w14:textId="77777777" w:rsidR="00F31E22" w:rsidRPr="004C29A3" w:rsidRDefault="00F31E22" w:rsidP="004C29A3">
      <w:pPr>
        <w:pStyle w:val="AParaNumbering"/>
        <w:rPr>
          <w:lang w:val="fr-CA"/>
        </w:rPr>
      </w:pPr>
    </w:p>
    <w:p w14:paraId="6514C971" w14:textId="6F12ECC8" w:rsidR="00D12C1C" w:rsidRPr="004C29A3" w:rsidRDefault="00884FA7" w:rsidP="00BD30F5">
      <w:pPr>
        <w:pStyle w:val="AParaNumbering"/>
        <w:spacing w:line="240" w:lineRule="auto"/>
        <w:ind w:left="851"/>
        <w:rPr>
          <w:lang w:val="fr-CA"/>
        </w:rPr>
      </w:pPr>
      <w:r w:rsidRPr="004C29A3">
        <w:rPr>
          <w:lang w:val="fr-CA"/>
        </w:rPr>
        <w:t xml:space="preserve">111.  </w:t>
      </w:r>
      <w:r w:rsidR="00E21ADC" w:rsidRPr="004C29A3">
        <w:rPr>
          <w:lang w:val="fr-CA"/>
        </w:rPr>
        <w:t>La population exigera donc de celui qui exerce une fonction judiciaire une conduite quasi irréprochable. À tout le moins exigera-t-on qu'il paraisse avoir un tel comportement. Il devra être et donner l'apparence d'être un exemple d'impartialité, d'indépendance et d'intégrité. Les exigences à son endroit se situent à un niveau bien supérieur à celui de ses concitoyens.</w:t>
      </w:r>
    </w:p>
    <w:p w14:paraId="6980E45E" w14:textId="1C607DA5" w:rsidR="00D12C1C" w:rsidRPr="004C29A3" w:rsidRDefault="00BD30F5" w:rsidP="004C29A3">
      <w:pPr>
        <w:pStyle w:val="AParaNumbering"/>
        <w:rPr>
          <w:lang w:val="fr-CA"/>
        </w:rPr>
      </w:pPr>
      <w:r>
        <w:lastRenderedPageBreak/>
        <w:t>[80]</w:t>
      </w:r>
      <w:r>
        <w:tab/>
      </w:r>
      <w:r w:rsidR="00BA7EA8" w:rsidRPr="004C29A3">
        <w:rPr>
          <w:lang w:val="fr-CA"/>
        </w:rPr>
        <w:t xml:space="preserve">Des décisions antérieures du Conseil </w:t>
      </w:r>
      <w:r w:rsidR="002A65AA">
        <w:rPr>
          <w:lang w:val="fr-CA"/>
        </w:rPr>
        <w:t xml:space="preserve">d’évaluation </w:t>
      </w:r>
      <w:r w:rsidR="00BA7EA8" w:rsidRPr="004C29A3">
        <w:rPr>
          <w:lang w:val="fr-CA"/>
        </w:rPr>
        <w:t xml:space="preserve">ont établi dix facteurs pertinents à prendre en considération pour évaluer la mesure qu’il convient de prendre en vertu du paragraphe </w:t>
      </w:r>
      <w:r w:rsidR="00884FA7" w:rsidRPr="004C29A3">
        <w:rPr>
          <w:lang w:val="fr-CA"/>
        </w:rPr>
        <w:t>11.1</w:t>
      </w:r>
      <w:r w:rsidR="00BA7EA8" w:rsidRPr="004C29A3">
        <w:rPr>
          <w:lang w:val="fr-CA"/>
        </w:rPr>
        <w:t> </w:t>
      </w:r>
      <w:r w:rsidR="00884FA7" w:rsidRPr="004C29A3">
        <w:rPr>
          <w:lang w:val="fr-CA"/>
        </w:rPr>
        <w:t>(10)</w:t>
      </w:r>
      <w:r w:rsidR="00BA7EA8" w:rsidRPr="004C29A3">
        <w:rPr>
          <w:lang w:val="fr-CA"/>
        </w:rPr>
        <w:t> </w:t>
      </w:r>
      <w:r w:rsidR="00884FA7" w:rsidRPr="004C29A3">
        <w:rPr>
          <w:lang w:val="fr-CA"/>
        </w:rPr>
        <w:t>:</w:t>
      </w:r>
    </w:p>
    <w:p w14:paraId="10C5CEB5" w14:textId="1BCBFDD1" w:rsidR="00D12C1C" w:rsidRPr="004C29A3" w:rsidRDefault="00E21ADC" w:rsidP="004C29A3">
      <w:pPr>
        <w:pStyle w:val="AParaNumbering"/>
        <w:numPr>
          <w:ilvl w:val="0"/>
          <w:numId w:val="14"/>
        </w:numPr>
        <w:rPr>
          <w:lang w:val="fr-CA"/>
        </w:rPr>
      </w:pPr>
      <w:r w:rsidRPr="004C29A3">
        <w:rPr>
          <w:lang w:val="fr-CA"/>
        </w:rPr>
        <w:t>Si l’inconduite est un incident isolé ou si elle s’inscrit dans une suite d’inconduites</w:t>
      </w:r>
      <w:r w:rsidR="00884FA7" w:rsidRPr="004C29A3">
        <w:rPr>
          <w:lang w:val="fr-CA"/>
        </w:rPr>
        <w:t>;</w:t>
      </w:r>
    </w:p>
    <w:p w14:paraId="0F97A017" w14:textId="418F6897" w:rsidR="00D12C1C" w:rsidRPr="004C29A3" w:rsidRDefault="00E21ADC" w:rsidP="004C29A3">
      <w:pPr>
        <w:pStyle w:val="AParaNumbering"/>
        <w:numPr>
          <w:ilvl w:val="0"/>
          <w:numId w:val="14"/>
        </w:numPr>
        <w:rPr>
          <w:lang w:val="fr-CA"/>
        </w:rPr>
      </w:pPr>
      <w:r w:rsidRPr="004C29A3">
        <w:rPr>
          <w:lang w:val="fr-CA"/>
        </w:rPr>
        <w:t>La nature, l’étendue et la fréquence des actes d’inconduite</w:t>
      </w:r>
      <w:r w:rsidR="00884FA7" w:rsidRPr="004C29A3">
        <w:rPr>
          <w:lang w:val="fr-CA"/>
        </w:rPr>
        <w:t>;</w:t>
      </w:r>
    </w:p>
    <w:p w14:paraId="46E55DE2" w14:textId="2E64BFEF" w:rsidR="00D12C1C" w:rsidRPr="004C29A3" w:rsidRDefault="00E21ADC" w:rsidP="004C29A3">
      <w:pPr>
        <w:pStyle w:val="AParaNumbering"/>
        <w:numPr>
          <w:ilvl w:val="0"/>
          <w:numId w:val="14"/>
        </w:numPr>
        <w:rPr>
          <w:lang w:val="fr-CA"/>
        </w:rPr>
      </w:pPr>
      <w:r w:rsidRPr="004C29A3">
        <w:rPr>
          <w:lang w:val="fr-CA"/>
        </w:rPr>
        <w:t>Si la conduite s’est produite à l’intérieur ou à l’extérieur de la salle d’audience</w:t>
      </w:r>
      <w:r w:rsidR="00884FA7" w:rsidRPr="004C29A3">
        <w:rPr>
          <w:lang w:val="fr-CA"/>
        </w:rPr>
        <w:t>;</w:t>
      </w:r>
    </w:p>
    <w:p w14:paraId="684F8489" w14:textId="690ED18A" w:rsidR="00D12C1C" w:rsidRPr="004C29A3" w:rsidRDefault="00E21ADC" w:rsidP="004C29A3">
      <w:pPr>
        <w:pStyle w:val="AParaNumbering"/>
        <w:numPr>
          <w:ilvl w:val="0"/>
          <w:numId w:val="14"/>
        </w:numPr>
        <w:rPr>
          <w:lang w:val="fr-CA"/>
        </w:rPr>
      </w:pPr>
      <w:r w:rsidRPr="004C29A3">
        <w:rPr>
          <w:lang w:val="fr-CA"/>
        </w:rPr>
        <w:t>Si l’inconduite a eu lieu dans l’exercice des fonctions du juge ou dans sa vie privée</w:t>
      </w:r>
      <w:r w:rsidR="00884FA7" w:rsidRPr="004C29A3">
        <w:rPr>
          <w:lang w:val="fr-CA"/>
        </w:rPr>
        <w:t>;</w:t>
      </w:r>
    </w:p>
    <w:p w14:paraId="4D9C6904" w14:textId="169A29BD" w:rsidR="00D12C1C" w:rsidRPr="004C29A3" w:rsidRDefault="00E21ADC" w:rsidP="004C29A3">
      <w:pPr>
        <w:pStyle w:val="AParaNumbering"/>
        <w:numPr>
          <w:ilvl w:val="0"/>
          <w:numId w:val="14"/>
        </w:numPr>
        <w:rPr>
          <w:lang w:val="fr-CA"/>
        </w:rPr>
      </w:pPr>
      <w:r w:rsidRPr="004C29A3">
        <w:rPr>
          <w:lang w:val="fr-CA"/>
        </w:rPr>
        <w:t>Si le juge a reconnu que les faits ont eu lieu</w:t>
      </w:r>
      <w:r w:rsidR="00884FA7" w:rsidRPr="004C29A3">
        <w:rPr>
          <w:lang w:val="fr-CA"/>
        </w:rPr>
        <w:t>;</w:t>
      </w:r>
    </w:p>
    <w:p w14:paraId="047591DA" w14:textId="65FA5575" w:rsidR="00D12C1C" w:rsidRPr="004C29A3" w:rsidRDefault="00E21ADC" w:rsidP="004C29A3">
      <w:pPr>
        <w:pStyle w:val="AParaNumbering"/>
        <w:numPr>
          <w:ilvl w:val="0"/>
          <w:numId w:val="14"/>
        </w:numPr>
        <w:rPr>
          <w:lang w:val="fr-CA"/>
        </w:rPr>
      </w:pPr>
      <w:r w:rsidRPr="004C29A3">
        <w:rPr>
          <w:lang w:val="fr-CA"/>
        </w:rPr>
        <w:t>Si le juge a démontré des efforts en vue de modifier ou corriger sa conduite</w:t>
      </w:r>
      <w:r w:rsidR="00884FA7" w:rsidRPr="004C29A3">
        <w:rPr>
          <w:lang w:val="fr-CA"/>
        </w:rPr>
        <w:t>;</w:t>
      </w:r>
    </w:p>
    <w:p w14:paraId="2D69120B" w14:textId="70FAC448" w:rsidR="00D12C1C" w:rsidRPr="004C29A3" w:rsidRDefault="00E21ADC" w:rsidP="004C29A3">
      <w:pPr>
        <w:pStyle w:val="AParaNumbering"/>
        <w:numPr>
          <w:ilvl w:val="0"/>
          <w:numId w:val="14"/>
        </w:numPr>
        <w:rPr>
          <w:lang w:val="fr-CA"/>
        </w:rPr>
      </w:pPr>
      <w:r w:rsidRPr="004C29A3">
        <w:rPr>
          <w:lang w:val="fr-CA"/>
        </w:rPr>
        <w:t>La durée de service du juge</w:t>
      </w:r>
      <w:r w:rsidR="00884FA7" w:rsidRPr="004C29A3">
        <w:rPr>
          <w:lang w:val="fr-CA"/>
        </w:rPr>
        <w:t>;</w:t>
      </w:r>
    </w:p>
    <w:p w14:paraId="32E5EC2A" w14:textId="1376656B" w:rsidR="00D12C1C" w:rsidRPr="004C29A3" w:rsidRDefault="00E21ADC" w:rsidP="004C29A3">
      <w:pPr>
        <w:pStyle w:val="AParaNumbering"/>
        <w:numPr>
          <w:ilvl w:val="0"/>
          <w:numId w:val="14"/>
        </w:numPr>
        <w:rPr>
          <w:lang w:val="fr-CA"/>
        </w:rPr>
      </w:pPr>
      <w:r w:rsidRPr="004C29A3">
        <w:rPr>
          <w:lang w:val="fr-CA"/>
        </w:rPr>
        <w:t>Si des plaintes ont déjà été déposées par le passé contre le juge</w:t>
      </w:r>
      <w:r w:rsidR="00884FA7" w:rsidRPr="004C29A3">
        <w:rPr>
          <w:lang w:val="fr-CA"/>
        </w:rPr>
        <w:t>;</w:t>
      </w:r>
    </w:p>
    <w:p w14:paraId="41CBD92D" w14:textId="2F85328B" w:rsidR="00F64FD7" w:rsidRPr="004C29A3" w:rsidRDefault="00E21ADC" w:rsidP="004C29A3">
      <w:pPr>
        <w:pStyle w:val="AParaNumbering"/>
        <w:numPr>
          <w:ilvl w:val="0"/>
          <w:numId w:val="14"/>
        </w:numPr>
        <w:rPr>
          <w:lang w:val="fr-CA"/>
        </w:rPr>
      </w:pPr>
      <w:r w:rsidRPr="004C29A3">
        <w:rPr>
          <w:lang w:val="fr-CA"/>
        </w:rPr>
        <w:t>Les répercussions de l’inconduite sur l’intégrité et le respect de la magistrature</w:t>
      </w:r>
      <w:r w:rsidR="00247B7B" w:rsidRPr="004C29A3">
        <w:rPr>
          <w:lang w:val="fr-CA"/>
        </w:rPr>
        <w:t>,</w:t>
      </w:r>
    </w:p>
    <w:p w14:paraId="73ABFAD5" w14:textId="23339782" w:rsidR="00F64FD7" w:rsidRPr="004C29A3" w:rsidRDefault="00E21ADC" w:rsidP="004C29A3">
      <w:pPr>
        <w:pStyle w:val="AParaNumbering"/>
        <w:numPr>
          <w:ilvl w:val="0"/>
          <w:numId w:val="14"/>
        </w:numPr>
        <w:rPr>
          <w:lang w:val="fr-CA"/>
        </w:rPr>
      </w:pPr>
      <w:r w:rsidRPr="004C29A3">
        <w:rPr>
          <w:lang w:val="fr-CA"/>
        </w:rPr>
        <w:t>La mesure dont le juge a profité de sa position pour satisfaire des désirs personnels</w:t>
      </w:r>
      <w:r w:rsidR="00642032" w:rsidRPr="004C29A3">
        <w:rPr>
          <w:rStyle w:val="FootnoteReference"/>
          <w:lang w:val="fr-CA"/>
        </w:rPr>
        <w:footnoteReference w:id="23"/>
      </w:r>
      <w:r w:rsidR="00094802" w:rsidRPr="004C29A3">
        <w:rPr>
          <w:lang w:val="fr-CA"/>
        </w:rPr>
        <w:t>.</w:t>
      </w:r>
      <w:r w:rsidR="00EB53B6" w:rsidRPr="004C29A3">
        <w:rPr>
          <w:lang w:val="fr-CA"/>
        </w:rPr>
        <w:t xml:space="preserve"> [TRADUCTION]</w:t>
      </w:r>
    </w:p>
    <w:p w14:paraId="0C3056C6" w14:textId="1E00BE59" w:rsidR="006F478D" w:rsidRPr="004C29A3" w:rsidRDefault="001714FA" w:rsidP="0013058F">
      <w:pPr>
        <w:pStyle w:val="Heading2"/>
        <w:rPr>
          <w:rFonts w:ascii="Arial" w:hAnsi="Arial" w:cs="Arial"/>
          <w:b/>
          <w:color w:val="000000" w:themeColor="text1"/>
          <w:sz w:val="24"/>
          <w:szCs w:val="24"/>
          <w:lang w:val="fr-CA"/>
        </w:rPr>
      </w:pPr>
      <w:r w:rsidRPr="004C29A3">
        <w:rPr>
          <w:rFonts w:ascii="Arial" w:hAnsi="Arial" w:cs="Arial"/>
          <w:b/>
          <w:color w:val="000000" w:themeColor="text1"/>
          <w:sz w:val="24"/>
          <w:szCs w:val="24"/>
          <w:lang w:val="fr-CA"/>
        </w:rPr>
        <w:t xml:space="preserve">Facteurs aggravants </w:t>
      </w:r>
    </w:p>
    <w:p w14:paraId="7BA15697" w14:textId="77777777" w:rsidR="0013058F" w:rsidRPr="004C29A3" w:rsidRDefault="0013058F" w:rsidP="0013058F">
      <w:pPr>
        <w:rPr>
          <w:lang w:val="fr-CA"/>
        </w:rPr>
      </w:pPr>
    </w:p>
    <w:p w14:paraId="4C5CA0FB" w14:textId="478A0553" w:rsidR="00D12C1C" w:rsidRPr="004C29A3" w:rsidRDefault="00E1306C" w:rsidP="004C29A3">
      <w:pPr>
        <w:pStyle w:val="AParaNumbering"/>
        <w:rPr>
          <w:lang w:val="fr-CA"/>
        </w:rPr>
      </w:pPr>
      <w:r>
        <w:t>[81]</w:t>
      </w:r>
      <w:r>
        <w:tab/>
      </w:r>
      <w:r w:rsidR="001714FA" w:rsidRPr="004C29A3">
        <w:rPr>
          <w:lang w:val="fr-CA"/>
        </w:rPr>
        <w:t xml:space="preserve">Le comité d’audition estime que le fait que la juge de paix ait omis de façon répétée d’être diligente dans sa connaissance de la loi et l’application de la loi, bien </w:t>
      </w:r>
      <w:r w:rsidR="001714FA" w:rsidRPr="004C29A3">
        <w:rPr>
          <w:lang w:val="fr-CA"/>
        </w:rPr>
        <w:lastRenderedPageBreak/>
        <w:t>que ce point ait été porté à son attention à quelques reprises, constitue un facteur aggravant. Il ne s’agissait pas d’un incident isolé, mais d’un</w:t>
      </w:r>
      <w:r w:rsidR="008B57AC" w:rsidRPr="004C29A3">
        <w:rPr>
          <w:lang w:val="fr-CA"/>
        </w:rPr>
        <w:t xml:space="preserve"> comportement persistant</w:t>
      </w:r>
      <w:r w:rsidR="00884FA7" w:rsidRPr="004C29A3">
        <w:rPr>
          <w:lang w:val="fr-CA"/>
        </w:rPr>
        <w:t>.</w:t>
      </w:r>
    </w:p>
    <w:p w14:paraId="75530895" w14:textId="4D916295" w:rsidR="00161D7D" w:rsidRPr="004C29A3" w:rsidRDefault="00E1306C" w:rsidP="004C29A3">
      <w:pPr>
        <w:pStyle w:val="AParaNumbering"/>
        <w:rPr>
          <w:lang w:val="fr-CA"/>
        </w:rPr>
      </w:pPr>
      <w:r>
        <w:t>[82]</w:t>
      </w:r>
      <w:r>
        <w:tab/>
      </w:r>
      <w:r w:rsidR="008B57AC" w:rsidRPr="004C29A3">
        <w:rPr>
          <w:lang w:val="fr-CA"/>
        </w:rPr>
        <w:t>Le manque de diligence dont a fait preuve la juge de paix a abouti à une mauvaise application de la loi, dans sa salle d’audience, à l’égard de plusieurs questions, dans de multiples dossiers, sur une période de presque une année</w:t>
      </w:r>
      <w:r w:rsidR="00884FA7" w:rsidRPr="004C29A3">
        <w:rPr>
          <w:lang w:val="fr-CA"/>
        </w:rPr>
        <w:t>.</w:t>
      </w:r>
    </w:p>
    <w:p w14:paraId="07404FCD" w14:textId="142446D2" w:rsidR="00D12C1C" w:rsidRPr="004C29A3" w:rsidRDefault="008B57AC" w:rsidP="0013058F">
      <w:pPr>
        <w:pStyle w:val="Heading2"/>
        <w:rPr>
          <w:rFonts w:ascii="Arial" w:hAnsi="Arial" w:cs="Arial"/>
          <w:b/>
          <w:color w:val="000000" w:themeColor="text1"/>
          <w:sz w:val="24"/>
          <w:szCs w:val="24"/>
          <w:lang w:val="fr-CA"/>
        </w:rPr>
      </w:pPr>
      <w:r w:rsidRPr="004C29A3">
        <w:rPr>
          <w:rFonts w:ascii="Arial" w:hAnsi="Arial" w:cs="Arial"/>
          <w:b/>
          <w:color w:val="000000" w:themeColor="text1"/>
          <w:sz w:val="24"/>
          <w:szCs w:val="24"/>
          <w:lang w:val="fr-CA"/>
        </w:rPr>
        <w:t>Facteurs atténuants</w:t>
      </w:r>
    </w:p>
    <w:p w14:paraId="08D4356E" w14:textId="77777777" w:rsidR="0013058F" w:rsidRPr="004C29A3" w:rsidRDefault="0013058F" w:rsidP="0013058F">
      <w:pPr>
        <w:rPr>
          <w:lang w:val="fr-CA"/>
        </w:rPr>
      </w:pPr>
    </w:p>
    <w:p w14:paraId="49421761" w14:textId="7DEACCBB" w:rsidR="00D12C1C" w:rsidRPr="004C29A3" w:rsidRDefault="00E1306C" w:rsidP="004C29A3">
      <w:pPr>
        <w:pStyle w:val="AParaNumbering"/>
        <w:rPr>
          <w:lang w:val="fr-CA"/>
        </w:rPr>
      </w:pPr>
      <w:r>
        <w:t>[83]</w:t>
      </w:r>
      <w:r>
        <w:tab/>
      </w:r>
      <w:r w:rsidR="00B545D8" w:rsidRPr="004C29A3">
        <w:rPr>
          <w:lang w:val="fr-CA"/>
        </w:rPr>
        <w:t xml:space="preserve">La juge de paix </w:t>
      </w:r>
      <w:r w:rsidR="00884FA7" w:rsidRPr="004C29A3">
        <w:rPr>
          <w:lang w:val="fr-CA"/>
        </w:rPr>
        <w:t xml:space="preserve">Romagnoli </w:t>
      </w:r>
      <w:r w:rsidR="00B545D8" w:rsidRPr="004C29A3">
        <w:rPr>
          <w:lang w:val="fr-CA"/>
        </w:rPr>
        <w:t xml:space="preserve">préside des audiences en qualité de juge de paix depuis </w:t>
      </w:r>
      <w:r w:rsidR="00884FA7" w:rsidRPr="004C29A3">
        <w:rPr>
          <w:lang w:val="fr-CA"/>
        </w:rPr>
        <w:t>1992 (</w:t>
      </w:r>
      <w:r w:rsidR="00B545D8" w:rsidRPr="004C29A3">
        <w:rPr>
          <w:lang w:val="fr-CA"/>
        </w:rPr>
        <w:t>c’est-dire environ 26 ans</w:t>
      </w:r>
      <w:r w:rsidR="00094802" w:rsidRPr="004C29A3">
        <w:rPr>
          <w:lang w:val="fr-CA"/>
        </w:rPr>
        <w:t xml:space="preserve">). </w:t>
      </w:r>
      <w:r w:rsidR="00C27A0F" w:rsidRPr="004C29A3">
        <w:rPr>
          <w:lang w:val="fr-CA"/>
        </w:rPr>
        <w:t xml:space="preserve">La juge de paix a rempli les fonctions de juge de paix et chef régionale de l'administration pour le tribunal de </w:t>
      </w:r>
      <w:r w:rsidR="00884FA7" w:rsidRPr="004C29A3">
        <w:rPr>
          <w:lang w:val="fr-CA"/>
        </w:rPr>
        <w:t xml:space="preserve">Newmarket </w:t>
      </w:r>
      <w:r w:rsidR="00C27A0F" w:rsidRPr="004C29A3">
        <w:rPr>
          <w:lang w:val="fr-CA"/>
        </w:rPr>
        <w:t xml:space="preserve">pendant plus de neuf ans. Elle a contribué à l’élaboration et </w:t>
      </w:r>
      <w:r>
        <w:rPr>
          <w:lang w:val="fr-CA"/>
        </w:rPr>
        <w:t xml:space="preserve">à </w:t>
      </w:r>
      <w:r w:rsidR="00C27A0F" w:rsidRPr="004C29A3">
        <w:rPr>
          <w:lang w:val="fr-CA"/>
        </w:rPr>
        <w:t xml:space="preserve">la mise en œuvre de multiples initiatives </w:t>
      </w:r>
      <w:r w:rsidR="00884FA7" w:rsidRPr="004C29A3">
        <w:rPr>
          <w:lang w:val="fr-CA"/>
        </w:rPr>
        <w:t>:</w:t>
      </w:r>
    </w:p>
    <w:p w14:paraId="0787CF04" w14:textId="33BD1ED7" w:rsidR="00D12C1C" w:rsidRPr="004C29A3" w:rsidRDefault="00C27A0F" w:rsidP="004C29A3">
      <w:pPr>
        <w:pStyle w:val="AParaNumbering"/>
        <w:numPr>
          <w:ilvl w:val="0"/>
          <w:numId w:val="7"/>
        </w:numPr>
        <w:rPr>
          <w:lang w:val="fr-CA"/>
        </w:rPr>
      </w:pPr>
      <w:r w:rsidRPr="004C29A3">
        <w:rPr>
          <w:lang w:val="fr-CA"/>
        </w:rPr>
        <w:t xml:space="preserve">Sous la direction des juges </w:t>
      </w:r>
      <w:r w:rsidR="00884FA7" w:rsidRPr="004C29A3">
        <w:rPr>
          <w:lang w:val="fr-CA"/>
        </w:rPr>
        <w:t xml:space="preserve">Gorewich </w:t>
      </w:r>
      <w:r w:rsidRPr="004C29A3">
        <w:rPr>
          <w:lang w:val="fr-CA"/>
        </w:rPr>
        <w:t>et</w:t>
      </w:r>
      <w:r w:rsidR="00884FA7" w:rsidRPr="004C29A3">
        <w:rPr>
          <w:lang w:val="fr-CA"/>
        </w:rPr>
        <w:t xml:space="preserve"> Wong, </w:t>
      </w:r>
      <w:r w:rsidRPr="004C29A3">
        <w:rPr>
          <w:lang w:val="fr-CA"/>
        </w:rPr>
        <w:t xml:space="preserve">elle a mis en œuvre le transfert de la responsabilité des tribunaux de première comparution et des audiences de mise au rôle, pour les affaires criminelles, aux juges de paix, à </w:t>
      </w:r>
      <w:r w:rsidR="00884FA7" w:rsidRPr="004C29A3">
        <w:rPr>
          <w:lang w:val="fr-CA"/>
        </w:rPr>
        <w:t>Newmarket;</w:t>
      </w:r>
    </w:p>
    <w:p w14:paraId="001D79B7" w14:textId="6D64788F" w:rsidR="00D12C1C" w:rsidRPr="004C29A3" w:rsidRDefault="00C27A0F" w:rsidP="004C29A3">
      <w:pPr>
        <w:pStyle w:val="AParaNumbering"/>
        <w:numPr>
          <w:ilvl w:val="0"/>
          <w:numId w:val="7"/>
        </w:numPr>
        <w:rPr>
          <w:lang w:val="fr-CA"/>
        </w:rPr>
      </w:pPr>
      <w:r w:rsidRPr="004C29A3">
        <w:rPr>
          <w:lang w:val="fr-CA"/>
        </w:rPr>
        <w:t>En juillet</w:t>
      </w:r>
      <w:r w:rsidR="00884FA7" w:rsidRPr="004C29A3">
        <w:rPr>
          <w:lang w:val="fr-CA"/>
        </w:rPr>
        <w:t xml:space="preserve"> 2002, </w:t>
      </w:r>
      <w:r w:rsidRPr="004C29A3">
        <w:rPr>
          <w:lang w:val="fr-CA"/>
        </w:rPr>
        <w:t>elle a participé à l’ouverture du tribunal des fins de semaine et des jours fériés, dans le cadre du Projet d'intégration du système judiciaire</w:t>
      </w:r>
      <w:r w:rsidR="00884FA7" w:rsidRPr="004C29A3">
        <w:rPr>
          <w:lang w:val="fr-CA"/>
        </w:rPr>
        <w:t>;</w:t>
      </w:r>
    </w:p>
    <w:p w14:paraId="05D309DF" w14:textId="68119EA1" w:rsidR="00D12C1C" w:rsidRPr="004C29A3" w:rsidRDefault="00C27A0F" w:rsidP="004C29A3">
      <w:pPr>
        <w:pStyle w:val="AParaNumbering"/>
        <w:numPr>
          <w:ilvl w:val="0"/>
          <w:numId w:val="7"/>
        </w:numPr>
        <w:rPr>
          <w:lang w:val="fr-CA"/>
        </w:rPr>
      </w:pPr>
      <w:r w:rsidRPr="004C29A3">
        <w:rPr>
          <w:lang w:val="fr-CA"/>
        </w:rPr>
        <w:t xml:space="preserve">En </w:t>
      </w:r>
      <w:r w:rsidR="00884FA7" w:rsidRPr="004C29A3">
        <w:rPr>
          <w:lang w:val="fr-CA"/>
        </w:rPr>
        <w:t xml:space="preserve">1999, </w:t>
      </w:r>
      <w:r w:rsidRPr="004C29A3">
        <w:rPr>
          <w:lang w:val="fr-CA"/>
        </w:rPr>
        <w:t>elle a assumé la responsabilité de la mise en place de la formation et du mentorat des nouveaux juges de paix</w:t>
      </w:r>
      <w:r w:rsidR="00884FA7" w:rsidRPr="004C29A3">
        <w:rPr>
          <w:lang w:val="fr-CA"/>
        </w:rPr>
        <w:t>;</w:t>
      </w:r>
    </w:p>
    <w:p w14:paraId="0C2E5FD2" w14:textId="09525774" w:rsidR="00D12C1C" w:rsidRPr="004C29A3" w:rsidRDefault="00C27A0F" w:rsidP="004C29A3">
      <w:pPr>
        <w:pStyle w:val="AParaNumbering"/>
        <w:numPr>
          <w:ilvl w:val="0"/>
          <w:numId w:val="7"/>
        </w:numPr>
        <w:rPr>
          <w:lang w:val="fr-CA"/>
        </w:rPr>
      </w:pPr>
      <w:r w:rsidRPr="004C29A3">
        <w:rPr>
          <w:lang w:val="fr-CA"/>
        </w:rPr>
        <w:t>De</w:t>
      </w:r>
      <w:r w:rsidR="00884FA7" w:rsidRPr="004C29A3">
        <w:rPr>
          <w:lang w:val="fr-CA"/>
        </w:rPr>
        <w:t xml:space="preserve"> 1998 </w:t>
      </w:r>
      <w:r w:rsidRPr="004C29A3">
        <w:rPr>
          <w:lang w:val="fr-CA"/>
        </w:rPr>
        <w:t>à</w:t>
      </w:r>
      <w:r w:rsidR="00884FA7" w:rsidRPr="004C29A3">
        <w:rPr>
          <w:lang w:val="fr-CA"/>
        </w:rPr>
        <w:t xml:space="preserve"> 1999, </w:t>
      </w:r>
      <w:r w:rsidRPr="004C29A3">
        <w:rPr>
          <w:lang w:val="fr-CA"/>
        </w:rPr>
        <w:t xml:space="preserve">elle a servi d’agente de liaison avec la procureure principale </w:t>
      </w:r>
      <w:r w:rsidR="00884FA7" w:rsidRPr="004C29A3">
        <w:rPr>
          <w:lang w:val="fr-CA"/>
        </w:rPr>
        <w:t xml:space="preserve">Karen McCleave </w:t>
      </w:r>
      <w:r w:rsidRPr="004C29A3">
        <w:rPr>
          <w:lang w:val="fr-CA"/>
        </w:rPr>
        <w:t>e</w:t>
      </w:r>
      <w:r w:rsidR="0044230D" w:rsidRPr="004C29A3">
        <w:rPr>
          <w:lang w:val="fr-CA"/>
        </w:rPr>
        <w:t>n vue du transfert des dossiers d’infractions provinciales à la municipalité, dont la création d’un nouveau système d’inscription au rôle et d’installations</w:t>
      </w:r>
      <w:r w:rsidR="00884FA7" w:rsidRPr="004C29A3">
        <w:rPr>
          <w:lang w:val="fr-CA"/>
        </w:rPr>
        <w:t>;</w:t>
      </w:r>
    </w:p>
    <w:p w14:paraId="6A1EB8CA" w14:textId="3F8BDF41" w:rsidR="00D12C1C" w:rsidRPr="004C29A3" w:rsidRDefault="0044230D" w:rsidP="004C29A3">
      <w:pPr>
        <w:pStyle w:val="AParaNumbering"/>
        <w:numPr>
          <w:ilvl w:val="0"/>
          <w:numId w:val="7"/>
        </w:numPr>
        <w:rPr>
          <w:lang w:val="fr-CA"/>
        </w:rPr>
      </w:pPr>
      <w:r w:rsidRPr="004C29A3">
        <w:rPr>
          <w:lang w:val="fr-CA"/>
        </w:rPr>
        <w:t>E</w:t>
      </w:r>
      <w:r w:rsidR="00884FA7" w:rsidRPr="004C29A3">
        <w:rPr>
          <w:lang w:val="fr-CA"/>
        </w:rPr>
        <w:t xml:space="preserve">n 1997, </w:t>
      </w:r>
      <w:r w:rsidRPr="004C29A3">
        <w:rPr>
          <w:lang w:val="fr-CA"/>
        </w:rPr>
        <w:t xml:space="preserve">elle a </w:t>
      </w:r>
      <w:r w:rsidR="00E1306C">
        <w:rPr>
          <w:lang w:val="fr-CA"/>
        </w:rPr>
        <w:t>contribué</w:t>
      </w:r>
      <w:r w:rsidR="00B45FC7" w:rsidRPr="004C29A3">
        <w:rPr>
          <w:lang w:val="fr-CA"/>
        </w:rPr>
        <w:t xml:space="preserve"> à l’installation et au fonctionnement du Centre de télémandat du palais de justice de </w:t>
      </w:r>
      <w:r w:rsidR="00884FA7" w:rsidRPr="004C29A3">
        <w:rPr>
          <w:lang w:val="fr-CA"/>
        </w:rPr>
        <w:t>Newmarket;</w:t>
      </w:r>
    </w:p>
    <w:p w14:paraId="37A40B91" w14:textId="726D6467" w:rsidR="00D12C1C" w:rsidRPr="004C29A3" w:rsidRDefault="00B45FC7" w:rsidP="004C29A3">
      <w:pPr>
        <w:pStyle w:val="AParaNumbering"/>
        <w:numPr>
          <w:ilvl w:val="0"/>
          <w:numId w:val="7"/>
        </w:numPr>
        <w:rPr>
          <w:lang w:val="fr-CA"/>
        </w:rPr>
      </w:pPr>
      <w:r w:rsidRPr="004C29A3">
        <w:rPr>
          <w:lang w:val="fr-CA"/>
        </w:rPr>
        <w:t>De</w:t>
      </w:r>
      <w:r w:rsidR="00884FA7" w:rsidRPr="004C29A3">
        <w:rPr>
          <w:lang w:val="fr-CA"/>
        </w:rPr>
        <w:t xml:space="preserve"> 1995 </w:t>
      </w:r>
      <w:r w:rsidRPr="004C29A3">
        <w:rPr>
          <w:lang w:val="fr-CA"/>
        </w:rPr>
        <w:t>à</w:t>
      </w:r>
      <w:r w:rsidR="00884FA7" w:rsidRPr="004C29A3">
        <w:rPr>
          <w:lang w:val="fr-CA"/>
        </w:rPr>
        <w:t xml:space="preserve"> 1999, </w:t>
      </w:r>
      <w:r w:rsidRPr="004C29A3">
        <w:rPr>
          <w:lang w:val="fr-CA"/>
        </w:rPr>
        <w:t xml:space="preserve">elle a siégé au Comité consultatif régional de gestion des tribunaux pour le tribunal de </w:t>
      </w:r>
      <w:r w:rsidR="00884FA7" w:rsidRPr="004C29A3">
        <w:rPr>
          <w:lang w:val="fr-CA"/>
        </w:rPr>
        <w:t xml:space="preserve">Newmarket. </w:t>
      </w:r>
      <w:r w:rsidRPr="004C29A3">
        <w:rPr>
          <w:lang w:val="fr-CA"/>
        </w:rPr>
        <w:t xml:space="preserve">Elle a servi d’agente de liaison avec </w:t>
      </w:r>
      <w:r w:rsidRPr="004C29A3">
        <w:rPr>
          <w:lang w:val="fr-CA"/>
        </w:rPr>
        <w:lastRenderedPageBreak/>
        <w:t xml:space="preserve">la magistrature, les procureurs de la Couronne et les avocats de la défense, le bureau de la police, les </w:t>
      </w:r>
      <w:r w:rsidR="00AD59C8" w:rsidRPr="004C29A3">
        <w:rPr>
          <w:lang w:val="fr-CA"/>
        </w:rPr>
        <w:t>gestionnaires du tribunal et le personnel des tribunaux, relevant du juge de paix principal régional</w:t>
      </w:r>
      <w:r w:rsidR="00884FA7" w:rsidRPr="004C29A3">
        <w:rPr>
          <w:lang w:val="fr-CA"/>
        </w:rPr>
        <w:t>;</w:t>
      </w:r>
    </w:p>
    <w:p w14:paraId="2B5C844E" w14:textId="6FC03410" w:rsidR="00D12C1C" w:rsidRPr="004C29A3" w:rsidRDefault="00AD59C8" w:rsidP="004C29A3">
      <w:pPr>
        <w:pStyle w:val="AParaNumbering"/>
        <w:numPr>
          <w:ilvl w:val="0"/>
          <w:numId w:val="7"/>
        </w:numPr>
        <w:rPr>
          <w:lang w:val="fr-CA"/>
        </w:rPr>
      </w:pPr>
      <w:r w:rsidRPr="004C29A3">
        <w:rPr>
          <w:lang w:val="fr-CA"/>
        </w:rPr>
        <w:t xml:space="preserve">La juge de paix a contribué au mentorat d’anciens juges de paix principaux régionaux et de juges de paix principaux régionaux actifs, à </w:t>
      </w:r>
      <w:r w:rsidR="00884FA7" w:rsidRPr="004C29A3">
        <w:rPr>
          <w:lang w:val="fr-CA"/>
        </w:rPr>
        <w:t xml:space="preserve">Toronto </w:t>
      </w:r>
      <w:r w:rsidRPr="004C29A3">
        <w:rPr>
          <w:lang w:val="fr-CA"/>
        </w:rPr>
        <w:t>et</w:t>
      </w:r>
      <w:r w:rsidR="00884FA7" w:rsidRPr="004C29A3">
        <w:rPr>
          <w:lang w:val="fr-CA"/>
        </w:rPr>
        <w:t xml:space="preserve"> Newmarket.</w:t>
      </w:r>
    </w:p>
    <w:p w14:paraId="174C7AE2" w14:textId="14957CAD" w:rsidR="00D12C1C" w:rsidRPr="004C29A3" w:rsidRDefault="00B32715" w:rsidP="004C29A3">
      <w:pPr>
        <w:pStyle w:val="AParaNumbering"/>
        <w:rPr>
          <w:lang w:val="fr-CA"/>
        </w:rPr>
      </w:pPr>
      <w:r w:rsidRPr="004C29A3">
        <w:rPr>
          <w:lang w:val="fr-CA"/>
        </w:rPr>
        <w:t>La durée de service de la juge de paix et ses contributions positives à la justice de paix sont impressionnantes</w:t>
      </w:r>
      <w:r w:rsidR="00094802" w:rsidRPr="004C29A3">
        <w:rPr>
          <w:lang w:val="fr-CA"/>
        </w:rPr>
        <w:t>.</w:t>
      </w:r>
    </w:p>
    <w:p w14:paraId="6C12DBB5" w14:textId="36E2AEB0" w:rsidR="00D12C1C" w:rsidRPr="004C29A3" w:rsidRDefault="00E1306C" w:rsidP="004C29A3">
      <w:pPr>
        <w:pStyle w:val="AParaNumbering"/>
        <w:rPr>
          <w:lang w:val="fr-CA"/>
        </w:rPr>
      </w:pPr>
      <w:r>
        <w:t>[84]</w:t>
      </w:r>
      <w:r>
        <w:tab/>
      </w:r>
      <w:r w:rsidR="00B32715" w:rsidRPr="004C29A3">
        <w:rPr>
          <w:lang w:val="fr-CA"/>
        </w:rPr>
        <w:t xml:space="preserve">La juge de paix n’a pas </w:t>
      </w:r>
      <w:r>
        <w:rPr>
          <w:lang w:val="fr-CA"/>
        </w:rPr>
        <w:t xml:space="preserve">fait </w:t>
      </w:r>
      <w:r w:rsidR="00B32715" w:rsidRPr="004C29A3">
        <w:rPr>
          <w:lang w:val="fr-CA"/>
        </w:rPr>
        <w:t>l’objet de conclusions d’inconduite antérieures</w:t>
      </w:r>
      <w:r w:rsidR="00884FA7" w:rsidRPr="004C29A3">
        <w:rPr>
          <w:lang w:val="fr-CA"/>
        </w:rPr>
        <w:t>.</w:t>
      </w:r>
    </w:p>
    <w:p w14:paraId="2A83A405" w14:textId="540EDBC4" w:rsidR="00D12C1C" w:rsidRPr="004C29A3" w:rsidRDefault="00E1306C" w:rsidP="004C29A3">
      <w:pPr>
        <w:pStyle w:val="AParaNumbering"/>
        <w:rPr>
          <w:lang w:val="fr-CA"/>
        </w:rPr>
      </w:pPr>
      <w:r>
        <w:t>[85]</w:t>
      </w:r>
      <w:r>
        <w:tab/>
      </w:r>
      <w:r w:rsidR="00B32715" w:rsidRPr="004C29A3">
        <w:rPr>
          <w:lang w:val="fr-CA"/>
        </w:rPr>
        <w:t>La juge de paix a reconnu son inconduite dans un Exposé conjoint des faits, ce qui a évité le besoin de tenir une longue audience</w:t>
      </w:r>
      <w:r w:rsidR="00884FA7" w:rsidRPr="004C29A3">
        <w:rPr>
          <w:lang w:val="fr-CA"/>
        </w:rPr>
        <w:t>.</w:t>
      </w:r>
    </w:p>
    <w:p w14:paraId="173811A3" w14:textId="72371ABF" w:rsidR="00D12C1C" w:rsidRPr="004C29A3" w:rsidRDefault="00E1306C" w:rsidP="004C29A3">
      <w:pPr>
        <w:pStyle w:val="AParaNumbering"/>
        <w:rPr>
          <w:lang w:val="fr-CA"/>
        </w:rPr>
      </w:pPr>
      <w:r>
        <w:t>[86]</w:t>
      </w:r>
      <w:r>
        <w:tab/>
      </w:r>
      <w:r w:rsidR="00B32715" w:rsidRPr="004C29A3">
        <w:rPr>
          <w:lang w:val="fr-CA"/>
        </w:rPr>
        <w:t>La juge de paix a démontré ses efforts en vue de modifier sa conduite, demandant à M. </w:t>
      </w:r>
      <w:r w:rsidR="00884FA7" w:rsidRPr="004C29A3">
        <w:rPr>
          <w:lang w:val="fr-CA"/>
        </w:rPr>
        <w:t xml:space="preserve">Stephen Goudge, </w:t>
      </w:r>
      <w:r w:rsidR="00B32715" w:rsidRPr="004C29A3">
        <w:rPr>
          <w:lang w:val="fr-CA"/>
        </w:rPr>
        <w:t>c.r.</w:t>
      </w:r>
      <w:r w:rsidR="00884FA7" w:rsidRPr="004C29A3">
        <w:rPr>
          <w:lang w:val="fr-CA"/>
        </w:rPr>
        <w:t xml:space="preserve">, </w:t>
      </w:r>
      <w:r w:rsidR="00B32715" w:rsidRPr="004C29A3">
        <w:rPr>
          <w:lang w:val="fr-CA"/>
        </w:rPr>
        <w:t xml:space="preserve">ancien juge de la Cour d’appel de l’Ontario, de lui </w:t>
      </w:r>
      <w:r w:rsidR="003E3F48" w:rsidRPr="004C29A3">
        <w:rPr>
          <w:lang w:val="fr-CA"/>
        </w:rPr>
        <w:t>dispenser une formation et de lui servir de mentor avant la conclusion de l’audience.</w:t>
      </w:r>
    </w:p>
    <w:p w14:paraId="5D094812" w14:textId="3893A96B" w:rsidR="00D12C1C" w:rsidRPr="004C29A3" w:rsidRDefault="00E1306C" w:rsidP="004C29A3">
      <w:pPr>
        <w:pStyle w:val="AParaNumbering"/>
        <w:rPr>
          <w:lang w:val="fr-CA"/>
        </w:rPr>
      </w:pPr>
      <w:r>
        <w:t>[87]</w:t>
      </w:r>
      <w:r>
        <w:tab/>
      </w:r>
      <w:r w:rsidR="003E3F48" w:rsidRPr="004C29A3">
        <w:rPr>
          <w:lang w:val="fr-CA"/>
        </w:rPr>
        <w:t>La juge de paix n’a pas exploité sa position pour satisfaire à des désirs personnels et n’a retiré aucun gain personnel de sa conduite</w:t>
      </w:r>
      <w:r w:rsidR="00884FA7" w:rsidRPr="004C29A3">
        <w:rPr>
          <w:lang w:val="fr-CA"/>
        </w:rPr>
        <w:t>.</w:t>
      </w:r>
    </w:p>
    <w:p w14:paraId="481EBAAC" w14:textId="7F5CF210" w:rsidR="00D12C1C" w:rsidRPr="004C29A3" w:rsidRDefault="00884FA7" w:rsidP="0013058F">
      <w:pPr>
        <w:pStyle w:val="Heading2"/>
        <w:rPr>
          <w:rFonts w:ascii="Arial" w:hAnsi="Arial" w:cs="Arial"/>
          <w:b/>
          <w:color w:val="000000" w:themeColor="text1"/>
          <w:sz w:val="24"/>
          <w:szCs w:val="24"/>
          <w:lang w:val="fr-CA"/>
        </w:rPr>
      </w:pPr>
      <w:r w:rsidRPr="004C29A3">
        <w:rPr>
          <w:rFonts w:ascii="Arial" w:hAnsi="Arial" w:cs="Arial"/>
          <w:b/>
          <w:color w:val="000000" w:themeColor="text1"/>
          <w:sz w:val="24"/>
          <w:szCs w:val="24"/>
          <w:lang w:val="fr-CA"/>
        </w:rPr>
        <w:t>D</w:t>
      </w:r>
      <w:r w:rsidR="003E3F48" w:rsidRPr="004C29A3">
        <w:rPr>
          <w:rFonts w:ascii="Arial" w:hAnsi="Arial" w:cs="Arial"/>
          <w:b/>
          <w:color w:val="000000" w:themeColor="text1"/>
          <w:sz w:val="24"/>
          <w:szCs w:val="24"/>
          <w:lang w:val="fr-CA"/>
        </w:rPr>
        <w:t>écision</w:t>
      </w:r>
    </w:p>
    <w:p w14:paraId="7E4392B0" w14:textId="77777777" w:rsidR="0013058F" w:rsidRPr="004C29A3" w:rsidRDefault="0013058F" w:rsidP="0013058F">
      <w:pPr>
        <w:rPr>
          <w:lang w:val="fr-CA"/>
        </w:rPr>
      </w:pPr>
    </w:p>
    <w:p w14:paraId="5DEC340C" w14:textId="1C3A6E5C" w:rsidR="00D12C1C" w:rsidRPr="004C29A3" w:rsidRDefault="00E1306C" w:rsidP="004C29A3">
      <w:pPr>
        <w:pStyle w:val="AParaNumbering"/>
        <w:rPr>
          <w:lang w:val="fr-CA"/>
        </w:rPr>
      </w:pPr>
      <w:r>
        <w:t>[88]</w:t>
      </w:r>
      <w:r>
        <w:tab/>
      </w:r>
      <w:r w:rsidR="003E3F48" w:rsidRPr="004C29A3">
        <w:rPr>
          <w:lang w:val="fr-CA"/>
        </w:rPr>
        <w:t>Les observations conjointes des avocats sont généralement acceptées</w:t>
      </w:r>
      <w:r w:rsidR="00094802" w:rsidRPr="004C29A3">
        <w:rPr>
          <w:lang w:val="fr-CA"/>
        </w:rPr>
        <w:t>.</w:t>
      </w:r>
    </w:p>
    <w:p w14:paraId="499588D9" w14:textId="1A8DD864" w:rsidR="00D12C1C" w:rsidRPr="004C29A3" w:rsidRDefault="00E1306C" w:rsidP="004C29A3">
      <w:pPr>
        <w:pStyle w:val="AParaNumbering"/>
        <w:rPr>
          <w:lang w:val="fr-CA"/>
        </w:rPr>
      </w:pPr>
      <w:r>
        <w:t>[89]</w:t>
      </w:r>
      <w:r>
        <w:tab/>
      </w:r>
      <w:r w:rsidR="007F7E4A" w:rsidRPr="004C29A3">
        <w:rPr>
          <w:lang w:val="fr-CA"/>
        </w:rPr>
        <w:t xml:space="preserve">Le comité d’audition conclut qu’afin de rétablir la confiance du public envers la juge de paix et la magistrature en général, la mesure appropriée à prendre dans cette affaire est la suivante </w:t>
      </w:r>
      <w:r w:rsidR="00884FA7" w:rsidRPr="004C29A3">
        <w:rPr>
          <w:lang w:val="fr-CA"/>
        </w:rPr>
        <w:t>:</w:t>
      </w:r>
    </w:p>
    <w:p w14:paraId="7A1D3101" w14:textId="40AD1978" w:rsidR="00860CC3" w:rsidRPr="004C29A3" w:rsidRDefault="007F7E4A" w:rsidP="004C29A3">
      <w:pPr>
        <w:pStyle w:val="AParaNumbering"/>
        <w:numPr>
          <w:ilvl w:val="0"/>
          <w:numId w:val="15"/>
        </w:numPr>
        <w:rPr>
          <w:lang w:val="fr-CA"/>
        </w:rPr>
      </w:pPr>
      <w:r w:rsidRPr="004C29A3">
        <w:rPr>
          <w:lang w:val="fr-CA"/>
        </w:rPr>
        <w:t xml:space="preserve">Réprimander formellement la juge de paix </w:t>
      </w:r>
      <w:r w:rsidR="00884FA7" w:rsidRPr="004C29A3">
        <w:rPr>
          <w:lang w:val="fr-CA"/>
        </w:rPr>
        <w:t xml:space="preserve">Romagnoli. </w:t>
      </w:r>
      <w:r w:rsidRPr="004C29A3">
        <w:rPr>
          <w:lang w:val="fr-CA"/>
        </w:rPr>
        <w:t xml:space="preserve">Cette mesure formelle témoigne de la désapprobation de notre comité d’audition </w:t>
      </w:r>
      <w:r w:rsidR="004B4D38">
        <w:rPr>
          <w:lang w:val="fr-CA"/>
        </w:rPr>
        <w:t xml:space="preserve">à l’égard </w:t>
      </w:r>
      <w:r w:rsidRPr="004C29A3">
        <w:rPr>
          <w:lang w:val="fr-CA"/>
        </w:rPr>
        <w:t>de la conduite de la juge de paix</w:t>
      </w:r>
      <w:r w:rsidR="00884FA7" w:rsidRPr="004C29A3">
        <w:rPr>
          <w:lang w:val="fr-CA"/>
        </w:rPr>
        <w:t>.</w:t>
      </w:r>
    </w:p>
    <w:p w14:paraId="19A933B1" w14:textId="630B473A" w:rsidR="00A57740" w:rsidRPr="004C29A3" w:rsidRDefault="007F7E4A" w:rsidP="004C29A3">
      <w:pPr>
        <w:pStyle w:val="AParaNumbering"/>
        <w:numPr>
          <w:ilvl w:val="0"/>
          <w:numId w:val="15"/>
        </w:numPr>
        <w:rPr>
          <w:lang w:val="fr-CA"/>
        </w:rPr>
      </w:pPr>
      <w:r w:rsidRPr="004C29A3">
        <w:rPr>
          <w:lang w:val="fr-CA"/>
        </w:rPr>
        <w:lastRenderedPageBreak/>
        <w:t>Comme condition pour continuer de siéger à titre de juge de paix, il est ordonné à la juge de paix de suivre une formation judiciaire additionnelle, approuvée par la juge en chef de la Cour de justice de l’Ontario, qui renforce l’obligation de la juge de paix de maintenir sa compétence professionnelle en droit</w:t>
      </w:r>
      <w:r w:rsidR="00141F5E" w:rsidRPr="004C29A3">
        <w:rPr>
          <w:lang w:val="fr-CA"/>
        </w:rPr>
        <w:t>,</w:t>
      </w:r>
      <w:r w:rsidR="00884FA7" w:rsidRPr="004C29A3">
        <w:rPr>
          <w:lang w:val="fr-CA"/>
        </w:rPr>
        <w:t xml:space="preserve"> </w:t>
      </w:r>
      <w:r w:rsidR="00141F5E" w:rsidRPr="004C29A3">
        <w:rPr>
          <w:lang w:val="fr-CA"/>
        </w:rPr>
        <w:t xml:space="preserve">lui enseigne le droit qui régit les observations conjointes, lui enseigne l’application du principe </w:t>
      </w:r>
      <w:r w:rsidR="00884FA7" w:rsidRPr="004C29A3">
        <w:rPr>
          <w:i/>
          <w:lang w:val="fr-CA"/>
        </w:rPr>
        <w:t>stare decisis</w:t>
      </w:r>
      <w:r w:rsidR="00884FA7" w:rsidRPr="004C29A3">
        <w:rPr>
          <w:lang w:val="fr-CA"/>
        </w:rPr>
        <w:t xml:space="preserve"> </w:t>
      </w:r>
      <w:r w:rsidR="00141F5E" w:rsidRPr="004C29A3">
        <w:rPr>
          <w:lang w:val="fr-CA"/>
        </w:rPr>
        <w:t>et l’effet de la jurisprudence obligatoire et non</w:t>
      </w:r>
      <w:r w:rsidR="00881B0A">
        <w:rPr>
          <w:lang w:val="fr-CA"/>
        </w:rPr>
        <w:t xml:space="preserve"> </w:t>
      </w:r>
      <w:r w:rsidR="00141F5E" w:rsidRPr="004C29A3">
        <w:rPr>
          <w:lang w:val="fr-CA"/>
        </w:rPr>
        <w:t>obligatoire, et renforce son devoir de demeurer impartiale et d’éviter toute perception d’inégalité et de traitement différentiel</w:t>
      </w:r>
      <w:r w:rsidR="00094802" w:rsidRPr="004C29A3">
        <w:rPr>
          <w:lang w:val="fr-CA"/>
        </w:rPr>
        <w:t>.</w:t>
      </w:r>
    </w:p>
    <w:p w14:paraId="5D5F43E2" w14:textId="377011C8" w:rsidR="00C23D1A" w:rsidRPr="004C29A3" w:rsidRDefault="00587CE1" w:rsidP="000A79E2">
      <w:pPr>
        <w:pStyle w:val="AParaNumbering"/>
        <w:ind w:left="1134"/>
        <w:rPr>
          <w:lang w:val="fr-CA"/>
        </w:rPr>
      </w:pPr>
      <w:r w:rsidRPr="004C29A3">
        <w:rPr>
          <w:lang w:val="fr-CA"/>
        </w:rPr>
        <w:t>Comme la juge de paix a continué de présider des audiences pendant l’instance découlant de la plainte en question, il est approprié qu’elle soit autorisée à continuer de présider pendant qu’elle suit cette formation additionnelle</w:t>
      </w:r>
      <w:r w:rsidR="00094802" w:rsidRPr="004C29A3">
        <w:rPr>
          <w:lang w:val="fr-CA"/>
        </w:rPr>
        <w:t>.</w:t>
      </w:r>
    </w:p>
    <w:p w14:paraId="7580F6A4" w14:textId="4772DC29" w:rsidR="003B05E5" w:rsidRPr="004C29A3" w:rsidRDefault="00587CE1" w:rsidP="001073B2">
      <w:pPr>
        <w:pStyle w:val="Heading1"/>
        <w:spacing w:after="360"/>
        <w:rPr>
          <w:rFonts w:ascii="Arial" w:hAnsi="Arial" w:cs="Arial"/>
          <w:b/>
          <w:color w:val="000000" w:themeColor="text1"/>
          <w:sz w:val="24"/>
          <w:szCs w:val="24"/>
          <w:lang w:val="fr-CA"/>
        </w:rPr>
      </w:pPr>
      <w:r w:rsidRPr="004C29A3">
        <w:rPr>
          <w:rFonts w:ascii="Arial" w:hAnsi="Arial" w:cs="Arial"/>
          <w:b/>
          <w:color w:val="000000" w:themeColor="text1"/>
          <w:sz w:val="24"/>
          <w:szCs w:val="24"/>
          <w:lang w:val="fr-CA"/>
        </w:rPr>
        <w:t xml:space="preserve">INDEMNISATION DES FRAIS POUR SERVICES JURIDIQUES </w:t>
      </w:r>
    </w:p>
    <w:p w14:paraId="6F82FA18" w14:textId="1ECE5402" w:rsidR="003B05E5" w:rsidRPr="004C29A3" w:rsidRDefault="000A79E2" w:rsidP="004C29A3">
      <w:pPr>
        <w:pStyle w:val="AParaNumbering"/>
        <w:rPr>
          <w:lang w:val="fr-CA"/>
        </w:rPr>
      </w:pPr>
      <w:r>
        <w:t>[90]</w:t>
      </w:r>
      <w:r>
        <w:tab/>
      </w:r>
      <w:r w:rsidR="00D82964" w:rsidRPr="004C29A3">
        <w:rPr>
          <w:lang w:val="fr-CA"/>
        </w:rPr>
        <w:t xml:space="preserve">La juge de paix </w:t>
      </w:r>
      <w:r w:rsidR="003B05E5" w:rsidRPr="004C29A3">
        <w:rPr>
          <w:lang w:val="fr-CA"/>
        </w:rPr>
        <w:t xml:space="preserve">Romagnoli </w:t>
      </w:r>
      <w:r w:rsidR="00D82964" w:rsidRPr="004C29A3">
        <w:rPr>
          <w:lang w:val="fr-CA"/>
        </w:rPr>
        <w:t xml:space="preserve">a demandé, aux termes du paragraphe </w:t>
      </w:r>
      <w:r w:rsidR="003B05E5" w:rsidRPr="004C29A3">
        <w:rPr>
          <w:lang w:val="fr-CA"/>
        </w:rPr>
        <w:t>11.1</w:t>
      </w:r>
      <w:r w:rsidR="00D82964" w:rsidRPr="004C29A3">
        <w:rPr>
          <w:lang w:val="fr-CA"/>
        </w:rPr>
        <w:t> </w:t>
      </w:r>
      <w:r w:rsidR="003B05E5" w:rsidRPr="004C29A3">
        <w:rPr>
          <w:lang w:val="fr-CA"/>
        </w:rPr>
        <w:t xml:space="preserve">(17) </w:t>
      </w:r>
      <w:r w:rsidR="00D82964" w:rsidRPr="004C29A3">
        <w:rPr>
          <w:lang w:val="fr-CA"/>
        </w:rPr>
        <w:t xml:space="preserve">de la Loi, que notre comité d’audition recommande </w:t>
      </w:r>
      <w:r w:rsidR="0061799E">
        <w:rPr>
          <w:lang w:val="fr-CA"/>
        </w:rPr>
        <w:t>qu’elle</w:t>
      </w:r>
      <w:r w:rsidR="00D82964" w:rsidRPr="004C29A3">
        <w:rPr>
          <w:lang w:val="fr-CA"/>
        </w:rPr>
        <w:t xml:space="preserve"> soit indemnisée des frais pour services juridiques, à hauteur de </w:t>
      </w:r>
      <w:r w:rsidR="003B05E5" w:rsidRPr="004C29A3">
        <w:rPr>
          <w:lang w:val="fr-CA"/>
        </w:rPr>
        <w:t>32</w:t>
      </w:r>
      <w:r w:rsidR="00D82964" w:rsidRPr="004C29A3">
        <w:rPr>
          <w:lang w:val="fr-CA"/>
        </w:rPr>
        <w:t> </w:t>
      </w:r>
      <w:r w:rsidR="003B05E5" w:rsidRPr="004C29A3">
        <w:rPr>
          <w:lang w:val="fr-CA"/>
        </w:rPr>
        <w:t>124</w:t>
      </w:r>
      <w:r w:rsidR="00D82964" w:rsidRPr="004C29A3">
        <w:rPr>
          <w:lang w:val="fr-CA"/>
        </w:rPr>
        <w:t>,</w:t>
      </w:r>
      <w:r w:rsidR="003B05E5" w:rsidRPr="004C29A3">
        <w:rPr>
          <w:lang w:val="fr-CA"/>
        </w:rPr>
        <w:t>00</w:t>
      </w:r>
      <w:r w:rsidR="00D82964" w:rsidRPr="004C29A3">
        <w:rPr>
          <w:lang w:val="fr-CA"/>
        </w:rPr>
        <w:t xml:space="preserve"> $, et des débours, pour un montant </w:t>
      </w:r>
      <w:r w:rsidR="003B05E5" w:rsidRPr="004C29A3">
        <w:rPr>
          <w:lang w:val="fr-CA"/>
        </w:rPr>
        <w:t>83</w:t>
      </w:r>
      <w:r w:rsidR="00D82964" w:rsidRPr="004C29A3">
        <w:rPr>
          <w:lang w:val="fr-CA"/>
        </w:rPr>
        <w:t>,</w:t>
      </w:r>
      <w:r w:rsidR="003B05E5" w:rsidRPr="004C29A3">
        <w:rPr>
          <w:lang w:val="fr-CA"/>
        </w:rPr>
        <w:t>85</w:t>
      </w:r>
      <w:r w:rsidR="00D82964" w:rsidRPr="004C29A3">
        <w:rPr>
          <w:lang w:val="fr-CA"/>
        </w:rPr>
        <w:t> $</w:t>
      </w:r>
      <w:r w:rsidR="00EC49D2" w:rsidRPr="004C29A3">
        <w:rPr>
          <w:lang w:val="fr-CA"/>
        </w:rPr>
        <w:t>,</w:t>
      </w:r>
      <w:r w:rsidR="003B05E5" w:rsidRPr="004C29A3">
        <w:rPr>
          <w:lang w:val="fr-CA"/>
        </w:rPr>
        <w:t xml:space="preserve"> </w:t>
      </w:r>
      <w:r w:rsidR="00D82964" w:rsidRPr="004C29A3">
        <w:rPr>
          <w:lang w:val="fr-CA"/>
        </w:rPr>
        <w:t xml:space="preserve">soit un montant total de </w:t>
      </w:r>
      <w:r w:rsidR="003B05E5" w:rsidRPr="004C29A3">
        <w:rPr>
          <w:lang w:val="fr-CA"/>
        </w:rPr>
        <w:t>36</w:t>
      </w:r>
      <w:r w:rsidR="00D82964" w:rsidRPr="004C29A3">
        <w:rPr>
          <w:lang w:val="fr-CA"/>
        </w:rPr>
        <w:t> </w:t>
      </w:r>
      <w:r w:rsidR="003B05E5" w:rsidRPr="004C29A3">
        <w:rPr>
          <w:lang w:val="fr-CA"/>
        </w:rPr>
        <w:t>394</w:t>
      </w:r>
      <w:r w:rsidR="00D82964" w:rsidRPr="004C29A3">
        <w:rPr>
          <w:lang w:val="fr-CA"/>
        </w:rPr>
        <w:t>,</w:t>
      </w:r>
      <w:r w:rsidR="003B05E5" w:rsidRPr="004C29A3">
        <w:rPr>
          <w:lang w:val="fr-CA"/>
        </w:rPr>
        <w:t>87</w:t>
      </w:r>
      <w:r w:rsidR="00D82964" w:rsidRPr="004C29A3">
        <w:rPr>
          <w:lang w:val="fr-CA"/>
        </w:rPr>
        <w:t> $, qu’elle a engagés relativement à l’enquête</w:t>
      </w:r>
      <w:r w:rsidR="003B05E5" w:rsidRPr="004C29A3">
        <w:rPr>
          <w:lang w:val="fr-CA"/>
        </w:rPr>
        <w:t>.</w:t>
      </w:r>
    </w:p>
    <w:p w14:paraId="0EC16920" w14:textId="1740F0D7" w:rsidR="003B05E5" w:rsidRPr="004C29A3" w:rsidRDefault="0061799E" w:rsidP="004C29A3">
      <w:pPr>
        <w:pStyle w:val="AParaNumbering"/>
        <w:rPr>
          <w:lang w:val="fr-CA"/>
        </w:rPr>
      </w:pPr>
      <w:r>
        <w:t>[91]</w:t>
      </w:r>
      <w:r>
        <w:tab/>
      </w:r>
      <w:r w:rsidR="007808DF" w:rsidRPr="004C29A3">
        <w:rPr>
          <w:lang w:val="fr-CA"/>
        </w:rPr>
        <w:t>En vertu du pouvoir que le paragraphe 11.1 (17) de la Loi confère au comité d’audition, ce dernier peut recommander que la juge de paix soit indemnisée des frais pour services juridiques qu’elle a engagés relativement à l’audience. La conclusion d’inconduite n’empêche pas qu’elle reçoive une indemnisation</w:t>
      </w:r>
      <w:r w:rsidR="00094802" w:rsidRPr="004C29A3">
        <w:rPr>
          <w:lang w:val="fr-CA"/>
        </w:rPr>
        <w:t>.</w:t>
      </w:r>
    </w:p>
    <w:p w14:paraId="64383257" w14:textId="45BF41C3" w:rsidR="00876FF0" w:rsidRPr="004C29A3" w:rsidRDefault="0061799E" w:rsidP="004C29A3">
      <w:pPr>
        <w:pStyle w:val="AParaNumbering"/>
        <w:rPr>
          <w:lang w:val="fr-CA"/>
        </w:rPr>
      </w:pPr>
      <w:r>
        <w:t>[92]</w:t>
      </w:r>
      <w:r>
        <w:tab/>
      </w:r>
      <w:r w:rsidR="00876FF0" w:rsidRPr="004C29A3">
        <w:rPr>
          <w:lang w:val="fr-CA"/>
        </w:rPr>
        <w:t>M</w:t>
      </w:r>
      <w:r w:rsidR="007808DF" w:rsidRPr="004C29A3">
        <w:rPr>
          <w:lang w:val="fr-CA"/>
        </w:rPr>
        <w:t>e</w:t>
      </w:r>
      <w:r w:rsidR="00876FF0" w:rsidRPr="004C29A3">
        <w:rPr>
          <w:lang w:val="fr-CA"/>
        </w:rPr>
        <w:t xml:space="preserve"> Sandler </w:t>
      </w:r>
      <w:r w:rsidR="007808DF" w:rsidRPr="004C29A3">
        <w:rPr>
          <w:lang w:val="fr-CA"/>
        </w:rPr>
        <w:t xml:space="preserve">soutient qu’il a accordé à la juge de paix une réduction du taux horaire d’honoraires qu’il facture habituellement pour ses services juridiques. Le paragraphe </w:t>
      </w:r>
      <w:r w:rsidR="00876FF0" w:rsidRPr="004C29A3">
        <w:rPr>
          <w:lang w:val="fr-CA"/>
        </w:rPr>
        <w:t>11.1</w:t>
      </w:r>
      <w:r w:rsidR="007808DF" w:rsidRPr="004C29A3">
        <w:rPr>
          <w:lang w:val="fr-CA"/>
        </w:rPr>
        <w:t xml:space="preserve"> </w:t>
      </w:r>
      <w:r w:rsidR="00876FF0" w:rsidRPr="004C29A3">
        <w:rPr>
          <w:lang w:val="fr-CA"/>
        </w:rPr>
        <w:t>(1</w:t>
      </w:r>
      <w:r w:rsidR="007808DF" w:rsidRPr="004C29A3">
        <w:rPr>
          <w:lang w:val="fr-CA"/>
        </w:rPr>
        <w:t>7</w:t>
      </w:r>
      <w:r w:rsidR="00876FF0" w:rsidRPr="004C29A3">
        <w:rPr>
          <w:lang w:val="fr-CA"/>
        </w:rPr>
        <w:t xml:space="preserve">) </w:t>
      </w:r>
      <w:r w:rsidR="007808DF" w:rsidRPr="004C29A3">
        <w:rPr>
          <w:lang w:val="fr-CA"/>
        </w:rPr>
        <w:t xml:space="preserve">de la Loi prévoit : « Le montant de l’indemnité recommandée en vertu du paragraphe (16) est calculé selon un taux pour services juridiques qui ne dépasse pas le taux maximal normalement payé par le gouvernement de l’Ontario pour des services similaires. » Le fait que </w:t>
      </w:r>
      <w:r w:rsidR="00876FF0" w:rsidRPr="004C29A3">
        <w:rPr>
          <w:lang w:val="fr-CA"/>
        </w:rPr>
        <w:t>M</w:t>
      </w:r>
      <w:r w:rsidR="007808DF" w:rsidRPr="004C29A3">
        <w:rPr>
          <w:lang w:val="fr-CA"/>
        </w:rPr>
        <w:t>e</w:t>
      </w:r>
      <w:r w:rsidR="00876FF0" w:rsidRPr="004C29A3">
        <w:rPr>
          <w:lang w:val="fr-CA"/>
        </w:rPr>
        <w:t xml:space="preserve"> Sandler </w:t>
      </w:r>
      <w:r w:rsidR="007808DF" w:rsidRPr="004C29A3">
        <w:rPr>
          <w:lang w:val="fr-CA"/>
        </w:rPr>
        <w:t xml:space="preserve">ait réduit son taux d’honoraires </w:t>
      </w:r>
      <w:r w:rsidR="007808DF" w:rsidRPr="004C29A3">
        <w:rPr>
          <w:lang w:val="fr-CA"/>
        </w:rPr>
        <w:lastRenderedPageBreak/>
        <w:t xml:space="preserve">pour tenir compte de la limite imposée par le paragraphe </w:t>
      </w:r>
      <w:r w:rsidR="00876FF0" w:rsidRPr="004C29A3">
        <w:rPr>
          <w:lang w:val="fr-CA"/>
        </w:rPr>
        <w:t>11.1</w:t>
      </w:r>
      <w:r w:rsidR="007808DF" w:rsidRPr="004C29A3">
        <w:rPr>
          <w:lang w:val="fr-CA"/>
        </w:rPr>
        <w:t> </w:t>
      </w:r>
      <w:r w:rsidR="00876FF0" w:rsidRPr="004C29A3">
        <w:rPr>
          <w:lang w:val="fr-CA"/>
        </w:rPr>
        <w:t>(17)</w:t>
      </w:r>
      <w:r w:rsidR="007808DF" w:rsidRPr="004C29A3">
        <w:rPr>
          <w:lang w:val="fr-CA"/>
        </w:rPr>
        <w:t xml:space="preserve"> n’a aucune influence sur l</w:t>
      </w:r>
      <w:r w:rsidR="00CB023D">
        <w:rPr>
          <w:lang w:val="fr-CA"/>
        </w:rPr>
        <w:t>a</w:t>
      </w:r>
      <w:r w:rsidR="007808DF" w:rsidRPr="004C29A3">
        <w:rPr>
          <w:lang w:val="fr-CA"/>
        </w:rPr>
        <w:t xml:space="preserve"> décision que le comité d’audition doit prendre sur la question de savoir s’il devrait accepter la demande de recommandation </w:t>
      </w:r>
      <w:r w:rsidR="00CB023D">
        <w:rPr>
          <w:lang w:val="fr-CA"/>
        </w:rPr>
        <w:t>ou</w:t>
      </w:r>
      <w:r w:rsidR="007808DF" w:rsidRPr="004C29A3">
        <w:rPr>
          <w:lang w:val="fr-CA"/>
        </w:rPr>
        <w:t xml:space="preserve"> s’il devrait recommander le montant demandé</w:t>
      </w:r>
      <w:r w:rsidR="00094802" w:rsidRPr="004C29A3">
        <w:rPr>
          <w:lang w:val="fr-CA"/>
        </w:rPr>
        <w:t>.</w:t>
      </w:r>
    </w:p>
    <w:p w14:paraId="2CEAB496" w14:textId="256B8654" w:rsidR="003B05E5" w:rsidRPr="004C29A3" w:rsidRDefault="00CB023D" w:rsidP="004C29A3">
      <w:pPr>
        <w:pStyle w:val="AParaNumbering"/>
        <w:rPr>
          <w:lang w:val="fr-CA"/>
        </w:rPr>
      </w:pPr>
      <w:r>
        <w:t>[93]</w:t>
      </w:r>
      <w:r>
        <w:tab/>
      </w:r>
      <w:r w:rsidR="007808DF" w:rsidRPr="004C29A3">
        <w:rPr>
          <w:lang w:val="fr-CA"/>
        </w:rPr>
        <w:t>Dans l’affaire</w:t>
      </w:r>
      <w:r w:rsidR="003B05E5" w:rsidRPr="004C29A3">
        <w:rPr>
          <w:lang w:val="fr-CA"/>
        </w:rPr>
        <w:t xml:space="preserve"> </w:t>
      </w:r>
      <w:r w:rsidR="003B05E5" w:rsidRPr="004C29A3">
        <w:rPr>
          <w:i/>
          <w:lang w:val="fr-CA"/>
        </w:rPr>
        <w:t xml:space="preserve">Errol Massiah v. Justices of the Peace Review </w:t>
      </w:r>
      <w:r w:rsidR="003B05E5" w:rsidRPr="004C29A3">
        <w:rPr>
          <w:lang w:val="fr-CA"/>
        </w:rPr>
        <w:t>Council, 2016 ONSC 6191</w:t>
      </w:r>
      <w:r w:rsidR="00EC49D2" w:rsidRPr="004C29A3">
        <w:rPr>
          <w:lang w:val="fr-CA"/>
        </w:rPr>
        <w:t xml:space="preserve">, </w:t>
      </w:r>
      <w:r w:rsidR="007808DF" w:rsidRPr="004C29A3">
        <w:rPr>
          <w:lang w:val="fr-CA"/>
        </w:rPr>
        <w:t>la Cour divisionnaire a déclaré qu’il n’y a pas de présomption contre une recommandation d’indemnisation dans le cas où un juge de paix a fait l’objet d’une conclusion d’inconduite</w:t>
      </w:r>
      <w:r>
        <w:rPr>
          <w:lang w:val="fr-CA"/>
        </w:rPr>
        <w:t>,</w:t>
      </w:r>
      <w:r w:rsidR="007808DF" w:rsidRPr="004C29A3">
        <w:rPr>
          <w:lang w:val="fr-CA"/>
        </w:rPr>
        <w:t xml:space="preserve"> étant donné la nature d’intérêt public de l’instance menée en cas de plainte pour inconduite judiciaire et l’importance d’une magistrature i</w:t>
      </w:r>
      <w:r>
        <w:rPr>
          <w:lang w:val="fr-CA"/>
        </w:rPr>
        <w:t>ndépendante. L’objet de ce genre d’</w:t>
      </w:r>
      <w:r w:rsidR="007808DF" w:rsidRPr="004C29A3">
        <w:rPr>
          <w:lang w:val="fr-CA"/>
        </w:rPr>
        <w:t>instance est de rétablir la confiance du public dans la magistrature et pas de punir le juge de paix en cause</w:t>
      </w:r>
      <w:r w:rsidR="003B05E5" w:rsidRPr="004C29A3">
        <w:rPr>
          <w:lang w:val="fr-CA"/>
        </w:rPr>
        <w:t>.</w:t>
      </w:r>
    </w:p>
    <w:p w14:paraId="431EAEAA" w14:textId="26F9F387" w:rsidR="003B05E5" w:rsidRPr="004C29A3" w:rsidRDefault="00CB023D" w:rsidP="004C29A3">
      <w:pPr>
        <w:pStyle w:val="AParaNumbering"/>
        <w:rPr>
          <w:lang w:val="fr-CA"/>
        </w:rPr>
      </w:pPr>
      <w:r>
        <w:t>[94]</w:t>
      </w:r>
      <w:r>
        <w:tab/>
      </w:r>
      <w:r w:rsidR="00711B8B" w:rsidRPr="004C29A3">
        <w:rPr>
          <w:lang w:val="fr-CA"/>
        </w:rPr>
        <w:t>Dans l’affaire</w:t>
      </w:r>
      <w:r w:rsidR="003B05E5" w:rsidRPr="004C29A3">
        <w:rPr>
          <w:lang w:val="fr-CA"/>
        </w:rPr>
        <w:t xml:space="preserve"> </w:t>
      </w:r>
      <w:r w:rsidR="003B05E5" w:rsidRPr="004C29A3">
        <w:rPr>
          <w:i/>
          <w:lang w:val="fr-CA"/>
        </w:rPr>
        <w:t>Massiah</w:t>
      </w:r>
      <w:r w:rsidR="003B05E5" w:rsidRPr="004C29A3">
        <w:rPr>
          <w:lang w:val="fr-CA"/>
        </w:rPr>
        <w:t xml:space="preserve">, </w:t>
      </w:r>
      <w:r w:rsidR="00711B8B" w:rsidRPr="004C29A3">
        <w:rPr>
          <w:lang w:val="fr-CA"/>
        </w:rPr>
        <w:t>la Cour divis</w:t>
      </w:r>
      <w:r>
        <w:rPr>
          <w:lang w:val="fr-CA"/>
        </w:rPr>
        <w:t>i</w:t>
      </w:r>
      <w:r w:rsidR="00711B8B" w:rsidRPr="004C29A3">
        <w:rPr>
          <w:lang w:val="fr-CA"/>
        </w:rPr>
        <w:t xml:space="preserve">onnaire a énoncé les principes directeurs suivants dont les comités d’audition doivent tenir compte lorsqu’ils tranchent la question de savoir s’il y a lieu de recommander une indemnisation des frais pour services juridiques engagés relativement à l’enquête, aux </w:t>
      </w:r>
      <w:r w:rsidR="003B05E5" w:rsidRPr="004C29A3">
        <w:rPr>
          <w:lang w:val="fr-CA"/>
        </w:rPr>
        <w:t>paragraph</w:t>
      </w:r>
      <w:r w:rsidR="00711B8B" w:rsidRPr="004C29A3">
        <w:rPr>
          <w:lang w:val="fr-CA"/>
        </w:rPr>
        <w:t>e</w:t>
      </w:r>
      <w:r w:rsidR="003B05E5" w:rsidRPr="004C29A3">
        <w:rPr>
          <w:lang w:val="fr-CA"/>
        </w:rPr>
        <w:t xml:space="preserve">s 56 </w:t>
      </w:r>
      <w:r w:rsidR="00711B8B" w:rsidRPr="004C29A3">
        <w:rPr>
          <w:lang w:val="fr-CA"/>
        </w:rPr>
        <w:t>et</w:t>
      </w:r>
      <w:r w:rsidR="003B05E5" w:rsidRPr="004C29A3">
        <w:rPr>
          <w:lang w:val="fr-CA"/>
        </w:rPr>
        <w:t xml:space="preserve"> 57</w:t>
      </w:r>
      <w:r w:rsidR="00711B8B" w:rsidRPr="004C29A3">
        <w:rPr>
          <w:lang w:val="fr-CA"/>
        </w:rPr>
        <w:t> </w:t>
      </w:r>
      <w:r w:rsidR="003B05E5" w:rsidRPr="004C29A3">
        <w:rPr>
          <w:lang w:val="fr-CA"/>
        </w:rPr>
        <w:t>:</w:t>
      </w:r>
    </w:p>
    <w:p w14:paraId="0B1F973D" w14:textId="42B860D9" w:rsidR="003B05E5" w:rsidRPr="004C29A3" w:rsidRDefault="003B05E5" w:rsidP="008412F5">
      <w:pPr>
        <w:pStyle w:val="AParaNumbering"/>
        <w:spacing w:line="240" w:lineRule="auto"/>
        <w:ind w:left="851"/>
        <w:rPr>
          <w:lang w:val="fr-CA"/>
        </w:rPr>
      </w:pPr>
      <w:r w:rsidRPr="004C29A3">
        <w:rPr>
          <w:lang w:val="fr-CA"/>
        </w:rPr>
        <w:t xml:space="preserve">[56] </w:t>
      </w:r>
      <w:r w:rsidR="00C926DD" w:rsidRPr="004C29A3">
        <w:rPr>
          <w:lang w:val="fr-CA"/>
        </w:rPr>
        <w:t>…</w:t>
      </w:r>
      <w:r w:rsidR="00711B8B" w:rsidRPr="004C29A3">
        <w:rPr>
          <w:lang w:val="fr-CA"/>
        </w:rPr>
        <w:t xml:space="preserve"> des organismes décisionnels qui traitent de plaintes contre des officiers de justice doivent partir du principe qu’il est toujours dans l’intérêt de l’administration de la justice de veiller à ce que les personnes qui font l’objet de ces plaintes aient un avocat. Par conséquent, le coût de la conduite d’une procédure équitable et complète doit normalement être payé par les deniers public</w:t>
      </w:r>
      <w:r w:rsidR="00881B0A">
        <w:rPr>
          <w:lang w:val="fr-CA"/>
        </w:rPr>
        <w:t>s</w:t>
      </w:r>
      <w:r w:rsidR="00711B8B" w:rsidRPr="004C29A3">
        <w:rPr>
          <w:lang w:val="fr-CA"/>
        </w:rPr>
        <w:t>, car c’est surtout l’intérêt du public qui est protégé et invoqué tout au long du processus de plainte. Cela souligne une fois de plus la nature d’intérêt public du processus.</w:t>
      </w:r>
    </w:p>
    <w:p w14:paraId="0B7EBCEC" w14:textId="77777777" w:rsidR="00F31E22" w:rsidRPr="004C29A3" w:rsidRDefault="00F31E22" w:rsidP="004C29A3">
      <w:pPr>
        <w:pStyle w:val="AParaNumbering"/>
        <w:rPr>
          <w:lang w:val="fr-CA"/>
        </w:rPr>
      </w:pPr>
    </w:p>
    <w:p w14:paraId="69E1E2F1" w14:textId="449EF656" w:rsidR="004A27BB" w:rsidRPr="004C29A3" w:rsidRDefault="003B05E5" w:rsidP="002D5E8D">
      <w:pPr>
        <w:pStyle w:val="AParaNumbering"/>
        <w:spacing w:line="240" w:lineRule="auto"/>
        <w:ind w:left="851"/>
        <w:rPr>
          <w:lang w:val="fr-CA"/>
        </w:rPr>
      </w:pPr>
      <w:r w:rsidRPr="004C29A3">
        <w:rPr>
          <w:lang w:val="fr-CA"/>
        </w:rPr>
        <w:t xml:space="preserve">[57] </w:t>
      </w:r>
      <w:r w:rsidR="00711B8B" w:rsidRPr="004C29A3">
        <w:rPr>
          <w:lang w:val="fr-CA"/>
        </w:rPr>
        <w:t>Ce qui précède ne signifie pas que dans tous les cas où un officier de justice fait l’objet d’une plainte qui aboutit, cet officier de justice peut s’attendre à être indemnisé de ses frais pour services juridiques</w:t>
      </w:r>
      <w:r w:rsidR="00094802" w:rsidRPr="004C29A3">
        <w:rPr>
          <w:lang w:val="fr-CA"/>
        </w:rPr>
        <w:t>.</w:t>
      </w:r>
      <w:r w:rsidRPr="004C29A3">
        <w:rPr>
          <w:lang w:val="fr-CA"/>
        </w:rPr>
        <w:t xml:space="preserve"> </w:t>
      </w:r>
      <w:r w:rsidR="00711B8B" w:rsidRPr="004C29A3">
        <w:rPr>
          <w:lang w:val="fr-CA"/>
        </w:rPr>
        <w:t xml:space="preserve">C’est une décision qui doit être prise au cas par cas, après avoir pris en considération les circonstances particulières du cas dans le contexte de l’objectif du processus. Parmi ces circonstances, deux sont primordiales : la nature de l’inconduite et son rapport à la charge judiciaire. Par exemple, une inconduite directement liée à la charge judiciaire justifierait davantage une indemnisation qu’une conduite moins liée à la charge judiciaire. En revanche, une conduite que n’importe qui aurait dû considérer comme inappropriée justifiera moins une décision d’indemnisation </w:t>
      </w:r>
      <w:r w:rsidR="00711B8B" w:rsidRPr="004C29A3">
        <w:rPr>
          <w:lang w:val="fr-CA"/>
        </w:rPr>
        <w:lastRenderedPageBreak/>
        <w:t>qu’une conduite qui ne serait jugée inappropriée que par la décision rendue dans le cadre de la procédure sur ce cas. En outre, il est moins approprié de faire une recommandation d’indemnisation en cas de multiples incidents d’inconduite, qu’en cas d’un seul incident d’inconduite. De même, une inconduite qui se répète mérite moins une recommandation d’indemnisation qu’un incident isolé</w:t>
      </w:r>
      <w:r w:rsidR="00094802" w:rsidRPr="004C29A3">
        <w:rPr>
          <w:lang w:val="fr-CA"/>
        </w:rPr>
        <w:t>.</w:t>
      </w:r>
      <w:r w:rsidR="00711B8B" w:rsidRPr="004C29A3">
        <w:rPr>
          <w:lang w:val="fr-CA"/>
        </w:rPr>
        <w:t> » [traduction].</w:t>
      </w:r>
    </w:p>
    <w:p w14:paraId="05827E92" w14:textId="32D08F43" w:rsidR="003B05E5" w:rsidRPr="004C29A3" w:rsidRDefault="002D5E8D" w:rsidP="004C29A3">
      <w:pPr>
        <w:pStyle w:val="AParaNumbering"/>
        <w:rPr>
          <w:lang w:val="fr-CA"/>
        </w:rPr>
      </w:pPr>
      <w:r>
        <w:t>[95]</w:t>
      </w:r>
      <w:r>
        <w:tab/>
      </w:r>
      <w:r w:rsidR="00711B8B" w:rsidRPr="004C29A3">
        <w:rPr>
          <w:lang w:val="fr-CA"/>
        </w:rPr>
        <w:t xml:space="preserve">Les facteurs énoncés par la Cour divisionnaire dans l’affaire </w:t>
      </w:r>
      <w:r w:rsidR="003B05E5" w:rsidRPr="004C29A3">
        <w:rPr>
          <w:i/>
          <w:lang w:val="fr-CA"/>
        </w:rPr>
        <w:t>Massiah</w:t>
      </w:r>
      <w:r w:rsidR="003B05E5" w:rsidRPr="004C29A3">
        <w:rPr>
          <w:lang w:val="fr-CA"/>
        </w:rPr>
        <w:t xml:space="preserve"> </w:t>
      </w:r>
      <w:r w:rsidR="00711B8B" w:rsidRPr="004C29A3">
        <w:rPr>
          <w:lang w:val="fr-CA"/>
        </w:rPr>
        <w:t xml:space="preserve">ont été appliqués dans </w:t>
      </w:r>
      <w:r w:rsidR="003B05E5" w:rsidRPr="003035E1">
        <w:rPr>
          <w:i/>
          <w:lang w:val="fr-CA"/>
        </w:rPr>
        <w:t>Re: Foulds: D</w:t>
      </w:r>
      <w:r w:rsidR="00711B8B" w:rsidRPr="003035E1">
        <w:rPr>
          <w:i/>
          <w:lang w:val="fr-CA"/>
        </w:rPr>
        <w:t>é</w:t>
      </w:r>
      <w:r w:rsidR="003B05E5" w:rsidRPr="003035E1">
        <w:rPr>
          <w:i/>
          <w:lang w:val="fr-CA"/>
        </w:rPr>
        <w:t xml:space="preserve">cision </w:t>
      </w:r>
      <w:r w:rsidR="00711B8B" w:rsidRPr="003035E1">
        <w:rPr>
          <w:i/>
          <w:lang w:val="fr-CA"/>
        </w:rPr>
        <w:t>sur la mesure à prendre et l’indemnisation des frais pour services juridiques après une conclusion d’inconduite</w:t>
      </w:r>
      <w:r w:rsidR="003B05E5" w:rsidRPr="003035E1">
        <w:rPr>
          <w:i/>
          <w:lang w:val="fr-CA"/>
        </w:rPr>
        <w:t xml:space="preserve"> </w:t>
      </w:r>
      <w:r w:rsidR="007C4451" w:rsidRPr="003035E1">
        <w:rPr>
          <w:i/>
          <w:lang w:val="fr-CA"/>
        </w:rPr>
        <w:t>judiciaire</w:t>
      </w:r>
      <w:r w:rsidR="007C4451" w:rsidRPr="004C29A3">
        <w:rPr>
          <w:lang w:val="fr-CA"/>
        </w:rPr>
        <w:t xml:space="preserve"> </w:t>
      </w:r>
      <w:r w:rsidR="003B05E5" w:rsidRPr="004C29A3">
        <w:rPr>
          <w:lang w:val="fr-CA"/>
        </w:rPr>
        <w:t>(</w:t>
      </w:r>
      <w:r w:rsidR="00711B8B" w:rsidRPr="004C29A3">
        <w:rPr>
          <w:lang w:val="fr-CA"/>
        </w:rPr>
        <w:t>CEJP</w:t>
      </w:r>
      <w:r w:rsidR="003B05E5" w:rsidRPr="004C29A3">
        <w:rPr>
          <w:lang w:val="fr-CA"/>
        </w:rPr>
        <w:t xml:space="preserve">, 2018), </w:t>
      </w:r>
      <w:r w:rsidR="003B05E5" w:rsidRPr="003035E1">
        <w:rPr>
          <w:i/>
          <w:lang w:val="fr-CA"/>
        </w:rPr>
        <w:t xml:space="preserve">Re: Keast: </w:t>
      </w:r>
      <w:r w:rsidR="007C4451" w:rsidRPr="003035E1">
        <w:rPr>
          <w:i/>
          <w:lang w:val="fr-CA"/>
        </w:rPr>
        <w:t xml:space="preserve">Motifs de décision </w:t>
      </w:r>
      <w:r w:rsidR="003B05E5" w:rsidRPr="003035E1">
        <w:rPr>
          <w:i/>
          <w:lang w:val="fr-CA"/>
        </w:rPr>
        <w:t xml:space="preserve">– </w:t>
      </w:r>
      <w:r w:rsidR="007C4451" w:rsidRPr="003035E1">
        <w:rPr>
          <w:i/>
          <w:lang w:val="fr-CA"/>
        </w:rPr>
        <w:t>Indemnisation des frais pour services juridiques</w:t>
      </w:r>
      <w:r w:rsidR="007C4451" w:rsidRPr="004C29A3">
        <w:rPr>
          <w:lang w:val="fr-CA"/>
        </w:rPr>
        <w:t xml:space="preserve"> </w:t>
      </w:r>
      <w:r w:rsidR="003B05E5" w:rsidRPr="004C29A3">
        <w:rPr>
          <w:lang w:val="fr-CA"/>
        </w:rPr>
        <w:t>(</w:t>
      </w:r>
      <w:r w:rsidR="007C4451" w:rsidRPr="004C29A3">
        <w:rPr>
          <w:lang w:val="fr-CA"/>
        </w:rPr>
        <w:t>CMO</w:t>
      </w:r>
      <w:r w:rsidR="00A84B27" w:rsidRPr="004C29A3">
        <w:rPr>
          <w:lang w:val="fr-CA"/>
        </w:rPr>
        <w:t xml:space="preserve">, </w:t>
      </w:r>
      <w:r w:rsidR="003B05E5" w:rsidRPr="004C29A3">
        <w:rPr>
          <w:lang w:val="fr-CA"/>
        </w:rPr>
        <w:t xml:space="preserve">2018) </w:t>
      </w:r>
      <w:r w:rsidR="007C4451" w:rsidRPr="004C29A3">
        <w:rPr>
          <w:lang w:val="fr-CA"/>
        </w:rPr>
        <w:t>et</w:t>
      </w:r>
      <w:r w:rsidR="003B05E5" w:rsidRPr="004C29A3">
        <w:rPr>
          <w:lang w:val="fr-CA"/>
        </w:rPr>
        <w:t xml:space="preserve"> </w:t>
      </w:r>
      <w:r w:rsidR="003B05E5" w:rsidRPr="003035E1">
        <w:rPr>
          <w:i/>
          <w:lang w:val="fr-CA"/>
        </w:rPr>
        <w:t xml:space="preserve">Re: Bisson: </w:t>
      </w:r>
      <w:r w:rsidR="007C4451" w:rsidRPr="003035E1">
        <w:rPr>
          <w:i/>
          <w:lang w:val="fr-CA"/>
        </w:rPr>
        <w:t>Motifs de décision - Décision sur la mesure à prendre et l’indemnisation des frais pour services juridiques après une conclusion d’inconduite judiciaire</w:t>
      </w:r>
      <w:r w:rsidR="007C4451" w:rsidRPr="004C29A3">
        <w:rPr>
          <w:lang w:val="fr-CA"/>
        </w:rPr>
        <w:t xml:space="preserve"> </w:t>
      </w:r>
      <w:r w:rsidR="00094802" w:rsidRPr="004C29A3">
        <w:rPr>
          <w:lang w:val="fr-CA"/>
        </w:rPr>
        <w:t>(</w:t>
      </w:r>
      <w:r w:rsidR="007C4451" w:rsidRPr="004C29A3">
        <w:rPr>
          <w:lang w:val="fr-CA"/>
        </w:rPr>
        <w:t>CEJP</w:t>
      </w:r>
      <w:r w:rsidR="00094802" w:rsidRPr="004C29A3">
        <w:rPr>
          <w:lang w:val="fr-CA"/>
        </w:rPr>
        <w:t>, 2018).</w:t>
      </w:r>
    </w:p>
    <w:p w14:paraId="4F1C3B22" w14:textId="6E9F8D4F" w:rsidR="00A84B27" w:rsidRPr="004C29A3" w:rsidRDefault="003035E1" w:rsidP="004C29A3">
      <w:pPr>
        <w:pStyle w:val="AParaNumbering"/>
        <w:rPr>
          <w:lang w:val="fr-CA"/>
        </w:rPr>
      </w:pPr>
      <w:r>
        <w:t>[96]</w:t>
      </w:r>
      <w:r>
        <w:tab/>
      </w:r>
      <w:r w:rsidR="00755EED" w:rsidRPr="004C29A3">
        <w:rPr>
          <w:lang w:val="fr-CA"/>
        </w:rPr>
        <w:t>M</w:t>
      </w:r>
      <w:r w:rsidR="007C4451" w:rsidRPr="004C29A3">
        <w:rPr>
          <w:lang w:val="fr-CA"/>
        </w:rPr>
        <w:t>e</w:t>
      </w:r>
      <w:r w:rsidR="00755EED" w:rsidRPr="004C29A3">
        <w:rPr>
          <w:lang w:val="fr-CA"/>
        </w:rPr>
        <w:t xml:space="preserve"> Sandler </w:t>
      </w:r>
      <w:r w:rsidR="005639D0" w:rsidRPr="004C29A3">
        <w:rPr>
          <w:lang w:val="fr-CA"/>
        </w:rPr>
        <w:t>fait valoir que les circonstances sont extrêmement favorables à une recommandation d’indemnisation des frais pour services juridiques qu’a engagés la juge de paix relativement à l’audience</w:t>
      </w:r>
      <w:r w:rsidR="00A84B27" w:rsidRPr="004C29A3">
        <w:rPr>
          <w:lang w:val="fr-CA"/>
        </w:rPr>
        <w:t>.</w:t>
      </w:r>
    </w:p>
    <w:p w14:paraId="4C0098E5" w14:textId="4D673C6D" w:rsidR="00755EED" w:rsidRPr="004C29A3" w:rsidRDefault="003035E1" w:rsidP="004C29A3">
      <w:pPr>
        <w:pStyle w:val="AParaNumbering"/>
        <w:rPr>
          <w:lang w:val="fr-CA"/>
        </w:rPr>
      </w:pPr>
      <w:r>
        <w:t>[97]</w:t>
      </w:r>
      <w:r>
        <w:tab/>
      </w:r>
      <w:r w:rsidR="00BA1749" w:rsidRPr="004C29A3">
        <w:rPr>
          <w:lang w:val="fr-CA"/>
        </w:rPr>
        <w:t xml:space="preserve">L’avocat chargé de la présentation </w:t>
      </w:r>
      <w:r w:rsidR="009A7BBB" w:rsidRPr="004C29A3">
        <w:rPr>
          <w:lang w:val="fr-CA"/>
        </w:rPr>
        <w:t>accepte les observations juridiques de la juge de paix au sujet des dépens. Il soutient également que les taux et les débours demandés ainsi que le montant total sont raisonnables et appropriés</w:t>
      </w:r>
      <w:r w:rsidR="00094802" w:rsidRPr="004C29A3">
        <w:rPr>
          <w:lang w:val="fr-CA"/>
        </w:rPr>
        <w:t>.</w:t>
      </w:r>
    </w:p>
    <w:p w14:paraId="5827F7C7" w14:textId="7F86B5C0" w:rsidR="00755EED" w:rsidRPr="004C29A3" w:rsidRDefault="003035E1" w:rsidP="004C29A3">
      <w:pPr>
        <w:pStyle w:val="AParaNumbering"/>
        <w:rPr>
          <w:lang w:val="fr-CA"/>
        </w:rPr>
      </w:pPr>
      <w:r>
        <w:t>[98]</w:t>
      </w:r>
      <w:r>
        <w:tab/>
      </w:r>
      <w:r w:rsidR="009A7BBB" w:rsidRPr="004C29A3">
        <w:rPr>
          <w:lang w:val="fr-CA"/>
        </w:rPr>
        <w:t>Dans les circonstances portées devant le comité d’audition, l’inconduite était directement liée à la charge judiciaire. Ce facteur signifie que la juge de paix mérite encore plus une ordonnance d’indemnisation que si sa conduite était moins liée directement à sa charge judiciaire</w:t>
      </w:r>
      <w:r w:rsidR="003B05E5" w:rsidRPr="004C29A3">
        <w:rPr>
          <w:lang w:val="fr-CA"/>
        </w:rPr>
        <w:t>.</w:t>
      </w:r>
    </w:p>
    <w:p w14:paraId="40984E4D" w14:textId="34EC0729" w:rsidR="00755EED" w:rsidRPr="004C29A3" w:rsidRDefault="003035E1" w:rsidP="004C29A3">
      <w:pPr>
        <w:pStyle w:val="AParaNumbering"/>
        <w:rPr>
          <w:lang w:val="fr-CA"/>
        </w:rPr>
      </w:pPr>
      <w:r>
        <w:t>[99]</w:t>
      </w:r>
      <w:r>
        <w:tab/>
      </w:r>
      <w:r w:rsidR="009A7BBB" w:rsidRPr="004C29A3">
        <w:rPr>
          <w:lang w:val="fr-CA"/>
        </w:rPr>
        <w:t xml:space="preserve">Quiconque, y compris un juge de paix chevronné, devrait savoir que la conduite était inappropriée. Le principe </w:t>
      </w:r>
      <w:r w:rsidR="003B05E5" w:rsidRPr="004C29A3">
        <w:rPr>
          <w:i/>
          <w:lang w:val="fr-CA"/>
        </w:rPr>
        <w:t>Stare decisis</w:t>
      </w:r>
      <w:r w:rsidR="003B05E5" w:rsidRPr="004C29A3">
        <w:rPr>
          <w:lang w:val="fr-CA"/>
        </w:rPr>
        <w:t xml:space="preserve"> </w:t>
      </w:r>
      <w:r w:rsidR="009A7BBB" w:rsidRPr="004C29A3">
        <w:rPr>
          <w:lang w:val="fr-CA"/>
        </w:rPr>
        <w:t>et l’exigence de fournir des motifs formels en cas de rejet d’observations sont des principes fondamentaux du système de justice. Une inconduite à cet égard mérite moins une décision d’indemnisation</w:t>
      </w:r>
      <w:r w:rsidR="003B05E5" w:rsidRPr="004C29A3">
        <w:rPr>
          <w:lang w:val="fr-CA"/>
        </w:rPr>
        <w:t>.</w:t>
      </w:r>
    </w:p>
    <w:p w14:paraId="560B2B58" w14:textId="1442ED79" w:rsidR="00755EED" w:rsidRPr="004C29A3" w:rsidRDefault="003035E1" w:rsidP="004C29A3">
      <w:pPr>
        <w:pStyle w:val="AParaNumbering"/>
        <w:rPr>
          <w:lang w:val="fr-CA"/>
        </w:rPr>
      </w:pPr>
      <w:r>
        <w:t>[100]</w:t>
      </w:r>
      <w:r>
        <w:tab/>
      </w:r>
      <w:r w:rsidR="009A7BBB" w:rsidRPr="004C29A3">
        <w:rPr>
          <w:lang w:val="fr-CA"/>
        </w:rPr>
        <w:t xml:space="preserve">L’inconduite s’est répétée à plusieurs reprises, sur une période de presque une année. En cas de multiples cas d’inconduite judiciaire, le juge de paix mérite </w:t>
      </w:r>
      <w:r w:rsidR="009A7BBB" w:rsidRPr="004C29A3">
        <w:rPr>
          <w:lang w:val="fr-CA"/>
        </w:rPr>
        <w:lastRenderedPageBreak/>
        <w:t xml:space="preserve">moins une recommandation d’indemnisation complète que s’il avait commis un seul cas d’inconduite. </w:t>
      </w:r>
    </w:p>
    <w:p w14:paraId="5692E3BF" w14:textId="65317C7D" w:rsidR="00755EED" w:rsidRPr="004C29A3" w:rsidRDefault="003035E1" w:rsidP="004C29A3">
      <w:pPr>
        <w:pStyle w:val="AParaNumbering"/>
        <w:rPr>
          <w:lang w:val="fr-CA"/>
        </w:rPr>
      </w:pPr>
      <w:r>
        <w:t>[101]</w:t>
      </w:r>
      <w:r>
        <w:tab/>
      </w:r>
      <w:r w:rsidR="00C50477" w:rsidRPr="004C29A3">
        <w:rPr>
          <w:lang w:val="fr-CA"/>
        </w:rPr>
        <w:t>Il n’existe pas de conclusions antérieures d’inconduite à l’encontre de la juge de paix. En l’absence de conclusions antérieures d’inconduite judiciaire, la juge de paix mérite davantage une ordonnance d’indemnisation</w:t>
      </w:r>
      <w:r w:rsidR="003B05E5" w:rsidRPr="004C29A3">
        <w:rPr>
          <w:lang w:val="fr-CA"/>
        </w:rPr>
        <w:t>.</w:t>
      </w:r>
    </w:p>
    <w:p w14:paraId="1858F001" w14:textId="14BE04CC" w:rsidR="00755EED" w:rsidRPr="004C29A3" w:rsidRDefault="008C7E9C" w:rsidP="004C29A3">
      <w:pPr>
        <w:pStyle w:val="AParaNumbering"/>
        <w:rPr>
          <w:lang w:val="fr-CA"/>
        </w:rPr>
      </w:pPr>
      <w:r>
        <w:t>[102]</w:t>
      </w:r>
      <w:r>
        <w:tab/>
      </w:r>
      <w:r w:rsidR="00C50477" w:rsidRPr="004C29A3">
        <w:rPr>
          <w:lang w:val="fr-CA"/>
        </w:rPr>
        <w:t>La conduite de l’audience constitue un facteur</w:t>
      </w:r>
      <w:r>
        <w:rPr>
          <w:lang w:val="fr-CA"/>
        </w:rPr>
        <w:t xml:space="preserve"> dont il faut tenir compte</w:t>
      </w:r>
      <w:r w:rsidR="00C50477" w:rsidRPr="004C29A3">
        <w:rPr>
          <w:lang w:val="fr-CA"/>
        </w:rPr>
        <w:t xml:space="preserve">. </w:t>
      </w:r>
      <w:r w:rsidR="00F65D71" w:rsidRPr="004C29A3">
        <w:rPr>
          <w:lang w:val="fr-CA"/>
        </w:rPr>
        <w:t xml:space="preserve">L’avocat chargé de la présentation et l’avocat de la juge de paix ont accompli énormément de travail, </w:t>
      </w:r>
      <w:r>
        <w:rPr>
          <w:lang w:val="fr-CA"/>
        </w:rPr>
        <w:t xml:space="preserve">ce </w:t>
      </w:r>
      <w:r w:rsidR="00F65D71" w:rsidRPr="004C29A3">
        <w:rPr>
          <w:lang w:val="fr-CA"/>
        </w:rPr>
        <w:t>qui a économisé un temps considérable au tribunal. Trois semaines environ avaient été réservées pour l’audience. Grâce à la rapidité avec laquelle l’instance s’est déroulée, notamment la présentation d’un Exposé conjoint des faits et d’observations conjointes, nous avons pu réduire l’audience d’environ trois semaines à deux jours. Nul</w:t>
      </w:r>
      <w:r w:rsidR="00881B0A">
        <w:rPr>
          <w:lang w:val="fr-CA"/>
        </w:rPr>
        <w:t>s</w:t>
      </w:r>
      <w:r w:rsidR="00F65D71" w:rsidRPr="004C29A3">
        <w:rPr>
          <w:lang w:val="fr-CA"/>
        </w:rPr>
        <w:t xml:space="preserve"> dépens n’</w:t>
      </w:r>
      <w:r w:rsidR="00881B0A">
        <w:rPr>
          <w:lang w:val="fr-CA"/>
        </w:rPr>
        <w:t>ont</w:t>
      </w:r>
      <w:r w:rsidR="00F65D71" w:rsidRPr="004C29A3">
        <w:rPr>
          <w:lang w:val="fr-CA"/>
        </w:rPr>
        <w:t xml:space="preserve"> été engagé</w:t>
      </w:r>
      <w:r w:rsidR="00881B0A">
        <w:rPr>
          <w:lang w:val="fr-CA"/>
        </w:rPr>
        <w:t>s</w:t>
      </w:r>
      <w:r w:rsidR="00F65D71" w:rsidRPr="004C29A3">
        <w:rPr>
          <w:lang w:val="fr-CA"/>
        </w:rPr>
        <w:t xml:space="preserve"> relativement à des mesures que le comité d’audition considère comme inutiles et non fondé</w:t>
      </w:r>
      <w:r>
        <w:rPr>
          <w:lang w:val="fr-CA"/>
        </w:rPr>
        <w:t>e</w:t>
      </w:r>
      <w:r w:rsidR="00F65D71" w:rsidRPr="004C29A3">
        <w:rPr>
          <w:lang w:val="fr-CA"/>
        </w:rPr>
        <w:t>s</w:t>
      </w:r>
      <w:r>
        <w:rPr>
          <w:lang w:val="fr-CA"/>
        </w:rPr>
        <w:t>.</w:t>
      </w:r>
    </w:p>
    <w:p w14:paraId="4CBD56E8" w14:textId="55D6DF13" w:rsidR="00D12C1C" w:rsidRPr="004C29A3" w:rsidRDefault="008C7E9C" w:rsidP="004C29A3">
      <w:pPr>
        <w:pStyle w:val="AParaNumbering"/>
        <w:rPr>
          <w:lang w:val="fr-CA"/>
        </w:rPr>
      </w:pPr>
      <w:r>
        <w:t>[103]</w:t>
      </w:r>
      <w:r>
        <w:tab/>
      </w:r>
      <w:r w:rsidR="00F65D71" w:rsidRPr="004C29A3">
        <w:rPr>
          <w:lang w:val="fr-CA"/>
        </w:rPr>
        <w:t xml:space="preserve">Au vu de tous ces facteurs, le comité d’audition estime que la juge de paix devrait être indemnisée d’un montant de </w:t>
      </w:r>
      <w:r w:rsidR="003B05E5" w:rsidRPr="004C29A3">
        <w:rPr>
          <w:lang w:val="fr-CA"/>
        </w:rPr>
        <w:t>30</w:t>
      </w:r>
      <w:r w:rsidR="00F65D71" w:rsidRPr="004C29A3">
        <w:rPr>
          <w:lang w:val="fr-CA"/>
        </w:rPr>
        <w:t> </w:t>
      </w:r>
      <w:r w:rsidR="003B05E5" w:rsidRPr="004C29A3">
        <w:rPr>
          <w:lang w:val="fr-CA"/>
        </w:rPr>
        <w:t>000</w:t>
      </w:r>
      <w:r w:rsidR="00F65D71" w:rsidRPr="004C29A3">
        <w:rPr>
          <w:lang w:val="fr-CA"/>
        </w:rPr>
        <w:t>,</w:t>
      </w:r>
      <w:r w:rsidR="003B05E5" w:rsidRPr="004C29A3">
        <w:rPr>
          <w:lang w:val="fr-CA"/>
        </w:rPr>
        <w:t xml:space="preserve">00 </w:t>
      </w:r>
      <w:r w:rsidR="00F65D71" w:rsidRPr="004C29A3">
        <w:rPr>
          <w:lang w:val="fr-CA"/>
        </w:rPr>
        <w:t xml:space="preserve">$ </w:t>
      </w:r>
      <w:r w:rsidR="003B05E5" w:rsidRPr="004C29A3">
        <w:rPr>
          <w:lang w:val="fr-CA"/>
        </w:rPr>
        <w:t xml:space="preserve">plus </w:t>
      </w:r>
      <w:r w:rsidR="00F65D71" w:rsidRPr="004C29A3">
        <w:rPr>
          <w:lang w:val="fr-CA"/>
        </w:rPr>
        <w:t>la TVH et de ses débours</w:t>
      </w:r>
      <w:r w:rsidR="00BC45F8" w:rsidRPr="004C29A3">
        <w:rPr>
          <w:lang w:val="fr-CA"/>
        </w:rPr>
        <w:t xml:space="preserve">, pour un montant total de </w:t>
      </w:r>
      <w:r w:rsidR="003B05E5" w:rsidRPr="004C29A3">
        <w:rPr>
          <w:lang w:val="fr-CA"/>
        </w:rPr>
        <w:t>33</w:t>
      </w:r>
      <w:r w:rsidR="00BC45F8" w:rsidRPr="004C29A3">
        <w:rPr>
          <w:lang w:val="fr-CA"/>
        </w:rPr>
        <w:t> </w:t>
      </w:r>
      <w:r w:rsidR="003B05E5" w:rsidRPr="004C29A3">
        <w:rPr>
          <w:lang w:val="fr-CA"/>
        </w:rPr>
        <w:t>994</w:t>
      </w:r>
      <w:r w:rsidR="00BC45F8" w:rsidRPr="004C29A3">
        <w:rPr>
          <w:lang w:val="fr-CA"/>
        </w:rPr>
        <w:t>,</w:t>
      </w:r>
      <w:r w:rsidR="003B05E5" w:rsidRPr="004C29A3">
        <w:rPr>
          <w:lang w:val="fr-CA"/>
        </w:rPr>
        <w:t>75</w:t>
      </w:r>
      <w:r w:rsidR="00BC45F8" w:rsidRPr="004C29A3">
        <w:rPr>
          <w:lang w:val="fr-CA"/>
        </w:rPr>
        <w:t> $</w:t>
      </w:r>
      <w:r w:rsidR="003B05E5" w:rsidRPr="004C29A3">
        <w:rPr>
          <w:lang w:val="fr-CA"/>
        </w:rPr>
        <w:t>.</w:t>
      </w:r>
      <w:r w:rsidR="00BC45F8" w:rsidRPr="004C29A3">
        <w:rPr>
          <w:lang w:val="fr-CA"/>
        </w:rPr>
        <w:t xml:space="preserve"> Le montant que la juge de paix a demandé a été réduit en raison de ses multiples cas d’inconduite qui se sont produits sur une période considérablement longue et du fait qu’en qualité de juge de paix chevronnée, elle aurait dû connaître les concepts juridiques de base analysés ci-dessus. Par ailleurs, le comité d’audition juge qu’il est excessif de facturer des frais pour la livraison d’un document. En conséquence, les frais facturés pour ce service ne sont pas approuvés</w:t>
      </w:r>
      <w:r w:rsidR="00247B7B" w:rsidRPr="004C29A3">
        <w:rPr>
          <w:lang w:val="fr-CA"/>
        </w:rPr>
        <w:t xml:space="preserve">. </w:t>
      </w:r>
      <w:r w:rsidR="00BC45F8" w:rsidRPr="004C29A3">
        <w:rPr>
          <w:lang w:val="fr-CA"/>
        </w:rPr>
        <w:t>Une recommandation sera faite à la procureure générale en conséquence</w:t>
      </w:r>
      <w:r w:rsidR="00094802" w:rsidRPr="004C29A3">
        <w:rPr>
          <w:lang w:val="fr-CA"/>
        </w:rPr>
        <w:t>.</w:t>
      </w:r>
    </w:p>
    <w:p w14:paraId="2C82A02C" w14:textId="77777777" w:rsidR="00094802" w:rsidRPr="004C29A3" w:rsidRDefault="00094802" w:rsidP="00D12C1C">
      <w:pPr>
        <w:rPr>
          <w:rFonts w:ascii="Arial" w:hAnsi="Arial" w:cs="Arial"/>
          <w:sz w:val="24"/>
          <w:szCs w:val="24"/>
          <w:lang w:val="fr-CA"/>
        </w:rPr>
      </w:pPr>
    </w:p>
    <w:p w14:paraId="16BBE590" w14:textId="4BE3DB26" w:rsidR="00D12C1C" w:rsidRPr="004C29A3" w:rsidRDefault="00BC45F8" w:rsidP="00D12C1C">
      <w:pPr>
        <w:rPr>
          <w:rFonts w:ascii="Arial" w:hAnsi="Arial" w:cs="Arial"/>
          <w:sz w:val="24"/>
          <w:szCs w:val="24"/>
          <w:lang w:val="fr-CA"/>
        </w:rPr>
      </w:pPr>
      <w:r w:rsidRPr="004C29A3">
        <w:rPr>
          <w:rFonts w:ascii="Arial" w:hAnsi="Arial" w:cs="Arial"/>
          <w:sz w:val="24"/>
          <w:szCs w:val="24"/>
          <w:lang w:val="fr-CA"/>
        </w:rPr>
        <w:t xml:space="preserve">Fait le 29 août </w:t>
      </w:r>
      <w:r w:rsidR="00884FA7" w:rsidRPr="004C29A3">
        <w:rPr>
          <w:rFonts w:ascii="Arial" w:hAnsi="Arial" w:cs="Arial"/>
          <w:sz w:val="24"/>
          <w:szCs w:val="24"/>
          <w:lang w:val="fr-CA"/>
        </w:rPr>
        <w:t>2018</w:t>
      </w:r>
    </w:p>
    <w:p w14:paraId="416292A4" w14:textId="77777777" w:rsidR="00D12C1C" w:rsidRPr="004C29A3" w:rsidRDefault="00D12C1C" w:rsidP="00D12C1C">
      <w:pPr>
        <w:rPr>
          <w:rFonts w:ascii="Arial" w:hAnsi="Arial" w:cs="Arial"/>
          <w:sz w:val="24"/>
          <w:szCs w:val="24"/>
          <w:lang w:val="fr-CA"/>
        </w:rPr>
      </w:pPr>
    </w:p>
    <w:p w14:paraId="7DA0626F" w14:textId="4019AF39" w:rsidR="00D12C1C" w:rsidRPr="004C29A3" w:rsidRDefault="00BC45F8" w:rsidP="00D12C1C">
      <w:pPr>
        <w:rPr>
          <w:rFonts w:ascii="Arial" w:hAnsi="Arial" w:cs="Arial"/>
          <w:b/>
          <w:sz w:val="24"/>
          <w:szCs w:val="24"/>
          <w:lang w:val="fr-CA"/>
        </w:rPr>
      </w:pPr>
      <w:r w:rsidRPr="004C29A3">
        <w:rPr>
          <w:rFonts w:ascii="Arial" w:hAnsi="Arial" w:cs="Arial"/>
          <w:b/>
          <w:sz w:val="24"/>
          <w:szCs w:val="24"/>
          <w:lang w:val="fr-CA"/>
        </w:rPr>
        <w:t xml:space="preserve">COMITÉ D’AUDITION </w:t>
      </w:r>
      <w:r w:rsidR="00884FA7" w:rsidRPr="004C29A3">
        <w:rPr>
          <w:rFonts w:ascii="Arial" w:hAnsi="Arial" w:cs="Arial"/>
          <w:b/>
          <w:sz w:val="24"/>
          <w:szCs w:val="24"/>
          <w:lang w:val="fr-CA"/>
        </w:rPr>
        <w:t>:</w:t>
      </w:r>
    </w:p>
    <w:p w14:paraId="0CED39C2" w14:textId="40980EC4" w:rsidR="00D12C1C" w:rsidRPr="004C29A3" w:rsidRDefault="00BC45F8" w:rsidP="00D12C1C">
      <w:pPr>
        <w:rPr>
          <w:rFonts w:ascii="Arial" w:hAnsi="Arial" w:cs="Arial"/>
          <w:sz w:val="24"/>
          <w:szCs w:val="24"/>
          <w:lang w:val="fr-CA"/>
        </w:rPr>
      </w:pPr>
      <w:r w:rsidRPr="004C29A3">
        <w:rPr>
          <w:rFonts w:ascii="Arial" w:hAnsi="Arial" w:cs="Arial"/>
          <w:sz w:val="24"/>
          <w:szCs w:val="24"/>
          <w:lang w:val="fr-CA"/>
        </w:rPr>
        <w:t>L’honorable</w:t>
      </w:r>
      <w:r w:rsidR="00884FA7" w:rsidRPr="004C29A3">
        <w:rPr>
          <w:rFonts w:ascii="Arial" w:hAnsi="Arial" w:cs="Arial"/>
          <w:sz w:val="24"/>
          <w:szCs w:val="24"/>
          <w:lang w:val="fr-CA"/>
        </w:rPr>
        <w:t xml:space="preserve"> Diane M. Lahaie</w:t>
      </w:r>
      <w:r w:rsidR="00694FC2" w:rsidRPr="004C29A3">
        <w:rPr>
          <w:rFonts w:ascii="Arial" w:hAnsi="Arial" w:cs="Arial"/>
          <w:sz w:val="24"/>
          <w:szCs w:val="24"/>
          <w:lang w:val="fr-CA"/>
        </w:rPr>
        <w:t xml:space="preserve">, </w:t>
      </w:r>
      <w:r w:rsidRPr="004C29A3">
        <w:rPr>
          <w:rFonts w:ascii="Arial" w:hAnsi="Arial" w:cs="Arial"/>
          <w:sz w:val="24"/>
          <w:szCs w:val="24"/>
          <w:lang w:val="fr-CA"/>
        </w:rPr>
        <w:t>présidente</w:t>
      </w:r>
    </w:p>
    <w:p w14:paraId="03CD7DA7" w14:textId="2BE72FE6" w:rsidR="00D12C1C" w:rsidRPr="004C29A3" w:rsidRDefault="00BC45F8" w:rsidP="00D12C1C">
      <w:pPr>
        <w:rPr>
          <w:rFonts w:ascii="Arial" w:hAnsi="Arial" w:cs="Arial"/>
          <w:sz w:val="24"/>
          <w:szCs w:val="24"/>
          <w:lang w:val="fr-CA"/>
        </w:rPr>
      </w:pPr>
      <w:r w:rsidRPr="004C29A3">
        <w:rPr>
          <w:rFonts w:ascii="Arial" w:hAnsi="Arial" w:cs="Arial"/>
          <w:sz w:val="24"/>
          <w:szCs w:val="24"/>
          <w:lang w:val="fr-CA"/>
        </w:rPr>
        <w:lastRenderedPageBreak/>
        <w:t>Le juge de paix</w:t>
      </w:r>
      <w:r w:rsidR="00884FA7" w:rsidRPr="004C29A3">
        <w:rPr>
          <w:rFonts w:ascii="Arial" w:hAnsi="Arial" w:cs="Arial"/>
          <w:sz w:val="24"/>
          <w:szCs w:val="24"/>
          <w:lang w:val="fr-CA"/>
        </w:rPr>
        <w:t xml:space="preserve"> Bruce Leaman</w:t>
      </w:r>
    </w:p>
    <w:p w14:paraId="07E31E85" w14:textId="32304671" w:rsidR="00D12C1C" w:rsidRPr="004C29A3" w:rsidRDefault="00884FA7" w:rsidP="00D12C1C">
      <w:pPr>
        <w:rPr>
          <w:rFonts w:ascii="Arial" w:hAnsi="Arial" w:cs="Arial"/>
          <w:b/>
          <w:sz w:val="24"/>
          <w:szCs w:val="24"/>
          <w:lang w:val="fr-CA"/>
        </w:rPr>
      </w:pPr>
      <w:r w:rsidRPr="004C29A3">
        <w:rPr>
          <w:rFonts w:ascii="Arial" w:hAnsi="Arial" w:cs="Arial"/>
          <w:sz w:val="24"/>
          <w:szCs w:val="24"/>
          <w:lang w:val="fr-CA"/>
        </w:rPr>
        <w:t xml:space="preserve">S. Margot Blight, </w:t>
      </w:r>
      <w:r w:rsidR="00BC45F8" w:rsidRPr="004C29A3">
        <w:rPr>
          <w:rFonts w:ascii="Arial" w:hAnsi="Arial" w:cs="Arial"/>
          <w:sz w:val="24"/>
          <w:szCs w:val="24"/>
          <w:lang w:val="fr-CA"/>
        </w:rPr>
        <w:t>membre avocate</w:t>
      </w:r>
    </w:p>
    <w:sectPr w:rsidR="00D12C1C" w:rsidRPr="004C29A3" w:rsidSect="00D12C1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8550E" w14:textId="77777777" w:rsidR="000D0207" w:rsidRDefault="000D0207">
      <w:pPr>
        <w:spacing w:after="0" w:line="240" w:lineRule="auto"/>
      </w:pPr>
      <w:r>
        <w:separator/>
      </w:r>
    </w:p>
  </w:endnote>
  <w:endnote w:type="continuationSeparator" w:id="0">
    <w:p w14:paraId="7BECE0C6" w14:textId="77777777" w:rsidR="000D0207" w:rsidRDefault="000D0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FBE1C" w14:textId="77777777" w:rsidR="000D0207" w:rsidRDefault="000D02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4797"/>
      <w:docPartObj>
        <w:docPartGallery w:val="Page Numbers (Bottom of Page)"/>
        <w:docPartUnique/>
      </w:docPartObj>
    </w:sdtPr>
    <w:sdtEndPr/>
    <w:sdtContent>
      <w:p w14:paraId="1F4AD118" w14:textId="77777777" w:rsidR="000D0207" w:rsidRDefault="000D0207">
        <w:pPr>
          <w:pStyle w:val="Footer"/>
          <w:jc w:val="right"/>
        </w:pPr>
        <w:r>
          <w:fldChar w:fldCharType="begin"/>
        </w:r>
        <w:r>
          <w:instrText xml:space="preserve"> PAGE   \* MERGEFORMAT </w:instrText>
        </w:r>
        <w:r>
          <w:fldChar w:fldCharType="separate"/>
        </w:r>
        <w:r w:rsidR="00436CB4">
          <w:rPr>
            <w:noProof/>
          </w:rPr>
          <w:t>1</w:t>
        </w:r>
        <w:r>
          <w:rPr>
            <w:noProof/>
          </w:rPr>
          <w:fldChar w:fldCharType="end"/>
        </w:r>
      </w:p>
    </w:sdtContent>
  </w:sdt>
  <w:p w14:paraId="1444597E" w14:textId="77777777" w:rsidR="000D0207" w:rsidRDefault="000D02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52D09" w14:textId="77777777" w:rsidR="000D0207" w:rsidRDefault="000D02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3E87C" w14:textId="77777777" w:rsidR="000D0207" w:rsidRDefault="000D0207">
      <w:pPr>
        <w:spacing w:after="0" w:line="240" w:lineRule="auto"/>
      </w:pPr>
      <w:r>
        <w:separator/>
      </w:r>
    </w:p>
  </w:footnote>
  <w:footnote w:type="continuationSeparator" w:id="0">
    <w:p w14:paraId="742E9A13" w14:textId="77777777" w:rsidR="000D0207" w:rsidRDefault="000D0207">
      <w:pPr>
        <w:spacing w:after="0" w:line="240" w:lineRule="auto"/>
      </w:pPr>
      <w:r>
        <w:continuationSeparator/>
      </w:r>
    </w:p>
  </w:footnote>
  <w:footnote w:id="1">
    <w:p w14:paraId="604D19F5" w14:textId="3BDCFE80" w:rsidR="000D0207" w:rsidRPr="00554713" w:rsidRDefault="000D0207">
      <w:pPr>
        <w:pStyle w:val="FootnoteText"/>
        <w:rPr>
          <w:rFonts w:ascii="Arial" w:hAnsi="Arial" w:cs="Arial"/>
          <w:lang w:val="fr-CA"/>
        </w:rPr>
      </w:pPr>
      <w:r w:rsidRPr="00554713">
        <w:rPr>
          <w:rStyle w:val="FootnoteReference"/>
          <w:rFonts w:ascii="Arial" w:hAnsi="Arial" w:cs="Arial"/>
          <w:lang w:val="fr-CA"/>
        </w:rPr>
        <w:footnoteRef/>
      </w:r>
      <w:r w:rsidRPr="00554713">
        <w:rPr>
          <w:rFonts w:ascii="Arial" w:hAnsi="Arial" w:cs="Arial"/>
          <w:lang w:val="fr-CA"/>
        </w:rPr>
        <w:t xml:space="preserve"> L.R.O. 1990, c</w:t>
      </w:r>
      <w:r w:rsidR="00D45154">
        <w:rPr>
          <w:rFonts w:ascii="Arial" w:hAnsi="Arial" w:cs="Arial"/>
          <w:lang w:val="fr-CA"/>
        </w:rPr>
        <w:t>hap</w:t>
      </w:r>
      <w:r w:rsidRPr="00554713">
        <w:rPr>
          <w:rFonts w:ascii="Arial" w:hAnsi="Arial" w:cs="Arial"/>
          <w:lang w:val="fr-CA"/>
        </w:rPr>
        <w:t>. H.8</w:t>
      </w:r>
    </w:p>
  </w:footnote>
  <w:footnote w:id="2">
    <w:p w14:paraId="3714B6A2" w14:textId="40A89946" w:rsidR="000D0207" w:rsidRPr="00554713" w:rsidRDefault="000D0207">
      <w:pPr>
        <w:pStyle w:val="FootnoteText"/>
        <w:rPr>
          <w:rFonts w:ascii="Arial" w:hAnsi="Arial" w:cs="Arial"/>
          <w:lang w:val="fr-CA"/>
        </w:rPr>
      </w:pPr>
      <w:r w:rsidRPr="00554713">
        <w:rPr>
          <w:rStyle w:val="FootnoteReference"/>
          <w:rFonts w:ascii="Arial" w:hAnsi="Arial" w:cs="Arial"/>
          <w:lang w:val="fr-CA"/>
        </w:rPr>
        <w:footnoteRef/>
      </w:r>
      <w:r w:rsidRPr="00554713">
        <w:rPr>
          <w:rFonts w:ascii="Arial" w:hAnsi="Arial" w:cs="Arial"/>
          <w:lang w:val="fr-CA"/>
        </w:rPr>
        <w:t xml:space="preserve"> </w:t>
      </w:r>
      <w:r w:rsidRPr="00554713">
        <w:rPr>
          <w:rFonts w:ascii="Arial" w:hAnsi="Arial" w:cs="Arial"/>
          <w:i/>
          <w:lang w:val="fr-CA"/>
        </w:rPr>
        <w:t xml:space="preserve">R. </w:t>
      </w:r>
      <w:r>
        <w:rPr>
          <w:rFonts w:ascii="Arial" w:hAnsi="Arial" w:cs="Arial"/>
          <w:i/>
          <w:lang w:val="fr-CA"/>
        </w:rPr>
        <w:t>c</w:t>
      </w:r>
      <w:r w:rsidRPr="00554713">
        <w:rPr>
          <w:rFonts w:ascii="Arial" w:hAnsi="Arial" w:cs="Arial"/>
          <w:i/>
          <w:lang w:val="fr-CA"/>
        </w:rPr>
        <w:t>. Anthony-Cook</w:t>
      </w:r>
      <w:r w:rsidRPr="00554713">
        <w:rPr>
          <w:rFonts w:ascii="Arial" w:hAnsi="Arial" w:cs="Arial"/>
          <w:lang w:val="fr-CA"/>
        </w:rPr>
        <w:t xml:space="preserve">, 2016 </w:t>
      </w:r>
      <w:r>
        <w:rPr>
          <w:rFonts w:ascii="Arial" w:hAnsi="Arial" w:cs="Arial"/>
          <w:lang w:val="fr-CA"/>
        </w:rPr>
        <w:t>CSS</w:t>
      </w:r>
      <w:r w:rsidR="00D45154">
        <w:rPr>
          <w:rFonts w:ascii="Arial" w:hAnsi="Arial" w:cs="Arial"/>
          <w:lang w:val="fr-CA"/>
        </w:rPr>
        <w:t xml:space="preserve"> 43</w:t>
      </w:r>
    </w:p>
  </w:footnote>
  <w:footnote w:id="3">
    <w:p w14:paraId="24F7775A" w14:textId="46AE54E8" w:rsidR="000D0207" w:rsidRPr="00554713" w:rsidRDefault="000D0207" w:rsidP="00245E35">
      <w:pPr>
        <w:pStyle w:val="FootnoteText"/>
        <w:rPr>
          <w:lang w:val="fr-CA"/>
        </w:rPr>
      </w:pPr>
      <w:r w:rsidRPr="00554713">
        <w:rPr>
          <w:rStyle w:val="FootnoteReference"/>
          <w:rFonts w:ascii="Arial" w:hAnsi="Arial" w:cs="Arial"/>
          <w:lang w:val="fr-CA"/>
        </w:rPr>
        <w:footnoteRef/>
      </w:r>
      <w:r w:rsidRPr="00554713">
        <w:rPr>
          <w:rFonts w:ascii="Arial" w:hAnsi="Arial" w:cs="Arial"/>
          <w:lang w:val="fr-CA"/>
        </w:rPr>
        <w:t xml:space="preserve"> </w:t>
      </w:r>
      <w:r>
        <w:rPr>
          <w:rFonts w:ascii="Arial" w:hAnsi="Arial" w:cs="Arial"/>
          <w:lang w:val="fr-CA"/>
        </w:rPr>
        <w:t xml:space="preserve">Pièce 3 de l’audience en ce qui concerne la juge de paix </w:t>
      </w:r>
      <w:r w:rsidRPr="00554713">
        <w:rPr>
          <w:rFonts w:ascii="Arial" w:hAnsi="Arial" w:cs="Arial"/>
          <w:lang w:val="fr-CA"/>
        </w:rPr>
        <w:t xml:space="preserve">Romagnoli: </w:t>
      </w:r>
      <w:r w:rsidRPr="00554713">
        <w:rPr>
          <w:rFonts w:ascii="Arial" w:hAnsi="Arial" w:cs="Arial"/>
          <w:i/>
          <w:lang w:val="fr-CA"/>
        </w:rPr>
        <w:t xml:space="preserve">R. </w:t>
      </w:r>
      <w:r>
        <w:rPr>
          <w:rFonts w:ascii="Arial" w:hAnsi="Arial" w:cs="Arial"/>
          <w:i/>
          <w:lang w:val="fr-CA"/>
        </w:rPr>
        <w:t>v</w:t>
      </w:r>
      <w:r w:rsidRPr="00554713">
        <w:rPr>
          <w:rFonts w:ascii="Arial" w:hAnsi="Arial" w:cs="Arial"/>
          <w:i/>
          <w:lang w:val="fr-CA"/>
        </w:rPr>
        <w:t xml:space="preserve">. Wong, </w:t>
      </w:r>
      <w:r w:rsidRPr="00554713">
        <w:rPr>
          <w:rFonts w:ascii="Arial" w:hAnsi="Arial" w:cs="Arial"/>
          <w:lang w:val="fr-CA"/>
        </w:rPr>
        <w:t xml:space="preserve">[2014] O.J. No. 6407 (CJ); </w:t>
      </w:r>
      <w:r w:rsidRPr="00554713">
        <w:rPr>
          <w:rFonts w:ascii="Arial" w:hAnsi="Arial" w:cs="Arial"/>
          <w:i/>
          <w:lang w:val="fr-CA"/>
        </w:rPr>
        <w:t>R. v. Mirza</w:t>
      </w:r>
      <w:r w:rsidRPr="00554713">
        <w:rPr>
          <w:rFonts w:ascii="Arial" w:hAnsi="Arial" w:cs="Arial"/>
          <w:lang w:val="fr-CA"/>
        </w:rPr>
        <w:t xml:space="preserve">, [2014] O.J. No. 6408 (CJ); </w:t>
      </w:r>
      <w:r w:rsidRPr="00554713">
        <w:rPr>
          <w:rFonts w:ascii="Arial" w:hAnsi="Arial" w:cs="Arial"/>
          <w:i/>
          <w:lang w:val="fr-CA"/>
        </w:rPr>
        <w:t>R. v. Grosse</w:t>
      </w:r>
      <w:r w:rsidRPr="00554713">
        <w:rPr>
          <w:rFonts w:ascii="Arial" w:hAnsi="Arial" w:cs="Arial"/>
          <w:lang w:val="fr-CA"/>
        </w:rPr>
        <w:t xml:space="preserve">, </w:t>
      </w:r>
      <w:r w:rsidR="00D45154">
        <w:rPr>
          <w:rFonts w:ascii="Arial" w:hAnsi="Arial" w:cs="Arial"/>
          <w:lang w:val="fr-CA"/>
        </w:rPr>
        <w:t xml:space="preserve">2 décembre </w:t>
      </w:r>
      <w:r w:rsidRPr="00554713">
        <w:rPr>
          <w:rFonts w:ascii="Arial" w:hAnsi="Arial" w:cs="Arial"/>
          <w:lang w:val="fr-CA"/>
        </w:rPr>
        <w:t>2014 (</w:t>
      </w:r>
      <w:r w:rsidR="00C02C63">
        <w:rPr>
          <w:rFonts w:ascii="Arial" w:hAnsi="Arial" w:cs="Arial"/>
          <w:lang w:val="fr-CA"/>
        </w:rPr>
        <w:t>dossier du tribunal n</w:t>
      </w:r>
      <w:r w:rsidR="00C02C63" w:rsidRPr="00D279D5">
        <w:rPr>
          <w:rFonts w:ascii="Arial" w:hAnsi="Arial" w:cs="Arial"/>
          <w:vertAlign w:val="superscript"/>
          <w:lang w:val="fr-CA"/>
        </w:rPr>
        <w:t>o</w:t>
      </w:r>
      <w:r w:rsidR="00C02C63">
        <w:rPr>
          <w:rFonts w:ascii="Arial" w:hAnsi="Arial" w:cs="Arial"/>
          <w:lang w:val="fr-CA"/>
        </w:rPr>
        <w:t> </w:t>
      </w:r>
      <w:r w:rsidR="00C02C63" w:rsidRPr="00554713">
        <w:rPr>
          <w:rFonts w:ascii="Arial" w:hAnsi="Arial" w:cs="Arial"/>
          <w:lang w:val="fr-CA"/>
        </w:rPr>
        <w:t xml:space="preserve"> </w:t>
      </w:r>
      <w:r w:rsidRPr="00554713">
        <w:rPr>
          <w:rFonts w:ascii="Arial" w:hAnsi="Arial" w:cs="Arial"/>
          <w:lang w:val="fr-CA"/>
        </w:rPr>
        <w:t xml:space="preserve">6020122Z) ; </w:t>
      </w:r>
      <w:r w:rsidRPr="00554713">
        <w:rPr>
          <w:rFonts w:ascii="Arial" w:hAnsi="Arial" w:cs="Arial"/>
          <w:i/>
          <w:lang w:val="fr-CA"/>
        </w:rPr>
        <w:t>R. v. Mitri</w:t>
      </w:r>
      <w:r w:rsidRPr="00554713">
        <w:rPr>
          <w:rFonts w:ascii="Arial" w:hAnsi="Arial" w:cs="Arial"/>
          <w:lang w:val="fr-CA"/>
        </w:rPr>
        <w:t>, 9</w:t>
      </w:r>
      <w:r w:rsidR="00D45154">
        <w:rPr>
          <w:rFonts w:ascii="Arial" w:hAnsi="Arial" w:cs="Arial"/>
          <w:lang w:val="fr-CA"/>
        </w:rPr>
        <w:t xml:space="preserve"> décembre</w:t>
      </w:r>
      <w:r w:rsidRPr="00554713">
        <w:rPr>
          <w:rFonts w:ascii="Arial" w:hAnsi="Arial" w:cs="Arial"/>
          <w:lang w:val="fr-CA"/>
        </w:rPr>
        <w:t xml:space="preserve"> 2014 (</w:t>
      </w:r>
      <w:r w:rsidR="00C02C63">
        <w:rPr>
          <w:rFonts w:ascii="Arial" w:hAnsi="Arial" w:cs="Arial"/>
          <w:lang w:val="fr-CA"/>
        </w:rPr>
        <w:t>dossier du tribunal n</w:t>
      </w:r>
      <w:r w:rsidR="00C02C63" w:rsidRPr="00D279D5">
        <w:rPr>
          <w:rFonts w:ascii="Arial" w:hAnsi="Arial" w:cs="Arial"/>
          <w:vertAlign w:val="superscript"/>
          <w:lang w:val="fr-CA"/>
        </w:rPr>
        <w:t>o</w:t>
      </w:r>
      <w:r w:rsidR="00C02C63">
        <w:rPr>
          <w:rFonts w:ascii="Arial" w:hAnsi="Arial" w:cs="Arial"/>
          <w:lang w:val="fr-CA"/>
        </w:rPr>
        <w:t> </w:t>
      </w:r>
      <w:r w:rsidR="00C02C63" w:rsidRPr="00554713">
        <w:rPr>
          <w:rFonts w:ascii="Arial" w:hAnsi="Arial" w:cs="Arial"/>
          <w:lang w:val="fr-CA"/>
        </w:rPr>
        <w:t xml:space="preserve"> </w:t>
      </w:r>
      <w:r w:rsidRPr="00554713">
        <w:rPr>
          <w:rFonts w:ascii="Arial" w:hAnsi="Arial" w:cs="Arial"/>
          <w:lang w:val="fr-CA"/>
        </w:rPr>
        <w:t xml:space="preserve">4960-6004202Z); </w:t>
      </w:r>
      <w:r w:rsidRPr="00554713">
        <w:rPr>
          <w:rFonts w:ascii="Arial" w:hAnsi="Arial" w:cs="Arial"/>
          <w:i/>
          <w:lang w:val="fr-CA"/>
        </w:rPr>
        <w:t>R. v. Chmiel</w:t>
      </w:r>
      <w:r w:rsidRPr="00554713">
        <w:rPr>
          <w:rFonts w:ascii="Arial" w:hAnsi="Arial" w:cs="Arial"/>
          <w:lang w:val="fr-CA"/>
        </w:rPr>
        <w:t>, 10</w:t>
      </w:r>
      <w:r w:rsidR="00C02C63">
        <w:rPr>
          <w:rFonts w:ascii="Arial" w:hAnsi="Arial" w:cs="Arial"/>
          <w:lang w:val="fr-CA"/>
        </w:rPr>
        <w:t xml:space="preserve"> décembre</w:t>
      </w:r>
      <w:r w:rsidRPr="00554713">
        <w:rPr>
          <w:rFonts w:ascii="Arial" w:hAnsi="Arial" w:cs="Arial"/>
          <w:lang w:val="fr-CA"/>
        </w:rPr>
        <w:t xml:space="preserve"> 2014 (</w:t>
      </w:r>
      <w:r w:rsidR="00C02C63">
        <w:rPr>
          <w:rFonts w:ascii="Arial" w:hAnsi="Arial" w:cs="Arial"/>
          <w:lang w:val="fr-CA"/>
        </w:rPr>
        <w:t>dossier du tribunal n</w:t>
      </w:r>
      <w:r w:rsidR="00C02C63" w:rsidRPr="00D279D5">
        <w:rPr>
          <w:rFonts w:ascii="Arial" w:hAnsi="Arial" w:cs="Arial"/>
          <w:vertAlign w:val="superscript"/>
          <w:lang w:val="fr-CA"/>
        </w:rPr>
        <w:t>o</w:t>
      </w:r>
      <w:r w:rsidR="00C02C63">
        <w:rPr>
          <w:rFonts w:ascii="Arial" w:hAnsi="Arial" w:cs="Arial"/>
          <w:lang w:val="fr-CA"/>
        </w:rPr>
        <w:t> </w:t>
      </w:r>
      <w:r w:rsidR="00C02C63" w:rsidRPr="00554713">
        <w:rPr>
          <w:rFonts w:ascii="Arial" w:hAnsi="Arial" w:cs="Arial"/>
          <w:lang w:val="fr-CA"/>
        </w:rPr>
        <w:t xml:space="preserve"> </w:t>
      </w:r>
      <w:r w:rsidRPr="00554713">
        <w:rPr>
          <w:rFonts w:ascii="Arial" w:hAnsi="Arial" w:cs="Arial"/>
          <w:lang w:val="fr-CA"/>
        </w:rPr>
        <w:t xml:space="preserve">9763334B); </w:t>
      </w:r>
      <w:r w:rsidRPr="00554713">
        <w:rPr>
          <w:rFonts w:ascii="Arial" w:hAnsi="Arial" w:cs="Arial"/>
          <w:i/>
          <w:lang w:val="fr-CA"/>
        </w:rPr>
        <w:t xml:space="preserve">R. v. Distefano, </w:t>
      </w:r>
      <w:r w:rsidRPr="00554713">
        <w:rPr>
          <w:rFonts w:ascii="Arial" w:hAnsi="Arial" w:cs="Arial"/>
          <w:lang w:val="fr-CA"/>
        </w:rPr>
        <w:t>15</w:t>
      </w:r>
      <w:r w:rsidR="00D45154">
        <w:rPr>
          <w:rFonts w:ascii="Arial" w:hAnsi="Arial" w:cs="Arial"/>
          <w:lang w:val="fr-CA"/>
        </w:rPr>
        <w:t xml:space="preserve"> décembre</w:t>
      </w:r>
      <w:r w:rsidRPr="00554713">
        <w:rPr>
          <w:rFonts w:ascii="Arial" w:hAnsi="Arial" w:cs="Arial"/>
          <w:lang w:val="fr-CA"/>
        </w:rPr>
        <w:t xml:space="preserve"> 2014 (</w:t>
      </w:r>
      <w:r w:rsidR="00D45154">
        <w:rPr>
          <w:rFonts w:ascii="Arial" w:hAnsi="Arial" w:cs="Arial"/>
          <w:lang w:val="fr-CA"/>
        </w:rPr>
        <w:t>Dossier n</w:t>
      </w:r>
      <w:r w:rsidR="00D45154" w:rsidRPr="00D45154">
        <w:rPr>
          <w:rFonts w:ascii="Arial" w:hAnsi="Arial" w:cs="Arial"/>
          <w:vertAlign w:val="superscript"/>
          <w:lang w:val="fr-CA"/>
        </w:rPr>
        <w:t>o</w:t>
      </w:r>
      <w:r w:rsidR="00D45154" w:rsidRPr="00554713">
        <w:rPr>
          <w:rFonts w:ascii="Arial" w:hAnsi="Arial" w:cs="Arial"/>
          <w:lang w:val="fr-CA"/>
        </w:rPr>
        <w:t xml:space="preserve"> </w:t>
      </w:r>
      <w:r w:rsidRPr="00554713">
        <w:rPr>
          <w:rFonts w:ascii="Arial" w:hAnsi="Arial" w:cs="Arial"/>
          <w:lang w:val="fr-CA"/>
        </w:rPr>
        <w:t xml:space="preserve">6053187Z); </w:t>
      </w:r>
      <w:r w:rsidRPr="00554713">
        <w:rPr>
          <w:rFonts w:ascii="Arial" w:hAnsi="Arial" w:cs="Arial"/>
          <w:i/>
          <w:lang w:val="fr-CA"/>
        </w:rPr>
        <w:t>R. v. Giampaolo</w:t>
      </w:r>
      <w:r w:rsidRPr="00554713">
        <w:rPr>
          <w:rFonts w:ascii="Arial" w:hAnsi="Arial" w:cs="Arial"/>
          <w:lang w:val="fr-CA"/>
        </w:rPr>
        <w:t xml:space="preserve">, </w:t>
      </w:r>
      <w:r w:rsidR="00D45154">
        <w:rPr>
          <w:rFonts w:ascii="Arial" w:hAnsi="Arial" w:cs="Arial"/>
          <w:lang w:val="fr-CA"/>
        </w:rPr>
        <w:t xml:space="preserve">2 mars </w:t>
      </w:r>
      <w:r w:rsidRPr="00554713">
        <w:rPr>
          <w:rFonts w:ascii="Arial" w:hAnsi="Arial" w:cs="Arial"/>
          <w:lang w:val="fr-CA"/>
        </w:rPr>
        <w:t>2015 (</w:t>
      </w:r>
      <w:r w:rsidR="00C02C63">
        <w:rPr>
          <w:rFonts w:ascii="Arial" w:hAnsi="Arial" w:cs="Arial"/>
          <w:lang w:val="fr-CA"/>
        </w:rPr>
        <w:t>dossier du tribunal n</w:t>
      </w:r>
      <w:r w:rsidR="00C02C63" w:rsidRPr="00D279D5">
        <w:rPr>
          <w:rFonts w:ascii="Arial" w:hAnsi="Arial" w:cs="Arial"/>
          <w:vertAlign w:val="superscript"/>
          <w:lang w:val="fr-CA"/>
        </w:rPr>
        <w:t>o</w:t>
      </w:r>
      <w:r w:rsidR="00C02C63">
        <w:rPr>
          <w:rFonts w:ascii="Arial" w:hAnsi="Arial" w:cs="Arial"/>
          <w:lang w:val="fr-CA"/>
        </w:rPr>
        <w:t> </w:t>
      </w:r>
      <w:r w:rsidR="00C02C63" w:rsidRPr="00554713">
        <w:rPr>
          <w:rFonts w:ascii="Arial" w:hAnsi="Arial" w:cs="Arial"/>
          <w:lang w:val="fr-CA"/>
        </w:rPr>
        <w:t xml:space="preserve"> </w:t>
      </w:r>
      <w:r w:rsidRPr="00554713">
        <w:rPr>
          <w:rFonts w:ascii="Arial" w:hAnsi="Arial" w:cs="Arial"/>
          <w:lang w:val="fr-CA"/>
        </w:rPr>
        <w:t xml:space="preserve">9360574Z); </w:t>
      </w:r>
      <w:r w:rsidRPr="00554713">
        <w:rPr>
          <w:rFonts w:ascii="Arial" w:hAnsi="Arial" w:cs="Arial"/>
          <w:i/>
          <w:lang w:val="fr-CA"/>
        </w:rPr>
        <w:t>R. v. Beelik</w:t>
      </w:r>
      <w:r w:rsidRPr="00554713">
        <w:rPr>
          <w:rFonts w:ascii="Arial" w:hAnsi="Arial" w:cs="Arial"/>
          <w:lang w:val="fr-CA"/>
        </w:rPr>
        <w:t>, 8</w:t>
      </w:r>
      <w:r w:rsidR="00C02C63">
        <w:rPr>
          <w:rFonts w:ascii="Arial" w:hAnsi="Arial" w:cs="Arial"/>
          <w:lang w:val="fr-CA"/>
        </w:rPr>
        <w:t xml:space="preserve"> juin</w:t>
      </w:r>
      <w:r w:rsidRPr="00554713">
        <w:rPr>
          <w:rFonts w:ascii="Arial" w:hAnsi="Arial" w:cs="Arial"/>
          <w:lang w:val="fr-CA"/>
        </w:rPr>
        <w:t xml:space="preserve"> 2015 (</w:t>
      </w:r>
      <w:r w:rsidR="00C02C63">
        <w:rPr>
          <w:rFonts w:ascii="Arial" w:hAnsi="Arial" w:cs="Arial"/>
          <w:lang w:val="fr-CA"/>
        </w:rPr>
        <w:t>dossier du tribunal n</w:t>
      </w:r>
      <w:r w:rsidR="00C02C63" w:rsidRPr="00D279D5">
        <w:rPr>
          <w:rFonts w:ascii="Arial" w:hAnsi="Arial" w:cs="Arial"/>
          <w:vertAlign w:val="superscript"/>
          <w:lang w:val="fr-CA"/>
        </w:rPr>
        <w:t>o</w:t>
      </w:r>
      <w:r w:rsidR="00C02C63">
        <w:rPr>
          <w:rFonts w:ascii="Arial" w:hAnsi="Arial" w:cs="Arial"/>
          <w:lang w:val="fr-CA"/>
        </w:rPr>
        <w:t> </w:t>
      </w:r>
      <w:r w:rsidR="00C02C63" w:rsidRPr="00554713">
        <w:rPr>
          <w:rFonts w:ascii="Arial" w:hAnsi="Arial" w:cs="Arial"/>
          <w:lang w:val="fr-CA"/>
        </w:rPr>
        <w:t xml:space="preserve"> </w:t>
      </w:r>
      <w:r w:rsidRPr="00554713">
        <w:rPr>
          <w:rFonts w:ascii="Arial" w:hAnsi="Arial" w:cs="Arial"/>
          <w:lang w:val="fr-CA"/>
        </w:rPr>
        <w:t xml:space="preserve">9378800Z); </w:t>
      </w:r>
      <w:r w:rsidRPr="00554713">
        <w:rPr>
          <w:rFonts w:ascii="Arial" w:hAnsi="Arial" w:cs="Arial"/>
          <w:i/>
          <w:lang w:val="fr-CA"/>
        </w:rPr>
        <w:t>R. v. Yakobov</w:t>
      </w:r>
      <w:r w:rsidRPr="00554713">
        <w:rPr>
          <w:rFonts w:ascii="Arial" w:hAnsi="Arial" w:cs="Arial"/>
          <w:lang w:val="fr-CA"/>
        </w:rPr>
        <w:t>, 16</w:t>
      </w:r>
      <w:r w:rsidR="00D45154">
        <w:rPr>
          <w:rFonts w:ascii="Arial" w:hAnsi="Arial" w:cs="Arial"/>
          <w:lang w:val="fr-CA"/>
        </w:rPr>
        <w:t xml:space="preserve"> juin</w:t>
      </w:r>
      <w:r w:rsidRPr="00554713">
        <w:rPr>
          <w:rFonts w:ascii="Arial" w:hAnsi="Arial" w:cs="Arial"/>
          <w:lang w:val="fr-CA"/>
        </w:rPr>
        <w:t xml:space="preserve"> 2015 (</w:t>
      </w:r>
      <w:r w:rsidR="00C02C63">
        <w:rPr>
          <w:rFonts w:ascii="Arial" w:hAnsi="Arial" w:cs="Arial"/>
          <w:lang w:val="fr-CA"/>
        </w:rPr>
        <w:t>dossier du tribunal n</w:t>
      </w:r>
      <w:r w:rsidR="00C02C63" w:rsidRPr="00D279D5">
        <w:rPr>
          <w:rFonts w:ascii="Arial" w:hAnsi="Arial" w:cs="Arial"/>
          <w:vertAlign w:val="superscript"/>
          <w:lang w:val="fr-CA"/>
        </w:rPr>
        <w:t>o</w:t>
      </w:r>
      <w:r w:rsidR="00C02C63">
        <w:rPr>
          <w:rFonts w:ascii="Arial" w:hAnsi="Arial" w:cs="Arial"/>
          <w:lang w:val="fr-CA"/>
        </w:rPr>
        <w:t> </w:t>
      </w:r>
      <w:r w:rsidR="00C02C63" w:rsidRPr="00554713">
        <w:rPr>
          <w:rFonts w:ascii="Arial" w:hAnsi="Arial" w:cs="Arial"/>
          <w:lang w:val="fr-CA"/>
        </w:rPr>
        <w:t xml:space="preserve"> </w:t>
      </w:r>
      <w:r w:rsidRPr="00554713">
        <w:rPr>
          <w:rFonts w:ascii="Arial" w:hAnsi="Arial" w:cs="Arial"/>
          <w:lang w:val="fr-CA"/>
        </w:rPr>
        <w:t xml:space="preserve">4960-4280441B-00); </w:t>
      </w:r>
      <w:r w:rsidRPr="00554713">
        <w:rPr>
          <w:rFonts w:ascii="Arial" w:hAnsi="Arial" w:cs="Arial"/>
          <w:i/>
          <w:lang w:val="fr-CA"/>
        </w:rPr>
        <w:t>R. v. Davids</w:t>
      </w:r>
      <w:r w:rsidRPr="00554713">
        <w:rPr>
          <w:rFonts w:ascii="Arial" w:hAnsi="Arial" w:cs="Arial"/>
          <w:lang w:val="fr-CA"/>
        </w:rPr>
        <w:t>, 17</w:t>
      </w:r>
      <w:r w:rsidR="00D45154">
        <w:rPr>
          <w:rFonts w:ascii="Arial" w:hAnsi="Arial" w:cs="Arial"/>
          <w:lang w:val="fr-CA"/>
        </w:rPr>
        <w:t xml:space="preserve"> juin</w:t>
      </w:r>
      <w:r w:rsidRPr="00554713">
        <w:rPr>
          <w:rFonts w:ascii="Arial" w:hAnsi="Arial" w:cs="Arial"/>
          <w:lang w:val="fr-CA"/>
        </w:rPr>
        <w:t xml:space="preserve"> 2015 (</w:t>
      </w:r>
      <w:r w:rsidR="00C02C63">
        <w:rPr>
          <w:rFonts w:ascii="Arial" w:hAnsi="Arial" w:cs="Arial"/>
          <w:lang w:val="fr-CA"/>
        </w:rPr>
        <w:t>dossier du tribunal n</w:t>
      </w:r>
      <w:r w:rsidR="00C02C63" w:rsidRPr="00D279D5">
        <w:rPr>
          <w:rFonts w:ascii="Arial" w:hAnsi="Arial" w:cs="Arial"/>
          <w:vertAlign w:val="superscript"/>
          <w:lang w:val="fr-CA"/>
        </w:rPr>
        <w:t>o</w:t>
      </w:r>
      <w:r w:rsidR="00C02C63">
        <w:rPr>
          <w:rFonts w:ascii="Arial" w:hAnsi="Arial" w:cs="Arial"/>
          <w:lang w:val="fr-CA"/>
        </w:rPr>
        <w:t> </w:t>
      </w:r>
      <w:r w:rsidR="00C02C63" w:rsidRPr="00554713">
        <w:rPr>
          <w:rFonts w:ascii="Arial" w:hAnsi="Arial" w:cs="Arial"/>
          <w:lang w:val="fr-CA"/>
        </w:rPr>
        <w:t xml:space="preserve"> </w:t>
      </w:r>
      <w:r w:rsidRPr="00554713">
        <w:rPr>
          <w:rFonts w:ascii="Arial" w:hAnsi="Arial" w:cs="Arial"/>
          <w:lang w:val="fr-CA"/>
        </w:rPr>
        <w:t xml:space="preserve">4960-3246101B); </w:t>
      </w:r>
      <w:r w:rsidRPr="00554713">
        <w:rPr>
          <w:rFonts w:ascii="Arial" w:hAnsi="Arial" w:cs="Arial"/>
          <w:i/>
          <w:lang w:val="fr-CA"/>
        </w:rPr>
        <w:t>R. v. Alakoozi</w:t>
      </w:r>
      <w:r w:rsidRPr="00554713">
        <w:rPr>
          <w:rFonts w:ascii="Arial" w:hAnsi="Arial" w:cs="Arial"/>
          <w:lang w:val="fr-CA"/>
        </w:rPr>
        <w:t>, 18</w:t>
      </w:r>
      <w:r w:rsidR="00D45154">
        <w:rPr>
          <w:rFonts w:ascii="Arial" w:hAnsi="Arial" w:cs="Arial"/>
          <w:lang w:val="fr-CA"/>
        </w:rPr>
        <w:t> août</w:t>
      </w:r>
      <w:r w:rsidRPr="00554713">
        <w:rPr>
          <w:rFonts w:ascii="Arial" w:hAnsi="Arial" w:cs="Arial"/>
          <w:lang w:val="fr-CA"/>
        </w:rPr>
        <w:t xml:space="preserve"> </w:t>
      </w:r>
      <w:r w:rsidR="00D45154">
        <w:rPr>
          <w:rFonts w:ascii="Arial" w:hAnsi="Arial" w:cs="Arial"/>
          <w:lang w:val="fr-CA"/>
        </w:rPr>
        <w:t>et</w:t>
      </w:r>
      <w:r w:rsidRPr="00554713">
        <w:rPr>
          <w:rFonts w:ascii="Arial" w:hAnsi="Arial" w:cs="Arial"/>
          <w:lang w:val="fr-CA"/>
        </w:rPr>
        <w:t xml:space="preserve"> 15</w:t>
      </w:r>
      <w:r w:rsidR="00D45154">
        <w:rPr>
          <w:rFonts w:ascii="Arial" w:hAnsi="Arial" w:cs="Arial"/>
          <w:lang w:val="fr-CA"/>
        </w:rPr>
        <w:t xml:space="preserve"> octobre</w:t>
      </w:r>
      <w:r w:rsidRPr="00554713">
        <w:rPr>
          <w:rFonts w:ascii="Arial" w:hAnsi="Arial" w:cs="Arial"/>
          <w:lang w:val="fr-CA"/>
        </w:rPr>
        <w:t xml:space="preserve"> 2015 (</w:t>
      </w:r>
      <w:r w:rsidR="00C02C63">
        <w:rPr>
          <w:rFonts w:ascii="Arial" w:hAnsi="Arial" w:cs="Arial"/>
          <w:lang w:val="fr-CA"/>
        </w:rPr>
        <w:t>dossier du tribunal n</w:t>
      </w:r>
      <w:r w:rsidR="00C02C63" w:rsidRPr="00D279D5">
        <w:rPr>
          <w:rFonts w:ascii="Arial" w:hAnsi="Arial" w:cs="Arial"/>
          <w:vertAlign w:val="superscript"/>
          <w:lang w:val="fr-CA"/>
        </w:rPr>
        <w:t>o</w:t>
      </w:r>
      <w:r w:rsidR="00C02C63">
        <w:rPr>
          <w:rFonts w:ascii="Arial" w:hAnsi="Arial" w:cs="Arial"/>
          <w:lang w:val="fr-CA"/>
        </w:rPr>
        <w:t> </w:t>
      </w:r>
      <w:r w:rsidR="00C02C63" w:rsidRPr="00554713">
        <w:rPr>
          <w:rFonts w:ascii="Arial" w:hAnsi="Arial" w:cs="Arial"/>
          <w:color w:val="000000"/>
          <w:shd w:val="clear" w:color="auto" w:fill="FFFFFF"/>
          <w:lang w:val="fr-CA"/>
        </w:rPr>
        <w:t xml:space="preserve"> </w:t>
      </w:r>
      <w:r w:rsidRPr="00554713">
        <w:rPr>
          <w:rFonts w:ascii="Arial" w:hAnsi="Arial" w:cs="Arial"/>
          <w:color w:val="000000"/>
          <w:shd w:val="clear" w:color="auto" w:fill="FFFFFF"/>
          <w:lang w:val="fr-CA"/>
        </w:rPr>
        <w:t>4960-9362601z)</w:t>
      </w:r>
      <w:r w:rsidRPr="00554713">
        <w:rPr>
          <w:rFonts w:ascii="Arial" w:hAnsi="Arial" w:cs="Arial"/>
          <w:lang w:val="fr-CA"/>
        </w:rPr>
        <w:t xml:space="preserve">.; </w:t>
      </w:r>
      <w:r w:rsidRPr="00554713">
        <w:rPr>
          <w:rFonts w:ascii="Arial" w:hAnsi="Arial" w:cs="Arial"/>
          <w:i/>
          <w:lang w:val="fr-CA"/>
        </w:rPr>
        <w:t>R. v. Newhook</w:t>
      </w:r>
      <w:r w:rsidRPr="00554713">
        <w:rPr>
          <w:rFonts w:ascii="Arial" w:hAnsi="Arial" w:cs="Arial"/>
          <w:lang w:val="fr-CA"/>
        </w:rPr>
        <w:t>, 3</w:t>
      </w:r>
      <w:r w:rsidR="00D45154">
        <w:rPr>
          <w:rFonts w:ascii="Arial" w:hAnsi="Arial" w:cs="Arial"/>
          <w:lang w:val="fr-CA"/>
        </w:rPr>
        <w:t xml:space="preserve"> septembre</w:t>
      </w:r>
      <w:r w:rsidRPr="00554713">
        <w:rPr>
          <w:rFonts w:ascii="Arial" w:hAnsi="Arial" w:cs="Arial"/>
          <w:lang w:val="fr-CA"/>
        </w:rPr>
        <w:t xml:space="preserve"> 2015 (</w:t>
      </w:r>
      <w:r w:rsidR="00C02C63">
        <w:rPr>
          <w:rFonts w:ascii="Arial" w:hAnsi="Arial" w:cs="Arial"/>
          <w:lang w:val="fr-CA"/>
        </w:rPr>
        <w:t>dossier du tribunal n</w:t>
      </w:r>
      <w:r w:rsidR="00C02C63" w:rsidRPr="00D279D5">
        <w:rPr>
          <w:rFonts w:ascii="Arial" w:hAnsi="Arial" w:cs="Arial"/>
          <w:vertAlign w:val="superscript"/>
          <w:lang w:val="fr-CA"/>
        </w:rPr>
        <w:t>o</w:t>
      </w:r>
      <w:r w:rsidR="00C02C63">
        <w:rPr>
          <w:rFonts w:ascii="Arial" w:hAnsi="Arial" w:cs="Arial"/>
          <w:lang w:val="fr-CA"/>
        </w:rPr>
        <w:t> </w:t>
      </w:r>
      <w:r w:rsidR="00C02C63" w:rsidRPr="00554713">
        <w:rPr>
          <w:rFonts w:ascii="Arial" w:hAnsi="Arial" w:cs="Arial"/>
          <w:lang w:val="fr-CA"/>
        </w:rPr>
        <w:t xml:space="preserve"> </w:t>
      </w:r>
      <w:r w:rsidRPr="00554713">
        <w:rPr>
          <w:rFonts w:ascii="Arial" w:hAnsi="Arial" w:cs="Arial"/>
          <w:lang w:val="fr-CA"/>
        </w:rPr>
        <w:t xml:space="preserve">4960-14-3238360B); </w:t>
      </w:r>
      <w:r w:rsidRPr="00554713">
        <w:rPr>
          <w:rFonts w:ascii="Arial" w:hAnsi="Arial" w:cs="Arial"/>
          <w:i/>
          <w:lang w:val="fr-CA"/>
        </w:rPr>
        <w:t xml:space="preserve">R. v. Sun, </w:t>
      </w:r>
      <w:r w:rsidRPr="00554713">
        <w:rPr>
          <w:rFonts w:ascii="Arial" w:hAnsi="Arial" w:cs="Arial"/>
          <w:lang w:val="fr-CA"/>
        </w:rPr>
        <w:t>3</w:t>
      </w:r>
      <w:r w:rsidR="00D45154">
        <w:rPr>
          <w:rFonts w:ascii="Arial" w:hAnsi="Arial" w:cs="Arial"/>
          <w:lang w:val="fr-CA"/>
        </w:rPr>
        <w:t xml:space="preserve"> septembre</w:t>
      </w:r>
      <w:r w:rsidRPr="00554713">
        <w:rPr>
          <w:rFonts w:ascii="Arial" w:hAnsi="Arial" w:cs="Arial"/>
          <w:lang w:val="fr-CA"/>
        </w:rPr>
        <w:t xml:space="preserve"> 2015</w:t>
      </w:r>
      <w:r w:rsidRPr="00554713">
        <w:rPr>
          <w:rFonts w:ascii="Arial" w:hAnsi="Arial" w:cs="Arial"/>
          <w:i/>
          <w:lang w:val="fr-CA"/>
        </w:rPr>
        <w:t xml:space="preserve"> </w:t>
      </w:r>
      <w:r w:rsidRPr="00554713">
        <w:rPr>
          <w:rFonts w:ascii="Arial" w:hAnsi="Arial" w:cs="Arial"/>
          <w:lang w:val="fr-CA"/>
        </w:rPr>
        <w:t>(</w:t>
      </w:r>
      <w:r w:rsidR="00C02C63">
        <w:rPr>
          <w:rFonts w:ascii="Arial" w:hAnsi="Arial" w:cs="Arial"/>
          <w:lang w:val="fr-CA"/>
        </w:rPr>
        <w:t>dossier du tribunal n</w:t>
      </w:r>
      <w:r w:rsidR="00C02C63" w:rsidRPr="00D279D5">
        <w:rPr>
          <w:rFonts w:ascii="Arial" w:hAnsi="Arial" w:cs="Arial"/>
          <w:vertAlign w:val="superscript"/>
          <w:lang w:val="fr-CA"/>
        </w:rPr>
        <w:t>o</w:t>
      </w:r>
      <w:r w:rsidR="00C02C63">
        <w:rPr>
          <w:rFonts w:ascii="Arial" w:hAnsi="Arial" w:cs="Arial"/>
          <w:lang w:val="fr-CA"/>
        </w:rPr>
        <w:t> </w:t>
      </w:r>
      <w:r w:rsidR="00C02C63" w:rsidRPr="00554713">
        <w:rPr>
          <w:rFonts w:ascii="Arial" w:hAnsi="Arial" w:cs="Arial"/>
          <w:lang w:val="fr-CA"/>
        </w:rPr>
        <w:t xml:space="preserve"> </w:t>
      </w:r>
      <w:r w:rsidRPr="00554713">
        <w:rPr>
          <w:rFonts w:ascii="Arial" w:hAnsi="Arial" w:cs="Arial"/>
          <w:lang w:val="fr-CA"/>
        </w:rPr>
        <w:t>4960-451100B)</w:t>
      </w:r>
      <w:r w:rsidRPr="00554713">
        <w:rPr>
          <w:rFonts w:ascii="Arial" w:hAnsi="Arial" w:cs="Arial"/>
          <w:i/>
          <w:lang w:val="fr-CA"/>
        </w:rPr>
        <w:t xml:space="preserve"> R. v. Yip, </w:t>
      </w:r>
      <w:r w:rsidRPr="00554713">
        <w:rPr>
          <w:rFonts w:ascii="Arial" w:hAnsi="Arial" w:cs="Arial"/>
          <w:lang w:val="fr-CA"/>
        </w:rPr>
        <w:t>3</w:t>
      </w:r>
      <w:r w:rsidR="00C02C63">
        <w:rPr>
          <w:rFonts w:ascii="Arial" w:hAnsi="Arial" w:cs="Arial"/>
          <w:lang w:val="fr-CA"/>
        </w:rPr>
        <w:t> </w:t>
      </w:r>
      <w:r w:rsidR="00D45154">
        <w:rPr>
          <w:rFonts w:ascii="Arial" w:hAnsi="Arial" w:cs="Arial"/>
          <w:lang w:val="fr-CA"/>
        </w:rPr>
        <w:t>septembre</w:t>
      </w:r>
      <w:r w:rsidRPr="00554713">
        <w:rPr>
          <w:rFonts w:ascii="Arial" w:hAnsi="Arial" w:cs="Arial"/>
          <w:lang w:val="fr-CA"/>
        </w:rPr>
        <w:t xml:space="preserve"> 2015 (</w:t>
      </w:r>
      <w:r w:rsidR="00C02C63">
        <w:rPr>
          <w:rFonts w:ascii="Arial" w:hAnsi="Arial" w:cs="Arial"/>
          <w:lang w:val="fr-CA"/>
        </w:rPr>
        <w:t>dossier du tribunal n</w:t>
      </w:r>
      <w:r w:rsidR="00C02C63" w:rsidRPr="00D279D5">
        <w:rPr>
          <w:rFonts w:ascii="Arial" w:hAnsi="Arial" w:cs="Arial"/>
          <w:vertAlign w:val="superscript"/>
          <w:lang w:val="fr-CA"/>
        </w:rPr>
        <w:t>o</w:t>
      </w:r>
      <w:r w:rsidR="00C02C63">
        <w:rPr>
          <w:rFonts w:ascii="Arial" w:hAnsi="Arial" w:cs="Arial"/>
          <w:lang w:val="fr-CA"/>
        </w:rPr>
        <w:t> </w:t>
      </w:r>
      <w:r w:rsidR="00C02C63" w:rsidRPr="00554713">
        <w:rPr>
          <w:rFonts w:ascii="Arial" w:hAnsi="Arial" w:cs="Arial"/>
          <w:lang w:val="fr-CA"/>
        </w:rPr>
        <w:t xml:space="preserve"> </w:t>
      </w:r>
      <w:r w:rsidRPr="00554713">
        <w:rPr>
          <w:rFonts w:ascii="Arial" w:hAnsi="Arial" w:cs="Arial"/>
          <w:lang w:val="fr-CA"/>
        </w:rPr>
        <w:t>4960-3241498B)</w:t>
      </w:r>
      <w:r w:rsidRPr="00554713">
        <w:rPr>
          <w:rFonts w:ascii="Arial" w:hAnsi="Arial" w:cs="Arial"/>
          <w:i/>
          <w:lang w:val="fr-CA"/>
        </w:rPr>
        <w:t xml:space="preserve"> R. v. Manicone, </w:t>
      </w:r>
      <w:r w:rsidRPr="00554713">
        <w:rPr>
          <w:rFonts w:ascii="Arial" w:hAnsi="Arial" w:cs="Arial"/>
          <w:lang w:val="fr-CA"/>
        </w:rPr>
        <w:t>3</w:t>
      </w:r>
      <w:r w:rsidR="00D45154">
        <w:rPr>
          <w:rFonts w:ascii="Arial" w:hAnsi="Arial" w:cs="Arial"/>
          <w:lang w:val="fr-CA"/>
        </w:rPr>
        <w:t xml:space="preserve"> septembre</w:t>
      </w:r>
      <w:r w:rsidRPr="00554713">
        <w:rPr>
          <w:rFonts w:ascii="Arial" w:hAnsi="Arial" w:cs="Arial"/>
          <w:lang w:val="fr-CA"/>
        </w:rPr>
        <w:t xml:space="preserve"> 2015 (</w:t>
      </w:r>
      <w:r w:rsidR="00C02C63">
        <w:rPr>
          <w:rFonts w:ascii="Arial" w:hAnsi="Arial" w:cs="Arial"/>
          <w:lang w:val="fr-CA"/>
        </w:rPr>
        <w:t>dossier du tribunal n</w:t>
      </w:r>
      <w:r w:rsidR="00C02C63" w:rsidRPr="00D279D5">
        <w:rPr>
          <w:rFonts w:ascii="Arial" w:hAnsi="Arial" w:cs="Arial"/>
          <w:vertAlign w:val="superscript"/>
          <w:lang w:val="fr-CA"/>
        </w:rPr>
        <w:t>o</w:t>
      </w:r>
      <w:r w:rsidR="00C02C63">
        <w:rPr>
          <w:rFonts w:ascii="Arial" w:hAnsi="Arial" w:cs="Arial"/>
          <w:lang w:val="fr-CA"/>
        </w:rPr>
        <w:t> </w:t>
      </w:r>
      <w:r w:rsidR="00C02C63" w:rsidRPr="00554713">
        <w:rPr>
          <w:rFonts w:ascii="Arial" w:hAnsi="Arial" w:cs="Arial"/>
          <w:lang w:val="fr-CA"/>
        </w:rPr>
        <w:t xml:space="preserve"> </w:t>
      </w:r>
      <w:r w:rsidRPr="00554713">
        <w:rPr>
          <w:rFonts w:ascii="Arial" w:hAnsi="Arial" w:cs="Arial"/>
          <w:lang w:val="fr-CA"/>
        </w:rPr>
        <w:t xml:space="preserve">4960-5998896Z) </w:t>
      </w:r>
      <w:r w:rsidRPr="00554713">
        <w:rPr>
          <w:rFonts w:ascii="Arial" w:hAnsi="Arial" w:cs="Arial"/>
          <w:i/>
          <w:lang w:val="fr-CA"/>
        </w:rPr>
        <w:t xml:space="preserve">R. v. Zdrale, </w:t>
      </w:r>
      <w:r w:rsidRPr="00554713">
        <w:rPr>
          <w:rFonts w:ascii="Arial" w:hAnsi="Arial" w:cs="Arial"/>
          <w:lang w:val="fr-CA"/>
        </w:rPr>
        <w:t>3</w:t>
      </w:r>
      <w:r w:rsidR="00D45154">
        <w:rPr>
          <w:rFonts w:ascii="Arial" w:hAnsi="Arial" w:cs="Arial"/>
          <w:lang w:val="fr-CA"/>
        </w:rPr>
        <w:t xml:space="preserve"> septembre</w:t>
      </w:r>
      <w:r w:rsidRPr="00554713">
        <w:rPr>
          <w:rFonts w:ascii="Arial" w:hAnsi="Arial" w:cs="Arial"/>
          <w:lang w:val="fr-CA"/>
        </w:rPr>
        <w:t>2015 (</w:t>
      </w:r>
      <w:r w:rsidR="00C02C63">
        <w:rPr>
          <w:rFonts w:ascii="Arial" w:hAnsi="Arial" w:cs="Arial"/>
          <w:lang w:val="fr-CA"/>
        </w:rPr>
        <w:t>dossier du tribunal n</w:t>
      </w:r>
      <w:r w:rsidR="00C02C63" w:rsidRPr="00D279D5">
        <w:rPr>
          <w:rFonts w:ascii="Arial" w:hAnsi="Arial" w:cs="Arial"/>
          <w:vertAlign w:val="superscript"/>
          <w:lang w:val="fr-CA"/>
        </w:rPr>
        <w:t>o</w:t>
      </w:r>
      <w:r w:rsidR="00C02C63">
        <w:rPr>
          <w:rFonts w:ascii="Arial" w:hAnsi="Arial" w:cs="Arial"/>
          <w:lang w:val="fr-CA"/>
        </w:rPr>
        <w:t> </w:t>
      </w:r>
      <w:r w:rsidR="00C02C63" w:rsidRPr="00554713">
        <w:rPr>
          <w:rFonts w:ascii="Arial" w:hAnsi="Arial" w:cs="Arial"/>
          <w:lang w:val="fr-CA"/>
        </w:rPr>
        <w:t xml:space="preserve"> </w:t>
      </w:r>
      <w:r w:rsidRPr="00554713">
        <w:rPr>
          <w:rFonts w:ascii="Arial" w:hAnsi="Arial" w:cs="Arial"/>
          <w:lang w:val="fr-CA"/>
        </w:rPr>
        <w:t>4960-9382688Z).</w:t>
      </w:r>
    </w:p>
  </w:footnote>
  <w:footnote w:id="4">
    <w:p w14:paraId="3E715915" w14:textId="07EF8ED7" w:rsidR="000D0207" w:rsidRPr="00554713" w:rsidRDefault="000D0207">
      <w:pPr>
        <w:pStyle w:val="FootnoteText"/>
        <w:rPr>
          <w:rFonts w:ascii="Arial" w:hAnsi="Arial" w:cs="Arial"/>
          <w:lang w:val="fr-CA"/>
        </w:rPr>
      </w:pPr>
      <w:r w:rsidRPr="00554713">
        <w:rPr>
          <w:rStyle w:val="FootnoteReference"/>
          <w:rFonts w:ascii="Arial" w:hAnsi="Arial" w:cs="Arial"/>
          <w:lang w:val="fr-CA"/>
        </w:rPr>
        <w:footnoteRef/>
      </w:r>
      <w:r w:rsidRPr="00554713">
        <w:rPr>
          <w:rFonts w:ascii="Arial" w:hAnsi="Arial" w:cs="Arial"/>
          <w:lang w:val="fr-CA"/>
        </w:rPr>
        <w:t xml:space="preserve"> </w:t>
      </w:r>
      <w:r>
        <w:rPr>
          <w:rFonts w:ascii="Arial" w:hAnsi="Arial" w:cs="Arial"/>
          <w:lang w:val="fr-CA"/>
        </w:rPr>
        <w:t>L.R.O.</w:t>
      </w:r>
      <w:r w:rsidRPr="00554713">
        <w:rPr>
          <w:rFonts w:ascii="Arial" w:hAnsi="Arial" w:cs="Arial"/>
          <w:lang w:val="fr-CA"/>
        </w:rPr>
        <w:t xml:space="preserve"> 1990, c</w:t>
      </w:r>
      <w:r>
        <w:rPr>
          <w:rFonts w:ascii="Arial" w:hAnsi="Arial" w:cs="Arial"/>
          <w:lang w:val="fr-CA"/>
        </w:rPr>
        <w:t>hap</w:t>
      </w:r>
      <w:r w:rsidRPr="00554713">
        <w:rPr>
          <w:rFonts w:ascii="Arial" w:hAnsi="Arial" w:cs="Arial"/>
          <w:lang w:val="fr-CA"/>
        </w:rPr>
        <w:t>. P.33</w:t>
      </w:r>
    </w:p>
  </w:footnote>
  <w:footnote w:id="5">
    <w:p w14:paraId="6F9CC980" w14:textId="66CCD3BF" w:rsidR="000D0207" w:rsidRPr="00554713" w:rsidRDefault="000D0207">
      <w:pPr>
        <w:pStyle w:val="FootnoteText"/>
        <w:rPr>
          <w:rFonts w:ascii="Arial" w:hAnsi="Arial" w:cs="Arial"/>
          <w:lang w:val="fr-CA"/>
        </w:rPr>
      </w:pPr>
      <w:r w:rsidRPr="00554713">
        <w:rPr>
          <w:rStyle w:val="FootnoteReference"/>
          <w:lang w:val="fr-CA"/>
        </w:rPr>
        <w:footnoteRef/>
      </w:r>
      <w:r w:rsidRPr="00554713">
        <w:rPr>
          <w:lang w:val="fr-CA"/>
        </w:rPr>
        <w:t xml:space="preserve"> </w:t>
      </w:r>
      <w:r w:rsidRPr="00554713">
        <w:rPr>
          <w:rFonts w:ascii="Arial" w:hAnsi="Arial" w:cs="Arial"/>
          <w:i/>
          <w:lang w:val="fr-CA"/>
        </w:rPr>
        <w:t>R. v. Taylor Kim</w:t>
      </w:r>
      <w:r w:rsidRPr="00554713">
        <w:rPr>
          <w:rFonts w:ascii="Arial" w:hAnsi="Arial" w:cs="Arial"/>
          <w:lang w:val="fr-CA"/>
        </w:rPr>
        <w:t xml:space="preserve"> (19</w:t>
      </w:r>
      <w:r w:rsidR="00854D27">
        <w:rPr>
          <w:rFonts w:ascii="Arial" w:hAnsi="Arial" w:cs="Arial"/>
          <w:lang w:val="fr-CA"/>
        </w:rPr>
        <w:t xml:space="preserve"> septembre</w:t>
      </w:r>
      <w:r w:rsidRPr="00554713">
        <w:rPr>
          <w:rFonts w:ascii="Arial" w:hAnsi="Arial" w:cs="Arial"/>
          <w:lang w:val="fr-CA"/>
        </w:rPr>
        <w:t xml:space="preserve"> 2014)</w:t>
      </w:r>
    </w:p>
  </w:footnote>
  <w:footnote w:id="6">
    <w:p w14:paraId="14A255D6" w14:textId="3F6230F6" w:rsidR="000D0207" w:rsidRPr="00554713" w:rsidRDefault="000D0207">
      <w:pPr>
        <w:pStyle w:val="FootnoteText"/>
        <w:rPr>
          <w:rFonts w:ascii="Arial" w:hAnsi="Arial" w:cs="Arial"/>
          <w:lang w:val="fr-CA"/>
        </w:rPr>
      </w:pPr>
      <w:r w:rsidRPr="00554713">
        <w:rPr>
          <w:rStyle w:val="FootnoteReference"/>
          <w:rFonts w:ascii="Arial" w:hAnsi="Arial" w:cs="Arial"/>
          <w:lang w:val="fr-CA"/>
        </w:rPr>
        <w:footnoteRef/>
      </w:r>
      <w:r w:rsidRPr="00554713">
        <w:rPr>
          <w:rFonts w:ascii="Arial" w:hAnsi="Arial" w:cs="Arial"/>
          <w:lang w:val="fr-CA"/>
        </w:rPr>
        <w:t xml:space="preserve"> </w:t>
      </w:r>
      <w:r w:rsidRPr="00554713">
        <w:rPr>
          <w:rFonts w:ascii="Arial" w:hAnsi="Arial" w:cs="Arial"/>
          <w:i/>
          <w:lang w:val="fr-CA"/>
        </w:rPr>
        <w:t xml:space="preserve">R. v. Tran </w:t>
      </w:r>
      <w:r w:rsidRPr="00554713">
        <w:rPr>
          <w:rFonts w:ascii="Arial" w:hAnsi="Arial" w:cs="Arial"/>
          <w:lang w:val="fr-CA"/>
        </w:rPr>
        <w:t>(19</w:t>
      </w:r>
      <w:r w:rsidR="00854D27">
        <w:rPr>
          <w:rFonts w:ascii="Arial" w:hAnsi="Arial" w:cs="Arial"/>
          <w:lang w:val="fr-CA"/>
        </w:rPr>
        <w:t xml:space="preserve"> septembre</w:t>
      </w:r>
      <w:r w:rsidRPr="00554713">
        <w:rPr>
          <w:rFonts w:ascii="Arial" w:hAnsi="Arial" w:cs="Arial"/>
          <w:lang w:val="fr-CA"/>
        </w:rPr>
        <w:t xml:space="preserve"> 2014)</w:t>
      </w:r>
    </w:p>
  </w:footnote>
  <w:footnote w:id="7">
    <w:p w14:paraId="31E1A108" w14:textId="1B65A3D3" w:rsidR="000D0207" w:rsidRPr="00554713" w:rsidRDefault="000D0207">
      <w:pPr>
        <w:pStyle w:val="FootnoteText"/>
        <w:rPr>
          <w:rFonts w:ascii="Arial" w:hAnsi="Arial" w:cs="Arial"/>
          <w:lang w:val="fr-CA"/>
        </w:rPr>
      </w:pPr>
      <w:r w:rsidRPr="00554713">
        <w:rPr>
          <w:rStyle w:val="FootnoteReference"/>
          <w:rFonts w:ascii="Arial" w:hAnsi="Arial" w:cs="Arial"/>
          <w:lang w:val="fr-CA"/>
        </w:rPr>
        <w:footnoteRef/>
      </w:r>
      <w:r w:rsidRPr="00554713">
        <w:rPr>
          <w:rFonts w:ascii="Arial" w:hAnsi="Arial" w:cs="Arial"/>
          <w:lang w:val="fr-CA"/>
        </w:rPr>
        <w:t xml:space="preserve"> </w:t>
      </w:r>
      <w:r w:rsidRPr="00554713">
        <w:rPr>
          <w:rFonts w:ascii="Arial" w:hAnsi="Arial" w:cs="Arial"/>
          <w:i/>
          <w:lang w:val="fr-CA"/>
        </w:rPr>
        <w:t>R. v. Rugero Carlo</w:t>
      </w:r>
      <w:r w:rsidRPr="00554713">
        <w:rPr>
          <w:rFonts w:ascii="Arial" w:hAnsi="Arial" w:cs="Arial"/>
          <w:lang w:val="fr-CA"/>
        </w:rPr>
        <w:t xml:space="preserve">, </w:t>
      </w:r>
      <w:r w:rsidR="00C02C63">
        <w:rPr>
          <w:rFonts w:ascii="Arial" w:hAnsi="Arial" w:cs="Arial"/>
          <w:lang w:val="fr-CA"/>
        </w:rPr>
        <w:t>dossier du tribunal n</w:t>
      </w:r>
      <w:r w:rsidR="00C02C63" w:rsidRPr="00D279D5">
        <w:rPr>
          <w:rFonts w:ascii="Arial" w:hAnsi="Arial" w:cs="Arial"/>
          <w:vertAlign w:val="superscript"/>
          <w:lang w:val="fr-CA"/>
        </w:rPr>
        <w:t>o</w:t>
      </w:r>
      <w:r w:rsidR="00C02C63">
        <w:rPr>
          <w:rFonts w:ascii="Arial" w:hAnsi="Arial" w:cs="Arial"/>
          <w:lang w:val="fr-CA"/>
        </w:rPr>
        <w:t> </w:t>
      </w:r>
      <w:r w:rsidR="00C02C63" w:rsidRPr="00554713">
        <w:rPr>
          <w:rFonts w:ascii="Arial" w:hAnsi="Arial" w:cs="Arial"/>
          <w:lang w:val="fr-CA"/>
        </w:rPr>
        <w:t xml:space="preserve"> </w:t>
      </w:r>
      <w:r w:rsidRPr="00554713">
        <w:rPr>
          <w:rFonts w:ascii="Arial" w:hAnsi="Arial" w:cs="Arial"/>
          <w:lang w:val="fr-CA"/>
        </w:rPr>
        <w:t>997-14-30080445.</w:t>
      </w:r>
    </w:p>
  </w:footnote>
  <w:footnote w:id="8">
    <w:p w14:paraId="4FF3E248" w14:textId="559B86C3" w:rsidR="000D0207" w:rsidRPr="00554713" w:rsidRDefault="000D0207">
      <w:pPr>
        <w:pStyle w:val="FootnoteText"/>
        <w:rPr>
          <w:rFonts w:ascii="Arial" w:hAnsi="Arial" w:cs="Arial"/>
          <w:lang w:val="fr-CA"/>
        </w:rPr>
      </w:pPr>
      <w:r w:rsidRPr="00554713">
        <w:rPr>
          <w:rStyle w:val="FootnoteReference"/>
          <w:lang w:val="fr-CA"/>
        </w:rPr>
        <w:footnoteRef/>
      </w:r>
      <w:r w:rsidRPr="00554713">
        <w:rPr>
          <w:lang w:val="fr-CA"/>
        </w:rPr>
        <w:t xml:space="preserve"> </w:t>
      </w:r>
      <w:r w:rsidRPr="00554713">
        <w:rPr>
          <w:rFonts w:ascii="Arial" w:hAnsi="Arial" w:cs="Arial"/>
          <w:i/>
          <w:lang w:val="fr-CA"/>
        </w:rPr>
        <w:t>R. v. Perelman</w:t>
      </w:r>
      <w:r w:rsidRPr="00554713">
        <w:rPr>
          <w:rFonts w:ascii="Arial" w:hAnsi="Arial" w:cs="Arial"/>
          <w:lang w:val="fr-CA"/>
        </w:rPr>
        <w:t xml:space="preserve"> (</w:t>
      </w:r>
      <w:r>
        <w:rPr>
          <w:rFonts w:ascii="Arial" w:hAnsi="Arial" w:cs="Arial"/>
          <w:lang w:val="fr-CA"/>
        </w:rPr>
        <w:t>3 octobre</w:t>
      </w:r>
      <w:r w:rsidRPr="00554713">
        <w:rPr>
          <w:rFonts w:ascii="Arial" w:hAnsi="Arial" w:cs="Arial"/>
          <w:lang w:val="fr-CA"/>
        </w:rPr>
        <w:t xml:space="preserve"> 2014)</w:t>
      </w:r>
    </w:p>
  </w:footnote>
  <w:footnote w:id="9">
    <w:p w14:paraId="7D8FFA6E" w14:textId="4CA076A7" w:rsidR="000D0207" w:rsidRPr="00554713" w:rsidRDefault="000D0207">
      <w:pPr>
        <w:pStyle w:val="FootnoteText"/>
        <w:rPr>
          <w:rFonts w:ascii="Arial" w:hAnsi="Arial" w:cs="Arial"/>
          <w:lang w:val="fr-CA"/>
        </w:rPr>
      </w:pPr>
      <w:r w:rsidRPr="00554713">
        <w:rPr>
          <w:rStyle w:val="FootnoteReference"/>
          <w:rFonts w:ascii="Arial" w:hAnsi="Arial" w:cs="Arial"/>
          <w:lang w:val="fr-CA"/>
        </w:rPr>
        <w:footnoteRef/>
      </w:r>
      <w:r w:rsidRPr="00554713">
        <w:rPr>
          <w:rFonts w:ascii="Arial" w:hAnsi="Arial" w:cs="Arial"/>
          <w:lang w:val="fr-CA"/>
        </w:rPr>
        <w:t xml:space="preserve"> </w:t>
      </w:r>
      <w:r w:rsidRPr="00554713">
        <w:rPr>
          <w:rFonts w:ascii="Arial" w:hAnsi="Arial" w:cs="Arial"/>
          <w:i/>
          <w:lang w:val="fr-CA"/>
        </w:rPr>
        <w:t>York (Regional Municipality) v. DiVito</w:t>
      </w:r>
      <w:r w:rsidRPr="00554713">
        <w:rPr>
          <w:rFonts w:ascii="Arial" w:hAnsi="Arial" w:cs="Arial"/>
          <w:lang w:val="fr-CA"/>
        </w:rPr>
        <w:t>, [2014] O.J. No. 4567</w:t>
      </w:r>
    </w:p>
  </w:footnote>
  <w:footnote w:id="10">
    <w:p w14:paraId="0D55C33C" w14:textId="28A6CE15" w:rsidR="000D0207" w:rsidRPr="00554713" w:rsidRDefault="000D0207">
      <w:pPr>
        <w:pStyle w:val="FootnoteText"/>
        <w:rPr>
          <w:rFonts w:ascii="Arial" w:hAnsi="Arial" w:cs="Arial"/>
          <w:lang w:val="fr-CA"/>
        </w:rPr>
      </w:pPr>
      <w:r w:rsidRPr="00554713">
        <w:rPr>
          <w:rStyle w:val="FootnoteReference"/>
          <w:rFonts w:ascii="Arial" w:hAnsi="Arial" w:cs="Arial"/>
          <w:lang w:val="fr-CA"/>
        </w:rPr>
        <w:footnoteRef/>
      </w:r>
      <w:r w:rsidRPr="00554713">
        <w:rPr>
          <w:rFonts w:ascii="Arial" w:hAnsi="Arial" w:cs="Arial"/>
          <w:lang w:val="fr-CA"/>
        </w:rPr>
        <w:t xml:space="preserve"> </w:t>
      </w:r>
      <w:r w:rsidRPr="00554713">
        <w:rPr>
          <w:rFonts w:ascii="Arial" w:hAnsi="Arial" w:cs="Arial"/>
          <w:i/>
          <w:lang w:val="fr-CA"/>
        </w:rPr>
        <w:t>The Regional Municipality of York v. Dmitry Perelman and 2160611 Ontario Ltd</w:t>
      </w:r>
      <w:r w:rsidRPr="00554713">
        <w:rPr>
          <w:rFonts w:ascii="Arial" w:hAnsi="Arial" w:cs="Arial"/>
          <w:lang w:val="fr-CA"/>
        </w:rPr>
        <w:t xml:space="preserve">., </w:t>
      </w:r>
      <w:r>
        <w:rPr>
          <w:rFonts w:ascii="Arial" w:hAnsi="Arial" w:cs="Arial"/>
          <w:lang w:val="fr-CA"/>
        </w:rPr>
        <w:t>dossier du tribunal n</w:t>
      </w:r>
      <w:r w:rsidRPr="00D279D5">
        <w:rPr>
          <w:rFonts w:ascii="Arial" w:hAnsi="Arial" w:cs="Arial"/>
          <w:vertAlign w:val="superscript"/>
          <w:lang w:val="fr-CA"/>
        </w:rPr>
        <w:t>o</w:t>
      </w:r>
      <w:r>
        <w:rPr>
          <w:rFonts w:ascii="Arial" w:hAnsi="Arial" w:cs="Arial"/>
          <w:lang w:val="fr-CA"/>
        </w:rPr>
        <w:t> </w:t>
      </w:r>
      <w:r w:rsidRPr="00554713">
        <w:rPr>
          <w:rFonts w:ascii="Arial" w:hAnsi="Arial" w:cs="Arial"/>
          <w:lang w:val="fr-CA"/>
        </w:rPr>
        <w:t>CV-14-120584-00 (SCJ).</w:t>
      </w:r>
    </w:p>
  </w:footnote>
  <w:footnote w:id="11">
    <w:p w14:paraId="0CC67EC4" w14:textId="401AB7D3" w:rsidR="000D0207" w:rsidRPr="00554713" w:rsidRDefault="000D0207">
      <w:pPr>
        <w:pStyle w:val="FootnoteText"/>
        <w:rPr>
          <w:rFonts w:ascii="Arial" w:hAnsi="Arial" w:cs="Arial"/>
          <w:lang w:val="fr-CA"/>
        </w:rPr>
      </w:pPr>
      <w:r w:rsidRPr="00554713">
        <w:rPr>
          <w:rStyle w:val="FootnoteReference"/>
          <w:rFonts w:ascii="Arial" w:hAnsi="Arial" w:cs="Arial"/>
          <w:lang w:val="fr-CA"/>
        </w:rPr>
        <w:footnoteRef/>
      </w:r>
      <w:r w:rsidRPr="00554713">
        <w:rPr>
          <w:rFonts w:ascii="Arial" w:hAnsi="Arial" w:cs="Arial"/>
          <w:lang w:val="fr-CA"/>
        </w:rPr>
        <w:t xml:space="preserve"> </w:t>
      </w:r>
      <w:r w:rsidRPr="00554713">
        <w:rPr>
          <w:lang w:val="fr-CA"/>
        </w:rPr>
        <w:t xml:space="preserve"> </w:t>
      </w:r>
      <w:r w:rsidRPr="00554713">
        <w:rPr>
          <w:rFonts w:ascii="Arial" w:hAnsi="Arial" w:cs="Arial"/>
          <w:i/>
          <w:lang w:val="fr-CA"/>
        </w:rPr>
        <w:t>R. v. Ho Shin</w:t>
      </w:r>
      <w:r w:rsidRPr="00554713">
        <w:rPr>
          <w:rFonts w:ascii="Arial" w:hAnsi="Arial" w:cs="Arial"/>
          <w:lang w:val="fr-CA"/>
        </w:rPr>
        <w:t xml:space="preserve">, </w:t>
      </w:r>
      <w:r>
        <w:rPr>
          <w:rFonts w:ascii="Arial" w:hAnsi="Arial" w:cs="Arial"/>
          <w:lang w:val="fr-CA"/>
        </w:rPr>
        <w:t>dossier du tribunal n</w:t>
      </w:r>
      <w:r w:rsidRPr="00D279D5">
        <w:rPr>
          <w:rFonts w:ascii="Arial" w:hAnsi="Arial" w:cs="Arial"/>
          <w:vertAlign w:val="superscript"/>
          <w:lang w:val="fr-CA"/>
        </w:rPr>
        <w:t>o</w:t>
      </w:r>
      <w:r>
        <w:rPr>
          <w:rFonts w:ascii="Arial" w:hAnsi="Arial" w:cs="Arial"/>
          <w:lang w:val="fr-CA"/>
        </w:rPr>
        <w:t> </w:t>
      </w:r>
      <w:r w:rsidRPr="00554713">
        <w:rPr>
          <w:rFonts w:ascii="Arial" w:hAnsi="Arial" w:cs="Arial"/>
          <w:lang w:val="fr-CA"/>
        </w:rPr>
        <w:t>4960-997-14-30160205-00</w:t>
      </w:r>
    </w:p>
  </w:footnote>
  <w:footnote w:id="12">
    <w:p w14:paraId="7988A4DB" w14:textId="7EF4FBDC" w:rsidR="000D0207" w:rsidRPr="00554713" w:rsidRDefault="000D0207">
      <w:pPr>
        <w:pStyle w:val="FootnoteText"/>
        <w:rPr>
          <w:rFonts w:ascii="Arial" w:hAnsi="Arial" w:cs="Arial"/>
          <w:lang w:val="fr-CA"/>
        </w:rPr>
      </w:pPr>
      <w:r w:rsidRPr="00554713">
        <w:rPr>
          <w:rStyle w:val="FootnoteReference"/>
          <w:rFonts w:ascii="Arial" w:hAnsi="Arial" w:cs="Arial"/>
          <w:lang w:val="fr-CA"/>
        </w:rPr>
        <w:footnoteRef/>
      </w:r>
      <w:r w:rsidRPr="00554713">
        <w:rPr>
          <w:rFonts w:ascii="Arial" w:hAnsi="Arial" w:cs="Arial"/>
          <w:lang w:val="fr-CA"/>
        </w:rPr>
        <w:t xml:space="preserve"> </w:t>
      </w:r>
      <w:r w:rsidRPr="00554713">
        <w:rPr>
          <w:rFonts w:ascii="Arial" w:hAnsi="Arial" w:cs="Arial"/>
          <w:i/>
          <w:lang w:val="fr-CA"/>
        </w:rPr>
        <w:t>R. v. Vandenberg,</w:t>
      </w:r>
      <w:r w:rsidRPr="00554713">
        <w:rPr>
          <w:rFonts w:ascii="Arial" w:hAnsi="Arial" w:cs="Arial"/>
          <w:lang w:val="fr-CA"/>
        </w:rPr>
        <w:t xml:space="preserve"> </w:t>
      </w:r>
      <w:r>
        <w:rPr>
          <w:rFonts w:ascii="Arial" w:hAnsi="Arial" w:cs="Arial"/>
          <w:lang w:val="fr-CA"/>
        </w:rPr>
        <w:t>dossier du tribunal n</w:t>
      </w:r>
      <w:r w:rsidRPr="00D279D5">
        <w:rPr>
          <w:rFonts w:ascii="Arial" w:hAnsi="Arial" w:cs="Arial"/>
          <w:vertAlign w:val="superscript"/>
          <w:lang w:val="fr-CA"/>
        </w:rPr>
        <w:t>o</w:t>
      </w:r>
      <w:r>
        <w:rPr>
          <w:rFonts w:ascii="Arial" w:hAnsi="Arial" w:cs="Arial"/>
          <w:lang w:val="fr-CA"/>
        </w:rPr>
        <w:t> </w:t>
      </w:r>
      <w:r w:rsidRPr="00554713">
        <w:rPr>
          <w:rFonts w:ascii="Arial" w:hAnsi="Arial" w:cs="Arial"/>
          <w:lang w:val="fr-CA"/>
        </w:rPr>
        <w:t>4960-997-14-30150236</w:t>
      </w:r>
    </w:p>
  </w:footnote>
  <w:footnote w:id="13">
    <w:p w14:paraId="0AC941A2" w14:textId="0308AD82" w:rsidR="000D0207" w:rsidRPr="00554713" w:rsidRDefault="000D0207">
      <w:pPr>
        <w:pStyle w:val="FootnoteText"/>
        <w:rPr>
          <w:rFonts w:ascii="Arial" w:hAnsi="Arial" w:cs="Arial"/>
          <w:lang w:val="fr-CA"/>
        </w:rPr>
      </w:pPr>
      <w:r w:rsidRPr="00554713">
        <w:rPr>
          <w:rStyle w:val="FootnoteReference"/>
          <w:rFonts w:ascii="Arial" w:hAnsi="Arial" w:cs="Arial"/>
          <w:lang w:val="fr-CA"/>
        </w:rPr>
        <w:footnoteRef/>
      </w:r>
      <w:r w:rsidRPr="00554713">
        <w:rPr>
          <w:rFonts w:ascii="Arial" w:hAnsi="Arial" w:cs="Arial"/>
          <w:lang w:val="fr-CA"/>
        </w:rPr>
        <w:t xml:space="preserve"> </w:t>
      </w:r>
      <w:r w:rsidRPr="00554713">
        <w:rPr>
          <w:rFonts w:ascii="Arial" w:hAnsi="Arial" w:cs="Arial"/>
          <w:i/>
          <w:lang w:val="fr-CA"/>
        </w:rPr>
        <w:t xml:space="preserve">R. v. Follest, </w:t>
      </w:r>
      <w:r>
        <w:rPr>
          <w:rFonts w:ascii="Arial" w:hAnsi="Arial" w:cs="Arial"/>
          <w:lang w:val="fr-CA"/>
        </w:rPr>
        <w:t>dossier du tribunal n</w:t>
      </w:r>
      <w:r w:rsidRPr="00D279D5">
        <w:rPr>
          <w:rFonts w:ascii="Arial" w:hAnsi="Arial" w:cs="Arial"/>
          <w:vertAlign w:val="superscript"/>
          <w:lang w:val="fr-CA"/>
        </w:rPr>
        <w:t>o</w:t>
      </w:r>
      <w:r>
        <w:rPr>
          <w:rFonts w:ascii="Arial" w:hAnsi="Arial" w:cs="Arial"/>
          <w:lang w:val="fr-CA"/>
        </w:rPr>
        <w:t> </w:t>
      </w:r>
      <w:r w:rsidRPr="00554713">
        <w:rPr>
          <w:rFonts w:ascii="Arial" w:hAnsi="Arial" w:cs="Arial"/>
          <w:lang w:val="fr-CA"/>
        </w:rPr>
        <w:t>4960-997-14-30082325-00</w:t>
      </w:r>
    </w:p>
  </w:footnote>
  <w:footnote w:id="14">
    <w:p w14:paraId="0068F4EC" w14:textId="551E35F4" w:rsidR="000D0207" w:rsidRPr="00554713" w:rsidRDefault="000D0207">
      <w:pPr>
        <w:pStyle w:val="FootnoteText"/>
        <w:rPr>
          <w:lang w:val="fr-CA"/>
        </w:rPr>
      </w:pPr>
      <w:r w:rsidRPr="00554713">
        <w:rPr>
          <w:rStyle w:val="FootnoteReference"/>
          <w:rFonts w:ascii="Arial" w:hAnsi="Arial" w:cs="Arial"/>
          <w:lang w:val="fr-CA"/>
        </w:rPr>
        <w:footnoteRef/>
      </w:r>
      <w:r w:rsidRPr="00554713">
        <w:rPr>
          <w:rFonts w:ascii="Arial" w:hAnsi="Arial" w:cs="Arial"/>
          <w:lang w:val="fr-CA"/>
        </w:rPr>
        <w:t xml:space="preserve"> </w:t>
      </w:r>
      <w:r w:rsidRPr="00554713">
        <w:rPr>
          <w:rFonts w:ascii="Arial" w:hAnsi="Arial" w:cs="Arial"/>
          <w:i/>
          <w:lang w:val="fr-CA"/>
        </w:rPr>
        <w:t>R. v. Tricker,</w:t>
      </w:r>
      <w:r w:rsidRPr="00554713">
        <w:rPr>
          <w:rFonts w:ascii="Arial" w:hAnsi="Arial" w:cs="Arial"/>
          <w:lang w:val="fr-CA"/>
        </w:rPr>
        <w:t xml:space="preserve"> </w:t>
      </w:r>
      <w:r>
        <w:rPr>
          <w:rFonts w:ascii="Arial" w:hAnsi="Arial" w:cs="Arial"/>
          <w:lang w:val="fr-CA"/>
        </w:rPr>
        <w:t>dossier du tribunal n</w:t>
      </w:r>
      <w:r w:rsidRPr="00D279D5">
        <w:rPr>
          <w:rFonts w:ascii="Arial" w:hAnsi="Arial" w:cs="Arial"/>
          <w:vertAlign w:val="superscript"/>
          <w:lang w:val="fr-CA"/>
        </w:rPr>
        <w:t>o</w:t>
      </w:r>
      <w:r>
        <w:rPr>
          <w:rFonts w:ascii="Arial" w:hAnsi="Arial" w:cs="Arial"/>
          <w:lang w:val="fr-CA"/>
        </w:rPr>
        <w:t> </w:t>
      </w:r>
      <w:r w:rsidRPr="00554713">
        <w:rPr>
          <w:rFonts w:ascii="Arial" w:hAnsi="Arial" w:cs="Arial"/>
          <w:lang w:val="fr-CA"/>
        </w:rPr>
        <w:t>4960-997-14-30050167-00</w:t>
      </w:r>
    </w:p>
  </w:footnote>
  <w:footnote w:id="15">
    <w:p w14:paraId="7CAAD3AD" w14:textId="3C72338E" w:rsidR="000D0207" w:rsidRPr="00554713" w:rsidRDefault="000D0207">
      <w:pPr>
        <w:pStyle w:val="FootnoteText"/>
        <w:rPr>
          <w:rFonts w:ascii="Arial" w:hAnsi="Arial" w:cs="Arial"/>
          <w:lang w:val="fr-CA"/>
        </w:rPr>
      </w:pPr>
      <w:r w:rsidRPr="00554713">
        <w:rPr>
          <w:rStyle w:val="FootnoteReference"/>
          <w:rFonts w:ascii="Arial" w:hAnsi="Arial" w:cs="Arial"/>
          <w:lang w:val="fr-CA"/>
        </w:rPr>
        <w:footnoteRef/>
      </w:r>
      <w:r w:rsidRPr="00554713">
        <w:rPr>
          <w:rFonts w:ascii="Arial" w:hAnsi="Arial" w:cs="Arial"/>
          <w:lang w:val="fr-CA"/>
        </w:rPr>
        <w:t xml:space="preserve"> </w:t>
      </w:r>
      <w:r w:rsidRPr="00554713">
        <w:rPr>
          <w:rFonts w:ascii="Arial" w:hAnsi="Arial" w:cs="Arial"/>
          <w:i/>
          <w:lang w:val="fr-CA"/>
        </w:rPr>
        <w:t>R. v. Lavadan,</w:t>
      </w:r>
      <w:r w:rsidRPr="00554713">
        <w:rPr>
          <w:rFonts w:ascii="Arial" w:hAnsi="Arial" w:cs="Arial"/>
          <w:lang w:val="fr-CA"/>
        </w:rPr>
        <w:t xml:space="preserve"> [2014] O.J. No. 3612</w:t>
      </w:r>
    </w:p>
  </w:footnote>
  <w:footnote w:id="16">
    <w:p w14:paraId="7809F4EC" w14:textId="29C101FE" w:rsidR="000D0207" w:rsidRPr="00554713" w:rsidRDefault="000D0207">
      <w:pPr>
        <w:pStyle w:val="FootnoteText"/>
        <w:rPr>
          <w:lang w:val="fr-CA"/>
        </w:rPr>
      </w:pPr>
      <w:r w:rsidRPr="00554713">
        <w:rPr>
          <w:rStyle w:val="FootnoteReference"/>
          <w:rFonts w:ascii="Arial" w:hAnsi="Arial" w:cs="Arial"/>
          <w:lang w:val="fr-CA"/>
        </w:rPr>
        <w:footnoteRef/>
      </w:r>
      <w:r w:rsidRPr="00554713">
        <w:rPr>
          <w:rFonts w:ascii="Arial" w:hAnsi="Arial" w:cs="Arial"/>
          <w:lang w:val="fr-CA"/>
        </w:rPr>
        <w:t xml:space="preserve"> </w:t>
      </w:r>
      <w:r w:rsidRPr="00554713">
        <w:rPr>
          <w:rFonts w:ascii="Arial" w:hAnsi="Arial" w:cs="Arial"/>
          <w:i/>
          <w:lang w:val="fr-CA"/>
        </w:rPr>
        <w:t>R. v. McLean</w:t>
      </w:r>
      <w:r w:rsidRPr="00554713">
        <w:rPr>
          <w:rFonts w:ascii="Arial" w:hAnsi="Arial" w:cs="Arial"/>
          <w:lang w:val="fr-CA"/>
        </w:rPr>
        <w:t xml:space="preserve"> (</w:t>
      </w:r>
      <w:r>
        <w:rPr>
          <w:rFonts w:ascii="Arial" w:hAnsi="Arial" w:cs="Arial"/>
          <w:lang w:val="fr-CA"/>
        </w:rPr>
        <w:t>1</w:t>
      </w:r>
      <w:r w:rsidRPr="00AD45DE">
        <w:rPr>
          <w:rFonts w:ascii="Arial" w:hAnsi="Arial" w:cs="Arial"/>
          <w:vertAlign w:val="superscript"/>
          <w:lang w:val="fr-CA"/>
        </w:rPr>
        <w:t>er</w:t>
      </w:r>
      <w:r>
        <w:rPr>
          <w:rFonts w:ascii="Arial" w:hAnsi="Arial" w:cs="Arial"/>
          <w:lang w:val="fr-CA"/>
        </w:rPr>
        <w:t xml:space="preserve"> octobre 2014</w:t>
      </w:r>
      <w:r w:rsidRPr="00AD45DE">
        <w:rPr>
          <w:rFonts w:ascii="Arial" w:hAnsi="Arial" w:cs="Arial"/>
          <w:lang w:val="fr-CA"/>
        </w:rPr>
        <w:t>)</w:t>
      </w:r>
    </w:p>
  </w:footnote>
  <w:footnote w:id="17">
    <w:p w14:paraId="61681627" w14:textId="52215444" w:rsidR="000D0207" w:rsidRPr="00554713" w:rsidRDefault="000D0207">
      <w:pPr>
        <w:pStyle w:val="FootnoteText"/>
        <w:rPr>
          <w:lang w:val="fr-CA"/>
        </w:rPr>
      </w:pPr>
      <w:r w:rsidRPr="00554713">
        <w:rPr>
          <w:rStyle w:val="FootnoteReference"/>
          <w:rFonts w:ascii="Arial" w:hAnsi="Arial" w:cs="Arial"/>
          <w:lang w:val="fr-CA"/>
        </w:rPr>
        <w:footnoteRef/>
      </w:r>
      <w:r w:rsidRPr="00554713">
        <w:rPr>
          <w:rFonts w:ascii="Arial" w:hAnsi="Arial" w:cs="Arial"/>
          <w:lang w:val="fr-CA"/>
        </w:rPr>
        <w:t xml:space="preserve"> </w:t>
      </w:r>
      <w:r w:rsidRPr="00554713">
        <w:rPr>
          <w:rFonts w:ascii="Arial" w:hAnsi="Arial" w:cs="Arial"/>
          <w:i/>
          <w:lang w:val="fr-CA"/>
        </w:rPr>
        <w:t>R. v. Kotler,</w:t>
      </w:r>
      <w:r w:rsidRPr="00554713">
        <w:rPr>
          <w:rFonts w:ascii="Arial" w:hAnsi="Arial" w:cs="Arial"/>
          <w:lang w:val="fr-CA"/>
        </w:rPr>
        <w:t xml:space="preserve"> </w:t>
      </w:r>
      <w:r>
        <w:rPr>
          <w:rFonts w:ascii="Arial" w:hAnsi="Arial" w:cs="Arial"/>
          <w:lang w:val="fr-CA"/>
        </w:rPr>
        <w:t>dossier du tribunal n</w:t>
      </w:r>
      <w:r w:rsidRPr="00D279D5">
        <w:rPr>
          <w:rFonts w:ascii="Arial" w:hAnsi="Arial" w:cs="Arial"/>
          <w:vertAlign w:val="superscript"/>
          <w:lang w:val="fr-CA"/>
        </w:rPr>
        <w:t>o</w:t>
      </w:r>
      <w:r>
        <w:rPr>
          <w:rFonts w:ascii="Arial" w:hAnsi="Arial" w:cs="Arial"/>
          <w:lang w:val="fr-CA"/>
        </w:rPr>
        <w:t> </w:t>
      </w:r>
      <w:r w:rsidRPr="00554713">
        <w:rPr>
          <w:rFonts w:ascii="Arial" w:hAnsi="Arial" w:cs="Arial"/>
          <w:lang w:val="fr-CA"/>
        </w:rPr>
        <w:t>4960-5631023Z-00</w:t>
      </w:r>
    </w:p>
  </w:footnote>
  <w:footnote w:id="18">
    <w:p w14:paraId="263A413E" w14:textId="7E1229BC" w:rsidR="000D0207" w:rsidRPr="00554713" w:rsidRDefault="000D0207">
      <w:pPr>
        <w:pStyle w:val="FootnoteText"/>
        <w:rPr>
          <w:rFonts w:ascii="Arial" w:hAnsi="Arial" w:cs="Arial"/>
          <w:lang w:val="fr-CA"/>
        </w:rPr>
      </w:pPr>
      <w:r w:rsidRPr="00554713">
        <w:rPr>
          <w:rStyle w:val="FootnoteReference"/>
          <w:rFonts w:ascii="Arial" w:hAnsi="Arial" w:cs="Arial"/>
          <w:lang w:val="fr-CA"/>
        </w:rPr>
        <w:footnoteRef/>
      </w:r>
      <w:r w:rsidRPr="00554713">
        <w:rPr>
          <w:rFonts w:ascii="Arial" w:hAnsi="Arial" w:cs="Arial"/>
          <w:lang w:val="fr-CA"/>
        </w:rPr>
        <w:t xml:space="preserve"> </w:t>
      </w:r>
      <w:r w:rsidRPr="00554713">
        <w:rPr>
          <w:rFonts w:ascii="Arial" w:hAnsi="Arial" w:cs="Arial"/>
          <w:i/>
          <w:lang w:val="fr-CA"/>
        </w:rPr>
        <w:t>Supra</w:t>
      </w:r>
      <w:r w:rsidRPr="00554713">
        <w:rPr>
          <w:rFonts w:ascii="Arial" w:hAnsi="Arial" w:cs="Arial"/>
          <w:lang w:val="fr-CA"/>
        </w:rPr>
        <w:t>, note 3</w:t>
      </w:r>
    </w:p>
  </w:footnote>
  <w:footnote w:id="19">
    <w:p w14:paraId="0FE23BBC" w14:textId="53454F13" w:rsidR="000D0207" w:rsidRPr="00554713" w:rsidRDefault="000D0207">
      <w:pPr>
        <w:pStyle w:val="FootnoteText"/>
        <w:rPr>
          <w:lang w:val="fr-CA"/>
        </w:rPr>
      </w:pPr>
      <w:r w:rsidRPr="00554713">
        <w:rPr>
          <w:rStyle w:val="FootnoteReference"/>
          <w:rFonts w:ascii="Arial" w:hAnsi="Arial" w:cs="Arial"/>
          <w:lang w:val="fr-CA"/>
        </w:rPr>
        <w:footnoteRef/>
      </w:r>
      <w:r w:rsidRPr="00554713">
        <w:rPr>
          <w:rFonts w:ascii="Arial" w:hAnsi="Arial" w:cs="Arial"/>
          <w:lang w:val="fr-CA"/>
        </w:rPr>
        <w:t xml:space="preserve"> </w:t>
      </w:r>
      <w:r w:rsidRPr="00554713">
        <w:rPr>
          <w:rFonts w:ascii="Arial" w:hAnsi="Arial" w:cs="Arial"/>
          <w:i/>
          <w:lang w:val="fr-CA"/>
        </w:rPr>
        <w:t>Supra</w:t>
      </w:r>
      <w:r w:rsidRPr="00554713">
        <w:rPr>
          <w:rFonts w:ascii="Arial" w:hAnsi="Arial" w:cs="Arial"/>
          <w:lang w:val="fr-CA"/>
        </w:rPr>
        <w:t>, note 3</w:t>
      </w:r>
    </w:p>
  </w:footnote>
  <w:footnote w:id="20">
    <w:p w14:paraId="3C97A651" w14:textId="4D39EA0E" w:rsidR="000D0207" w:rsidRPr="00554713" w:rsidRDefault="000D0207">
      <w:pPr>
        <w:pStyle w:val="FootnoteText"/>
        <w:rPr>
          <w:rFonts w:ascii="Arial" w:hAnsi="Arial" w:cs="Arial"/>
          <w:lang w:val="fr-CA"/>
        </w:rPr>
      </w:pPr>
      <w:r w:rsidRPr="00554713">
        <w:rPr>
          <w:rStyle w:val="FootnoteReference"/>
          <w:rFonts w:ascii="Arial" w:hAnsi="Arial" w:cs="Arial"/>
          <w:lang w:val="fr-CA"/>
        </w:rPr>
        <w:footnoteRef/>
      </w:r>
      <w:r w:rsidRPr="00554713">
        <w:rPr>
          <w:rFonts w:ascii="Arial" w:hAnsi="Arial" w:cs="Arial"/>
          <w:lang w:val="fr-CA"/>
        </w:rPr>
        <w:t xml:space="preserve"> </w:t>
      </w:r>
      <w:r w:rsidRPr="00554713">
        <w:rPr>
          <w:rFonts w:ascii="Arial" w:hAnsi="Arial" w:cs="Arial"/>
          <w:i/>
          <w:lang w:val="fr-CA"/>
        </w:rPr>
        <w:t xml:space="preserve">R. v. Maria Campoli </w:t>
      </w:r>
      <w:r w:rsidRPr="00554713">
        <w:rPr>
          <w:rFonts w:ascii="Arial" w:hAnsi="Arial" w:cs="Arial"/>
          <w:lang w:val="fr-CA"/>
        </w:rPr>
        <w:t>(</w:t>
      </w:r>
      <w:r>
        <w:rPr>
          <w:rFonts w:ascii="Arial" w:hAnsi="Arial" w:cs="Arial"/>
          <w:lang w:val="fr-CA"/>
        </w:rPr>
        <w:t xml:space="preserve">23 mars </w:t>
      </w:r>
      <w:r w:rsidRPr="00554713">
        <w:rPr>
          <w:rFonts w:ascii="Arial" w:hAnsi="Arial" w:cs="Arial"/>
          <w:lang w:val="fr-CA"/>
        </w:rPr>
        <w:t>2015)</w:t>
      </w:r>
    </w:p>
  </w:footnote>
  <w:footnote w:id="21">
    <w:p w14:paraId="77C0E498" w14:textId="00B074E8" w:rsidR="000D0207" w:rsidRPr="00554713" w:rsidRDefault="000D0207">
      <w:pPr>
        <w:pStyle w:val="FootnoteText"/>
        <w:rPr>
          <w:rFonts w:ascii="Arial" w:hAnsi="Arial" w:cs="Arial"/>
          <w:lang w:val="fr-CA"/>
        </w:rPr>
      </w:pPr>
      <w:r w:rsidRPr="00554713">
        <w:rPr>
          <w:rStyle w:val="FootnoteReference"/>
          <w:lang w:val="fr-CA"/>
        </w:rPr>
        <w:footnoteRef/>
      </w:r>
      <w:r w:rsidRPr="00554713">
        <w:rPr>
          <w:lang w:val="fr-CA"/>
        </w:rPr>
        <w:t xml:space="preserve"> </w:t>
      </w:r>
      <w:r w:rsidRPr="00554713">
        <w:rPr>
          <w:rFonts w:ascii="Arial" w:hAnsi="Arial" w:cs="Arial"/>
          <w:i/>
          <w:lang w:val="fr-CA"/>
        </w:rPr>
        <w:t>R. v. Gerald Hefferon</w:t>
      </w:r>
      <w:r w:rsidRPr="00554713">
        <w:rPr>
          <w:rFonts w:ascii="Arial" w:hAnsi="Arial" w:cs="Arial"/>
          <w:lang w:val="fr-CA"/>
        </w:rPr>
        <w:t xml:space="preserve"> (</w:t>
      </w:r>
      <w:r>
        <w:rPr>
          <w:rFonts w:ascii="Arial" w:hAnsi="Arial" w:cs="Arial"/>
          <w:lang w:val="fr-CA"/>
        </w:rPr>
        <w:t xml:space="preserve">23 mars </w:t>
      </w:r>
      <w:r w:rsidRPr="00554713">
        <w:rPr>
          <w:rFonts w:ascii="Arial" w:hAnsi="Arial" w:cs="Arial"/>
          <w:lang w:val="fr-CA"/>
        </w:rPr>
        <w:t xml:space="preserve">2015; </w:t>
      </w:r>
      <w:r w:rsidRPr="00554713">
        <w:rPr>
          <w:rFonts w:ascii="Arial" w:hAnsi="Arial" w:cs="Arial"/>
          <w:i/>
          <w:lang w:val="fr-CA"/>
        </w:rPr>
        <w:t>R. v. Igor Abramov</w:t>
      </w:r>
      <w:r w:rsidRPr="00554713">
        <w:rPr>
          <w:rFonts w:ascii="Arial" w:hAnsi="Arial" w:cs="Arial"/>
          <w:lang w:val="fr-CA"/>
        </w:rPr>
        <w:t xml:space="preserve"> (</w:t>
      </w:r>
      <w:r>
        <w:rPr>
          <w:rFonts w:ascii="Arial" w:hAnsi="Arial" w:cs="Arial"/>
          <w:lang w:val="fr-CA"/>
        </w:rPr>
        <w:t xml:space="preserve">25 mars </w:t>
      </w:r>
      <w:r w:rsidRPr="00554713">
        <w:rPr>
          <w:rFonts w:ascii="Arial" w:hAnsi="Arial" w:cs="Arial"/>
          <w:lang w:val="fr-CA"/>
        </w:rPr>
        <w:t>2015)</w:t>
      </w:r>
    </w:p>
  </w:footnote>
  <w:footnote w:id="22">
    <w:p w14:paraId="535DAB69" w14:textId="1A2981EF" w:rsidR="000D0207" w:rsidRPr="00554713" w:rsidRDefault="000D0207">
      <w:pPr>
        <w:pStyle w:val="FootnoteText"/>
        <w:rPr>
          <w:lang w:val="fr-CA"/>
        </w:rPr>
      </w:pPr>
      <w:r w:rsidRPr="00554713">
        <w:rPr>
          <w:rStyle w:val="FootnoteReference"/>
          <w:rFonts w:ascii="Arial" w:hAnsi="Arial" w:cs="Arial"/>
          <w:lang w:val="fr-CA"/>
        </w:rPr>
        <w:footnoteRef/>
      </w:r>
      <w:r w:rsidRPr="00554713">
        <w:rPr>
          <w:rFonts w:ascii="Arial" w:hAnsi="Arial" w:cs="Arial"/>
          <w:lang w:val="fr-CA"/>
        </w:rPr>
        <w:t xml:space="preserve"> </w:t>
      </w:r>
      <w:r w:rsidRPr="00554713">
        <w:rPr>
          <w:rFonts w:ascii="Arial" w:hAnsi="Arial" w:cs="Arial"/>
          <w:i/>
          <w:lang w:val="fr-CA"/>
        </w:rPr>
        <w:t xml:space="preserve">Re </w:t>
      </w:r>
      <w:r w:rsidR="00686C27">
        <w:rPr>
          <w:rFonts w:ascii="Arial" w:hAnsi="Arial" w:cs="Arial"/>
          <w:i/>
          <w:lang w:val="fr-CA"/>
        </w:rPr>
        <w:t>Foulds</w:t>
      </w:r>
      <w:r w:rsidRPr="00554713">
        <w:rPr>
          <w:rFonts w:ascii="Arial" w:hAnsi="Arial" w:cs="Arial"/>
          <w:i/>
          <w:lang w:val="fr-CA"/>
        </w:rPr>
        <w:t xml:space="preserve">: Motion </w:t>
      </w:r>
      <w:r w:rsidR="00011133">
        <w:rPr>
          <w:rFonts w:ascii="Arial" w:hAnsi="Arial" w:cs="Arial"/>
          <w:i/>
          <w:lang w:val="fr-CA"/>
        </w:rPr>
        <w:t>en vue d’obtenir un sursis temporaire/l’ajournement de l’audience disciplinaire</w:t>
      </w:r>
      <w:r w:rsidRPr="00554713">
        <w:rPr>
          <w:rFonts w:ascii="Arial" w:hAnsi="Arial" w:cs="Arial"/>
          <w:lang w:val="fr-CA"/>
        </w:rPr>
        <w:t xml:space="preserve"> (</w:t>
      </w:r>
      <w:r w:rsidR="00011133">
        <w:rPr>
          <w:rFonts w:ascii="Arial" w:hAnsi="Arial" w:cs="Arial"/>
          <w:lang w:val="fr-CA"/>
        </w:rPr>
        <w:t>CEJP</w:t>
      </w:r>
      <w:r w:rsidRPr="00554713">
        <w:rPr>
          <w:rFonts w:ascii="Arial" w:hAnsi="Arial" w:cs="Arial"/>
          <w:lang w:val="fr-CA"/>
        </w:rPr>
        <w:t>, 2017</w:t>
      </w:r>
      <w:r w:rsidRPr="00554713">
        <w:rPr>
          <w:lang w:val="fr-CA"/>
        </w:rPr>
        <w:t>)</w:t>
      </w:r>
    </w:p>
  </w:footnote>
  <w:footnote w:id="23">
    <w:p w14:paraId="2058FDE7" w14:textId="58CAC20D" w:rsidR="000D0207" w:rsidRPr="00554713" w:rsidRDefault="000D0207" w:rsidP="00FE5C34">
      <w:pPr>
        <w:pStyle w:val="FootnoteText"/>
        <w:rPr>
          <w:rFonts w:ascii="Arial" w:hAnsi="Arial" w:cs="Arial"/>
          <w:lang w:val="fr-CA"/>
        </w:rPr>
      </w:pPr>
      <w:r w:rsidRPr="00554713">
        <w:rPr>
          <w:rStyle w:val="FootnoteReference"/>
          <w:rFonts w:ascii="Arial" w:hAnsi="Arial" w:cs="Arial"/>
          <w:lang w:val="fr-CA"/>
        </w:rPr>
        <w:footnoteRef/>
      </w:r>
      <w:r w:rsidRPr="00554713">
        <w:rPr>
          <w:rFonts w:ascii="Arial" w:hAnsi="Arial" w:cs="Arial"/>
          <w:lang w:val="fr-CA"/>
        </w:rPr>
        <w:t xml:space="preserve"> </w:t>
      </w:r>
      <w:r w:rsidRPr="00554713">
        <w:rPr>
          <w:rFonts w:ascii="Arial" w:hAnsi="Arial" w:cs="Arial"/>
          <w:i/>
          <w:lang w:val="fr-CA"/>
        </w:rPr>
        <w:t>Re:  Massiah: D</w:t>
      </w:r>
      <w:r w:rsidR="002A65AA">
        <w:rPr>
          <w:rFonts w:ascii="Arial" w:hAnsi="Arial" w:cs="Arial"/>
          <w:i/>
          <w:lang w:val="fr-CA"/>
        </w:rPr>
        <w:t>écision sur la mesure à prendre</w:t>
      </w:r>
      <w:r w:rsidRPr="00554713">
        <w:rPr>
          <w:rFonts w:ascii="Arial" w:hAnsi="Arial" w:cs="Arial"/>
          <w:lang w:val="fr-CA"/>
        </w:rPr>
        <w:t xml:space="preserve"> (</w:t>
      </w:r>
      <w:r w:rsidR="002A65AA">
        <w:rPr>
          <w:rFonts w:ascii="Arial" w:hAnsi="Arial" w:cs="Arial"/>
          <w:lang w:val="fr-CA"/>
        </w:rPr>
        <w:t>CEJP</w:t>
      </w:r>
      <w:r w:rsidRPr="00554713">
        <w:rPr>
          <w:rFonts w:ascii="Arial" w:hAnsi="Arial" w:cs="Arial"/>
          <w:lang w:val="fr-CA"/>
        </w:rPr>
        <w:t>, 2015), a</w:t>
      </w:r>
      <w:r w:rsidR="002A65AA">
        <w:rPr>
          <w:rFonts w:ascii="Arial" w:hAnsi="Arial" w:cs="Arial"/>
          <w:lang w:val="fr-CA"/>
        </w:rPr>
        <w:t>u</w:t>
      </w:r>
      <w:r w:rsidRPr="00554713">
        <w:rPr>
          <w:rFonts w:ascii="Arial" w:hAnsi="Arial" w:cs="Arial"/>
          <w:lang w:val="fr-CA"/>
        </w:rPr>
        <w:t xml:space="preserve"> para 16, cit</w:t>
      </w:r>
      <w:r>
        <w:rPr>
          <w:rFonts w:ascii="Arial" w:hAnsi="Arial" w:cs="Arial"/>
          <w:lang w:val="fr-CA"/>
        </w:rPr>
        <w:t>ant</w:t>
      </w:r>
      <w:r w:rsidRPr="00554713">
        <w:rPr>
          <w:rFonts w:ascii="Arial" w:hAnsi="Arial" w:cs="Arial"/>
          <w:lang w:val="fr-CA"/>
        </w:rPr>
        <w:t xml:space="preserve"> </w:t>
      </w:r>
      <w:r w:rsidRPr="00554713">
        <w:rPr>
          <w:rFonts w:ascii="Arial" w:hAnsi="Arial" w:cs="Arial"/>
          <w:i/>
          <w:lang w:val="fr-CA"/>
        </w:rPr>
        <w:t xml:space="preserve">Re: Chisvin </w:t>
      </w:r>
      <w:r w:rsidRPr="00554713">
        <w:rPr>
          <w:rFonts w:ascii="Arial" w:hAnsi="Arial" w:cs="Arial"/>
          <w:lang w:val="fr-CA"/>
        </w:rPr>
        <w:t>(</w:t>
      </w:r>
      <w:r w:rsidR="002A65AA">
        <w:rPr>
          <w:rFonts w:ascii="Arial" w:hAnsi="Arial" w:cs="Arial"/>
          <w:lang w:val="fr-CA"/>
        </w:rPr>
        <w:t>CMO</w:t>
      </w:r>
      <w:r w:rsidRPr="00554713">
        <w:rPr>
          <w:rFonts w:ascii="Arial" w:hAnsi="Arial" w:cs="Arial"/>
          <w:lang w:val="fr-CA"/>
        </w:rPr>
        <w:t xml:space="preserve">, 2012); </w:t>
      </w:r>
      <w:r w:rsidRPr="00554713">
        <w:rPr>
          <w:rFonts w:ascii="Arial" w:hAnsi="Arial" w:cs="Arial"/>
          <w:i/>
          <w:lang w:val="fr-CA"/>
        </w:rPr>
        <w:t xml:space="preserve">Re Foulds: </w:t>
      </w:r>
      <w:r>
        <w:rPr>
          <w:rFonts w:ascii="Arial" w:hAnsi="Arial" w:cs="Arial"/>
          <w:i/>
          <w:lang w:val="fr-CA"/>
        </w:rPr>
        <w:t>D</w:t>
      </w:r>
      <w:r w:rsidRPr="00CC15B2">
        <w:rPr>
          <w:rFonts w:ascii="Arial" w:hAnsi="Arial" w:cs="Arial"/>
          <w:i/>
          <w:lang w:val="fr-CA"/>
        </w:rPr>
        <w:t xml:space="preserve">écision sur la mesure à prendre et l’indemnisation des frais pour services juridiques après une conclusion d’inconduite judiciaire </w:t>
      </w:r>
      <w:r w:rsidRPr="00554713">
        <w:rPr>
          <w:rFonts w:ascii="Arial" w:hAnsi="Arial" w:cs="Arial"/>
          <w:lang w:val="fr-CA"/>
        </w:rPr>
        <w:t>(</w:t>
      </w:r>
      <w:r w:rsidR="002A65AA">
        <w:rPr>
          <w:rFonts w:ascii="Arial" w:hAnsi="Arial" w:cs="Arial"/>
          <w:lang w:val="fr-CA"/>
        </w:rPr>
        <w:t>CEJP</w:t>
      </w:r>
      <w:r w:rsidRPr="00554713">
        <w:rPr>
          <w:rFonts w:ascii="Arial" w:hAnsi="Arial" w:cs="Arial"/>
          <w:lang w:val="fr-CA"/>
        </w:rPr>
        <w:t xml:space="preserve">, 2018); </w:t>
      </w:r>
      <w:r w:rsidRPr="00554713">
        <w:rPr>
          <w:rFonts w:ascii="Arial" w:hAnsi="Arial" w:cs="Arial"/>
          <w:i/>
          <w:lang w:val="fr-CA"/>
        </w:rPr>
        <w:t>Re Phillips: D</w:t>
      </w:r>
      <w:r w:rsidR="002A65AA">
        <w:rPr>
          <w:rFonts w:ascii="Arial" w:hAnsi="Arial" w:cs="Arial"/>
          <w:i/>
          <w:lang w:val="fr-CA"/>
        </w:rPr>
        <w:t>écision sur la mesure à prendre après une conclusion d’inconduite judiciaire</w:t>
      </w:r>
      <w:r w:rsidRPr="00554713">
        <w:rPr>
          <w:rFonts w:ascii="Arial" w:hAnsi="Arial" w:cs="Arial"/>
          <w:lang w:val="fr-CA"/>
        </w:rPr>
        <w:t xml:space="preserve"> (</w:t>
      </w:r>
      <w:r w:rsidR="002A65AA">
        <w:rPr>
          <w:rFonts w:ascii="Arial" w:hAnsi="Arial" w:cs="Arial"/>
          <w:lang w:val="fr-CA"/>
        </w:rPr>
        <w:t>CEJP</w:t>
      </w:r>
      <w:r w:rsidRPr="00554713">
        <w:rPr>
          <w:rFonts w:ascii="Arial" w:hAnsi="Arial" w:cs="Arial"/>
          <w:lang w:val="fr-CA"/>
        </w:rPr>
        <w:t>, 2013)</w:t>
      </w:r>
    </w:p>
    <w:p w14:paraId="30AF24D7" w14:textId="114A293E" w:rsidR="000D0207" w:rsidRPr="00554713" w:rsidRDefault="000D0207" w:rsidP="00FE5C34">
      <w:pPr>
        <w:pStyle w:val="FootnoteText"/>
        <w:rPr>
          <w:rFonts w:ascii="Arial" w:hAnsi="Arial" w:cs="Arial"/>
          <w:lang w:val="fr-C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3BD00" w14:textId="77777777" w:rsidR="000D0207" w:rsidRDefault="000D02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1F306" w14:textId="77777777" w:rsidR="000D0207" w:rsidRDefault="000D02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FD1FA" w14:textId="77777777" w:rsidR="000D0207" w:rsidRDefault="000D02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4735E"/>
    <w:multiLevelType w:val="hybridMultilevel"/>
    <w:tmpl w:val="459E2A86"/>
    <w:lvl w:ilvl="0" w:tplc="3236AEE6">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15:restartNumberingAfterBreak="0">
    <w:nsid w:val="096057D8"/>
    <w:multiLevelType w:val="hybridMultilevel"/>
    <w:tmpl w:val="6212B294"/>
    <w:lvl w:ilvl="0" w:tplc="438A7CF2">
      <w:start w:val="1"/>
      <w:numFmt w:val="lowerLetter"/>
      <w:lvlText w:val="%1."/>
      <w:lvlJc w:val="left"/>
      <w:pPr>
        <w:ind w:left="360" w:hanging="360"/>
      </w:pPr>
    </w:lvl>
    <w:lvl w:ilvl="1" w:tplc="D8CE0BD0" w:tentative="1">
      <w:start w:val="1"/>
      <w:numFmt w:val="lowerLetter"/>
      <w:lvlText w:val="%2."/>
      <w:lvlJc w:val="left"/>
      <w:pPr>
        <w:ind w:left="1080" w:hanging="360"/>
      </w:pPr>
    </w:lvl>
    <w:lvl w:ilvl="2" w:tplc="74B6ECCA" w:tentative="1">
      <w:start w:val="1"/>
      <w:numFmt w:val="lowerRoman"/>
      <w:lvlText w:val="%3."/>
      <w:lvlJc w:val="right"/>
      <w:pPr>
        <w:ind w:left="1800" w:hanging="180"/>
      </w:pPr>
    </w:lvl>
    <w:lvl w:ilvl="3" w:tplc="A9824B78" w:tentative="1">
      <w:start w:val="1"/>
      <w:numFmt w:val="decimal"/>
      <w:lvlText w:val="%4."/>
      <w:lvlJc w:val="left"/>
      <w:pPr>
        <w:ind w:left="2520" w:hanging="360"/>
      </w:pPr>
    </w:lvl>
    <w:lvl w:ilvl="4" w:tplc="AB7642EE" w:tentative="1">
      <w:start w:val="1"/>
      <w:numFmt w:val="lowerLetter"/>
      <w:lvlText w:val="%5."/>
      <w:lvlJc w:val="left"/>
      <w:pPr>
        <w:ind w:left="3240" w:hanging="360"/>
      </w:pPr>
    </w:lvl>
    <w:lvl w:ilvl="5" w:tplc="0B422A0C" w:tentative="1">
      <w:start w:val="1"/>
      <w:numFmt w:val="lowerRoman"/>
      <w:lvlText w:val="%6."/>
      <w:lvlJc w:val="right"/>
      <w:pPr>
        <w:ind w:left="3960" w:hanging="180"/>
      </w:pPr>
    </w:lvl>
    <w:lvl w:ilvl="6" w:tplc="55E6BD5A" w:tentative="1">
      <w:start w:val="1"/>
      <w:numFmt w:val="decimal"/>
      <w:lvlText w:val="%7."/>
      <w:lvlJc w:val="left"/>
      <w:pPr>
        <w:ind w:left="4680" w:hanging="360"/>
      </w:pPr>
    </w:lvl>
    <w:lvl w:ilvl="7" w:tplc="A9B8A79A" w:tentative="1">
      <w:start w:val="1"/>
      <w:numFmt w:val="lowerLetter"/>
      <w:lvlText w:val="%8."/>
      <w:lvlJc w:val="left"/>
      <w:pPr>
        <w:ind w:left="5400" w:hanging="360"/>
      </w:pPr>
    </w:lvl>
    <w:lvl w:ilvl="8" w:tplc="624683BE" w:tentative="1">
      <w:start w:val="1"/>
      <w:numFmt w:val="lowerRoman"/>
      <w:lvlText w:val="%9."/>
      <w:lvlJc w:val="right"/>
      <w:pPr>
        <w:ind w:left="6120" w:hanging="180"/>
      </w:pPr>
    </w:lvl>
  </w:abstractNum>
  <w:abstractNum w:abstractNumId="2" w15:restartNumberingAfterBreak="0">
    <w:nsid w:val="09E2657D"/>
    <w:multiLevelType w:val="hybridMultilevel"/>
    <w:tmpl w:val="8FAAEB44"/>
    <w:lvl w:ilvl="0" w:tplc="2A763754">
      <w:start w:val="1"/>
      <w:numFmt w:val="lowerLetter"/>
      <w:lvlText w:val="%1."/>
      <w:lvlJc w:val="left"/>
      <w:pPr>
        <w:ind w:left="720" w:hanging="360"/>
      </w:pPr>
    </w:lvl>
    <w:lvl w:ilvl="1" w:tplc="0824CA4C" w:tentative="1">
      <w:start w:val="1"/>
      <w:numFmt w:val="lowerLetter"/>
      <w:lvlText w:val="%2."/>
      <w:lvlJc w:val="left"/>
      <w:pPr>
        <w:ind w:left="1440" w:hanging="360"/>
      </w:pPr>
    </w:lvl>
    <w:lvl w:ilvl="2" w:tplc="79BA477C" w:tentative="1">
      <w:start w:val="1"/>
      <w:numFmt w:val="lowerRoman"/>
      <w:lvlText w:val="%3."/>
      <w:lvlJc w:val="right"/>
      <w:pPr>
        <w:ind w:left="2160" w:hanging="180"/>
      </w:pPr>
    </w:lvl>
    <w:lvl w:ilvl="3" w:tplc="AE56BC5C" w:tentative="1">
      <w:start w:val="1"/>
      <w:numFmt w:val="decimal"/>
      <w:lvlText w:val="%4."/>
      <w:lvlJc w:val="left"/>
      <w:pPr>
        <w:ind w:left="2880" w:hanging="360"/>
      </w:pPr>
    </w:lvl>
    <w:lvl w:ilvl="4" w:tplc="C6902FCE" w:tentative="1">
      <w:start w:val="1"/>
      <w:numFmt w:val="lowerLetter"/>
      <w:lvlText w:val="%5."/>
      <w:lvlJc w:val="left"/>
      <w:pPr>
        <w:ind w:left="3600" w:hanging="360"/>
      </w:pPr>
    </w:lvl>
    <w:lvl w:ilvl="5" w:tplc="7C764198" w:tentative="1">
      <w:start w:val="1"/>
      <w:numFmt w:val="lowerRoman"/>
      <w:lvlText w:val="%6."/>
      <w:lvlJc w:val="right"/>
      <w:pPr>
        <w:ind w:left="4320" w:hanging="180"/>
      </w:pPr>
    </w:lvl>
    <w:lvl w:ilvl="6" w:tplc="DDE2D5BE" w:tentative="1">
      <w:start w:val="1"/>
      <w:numFmt w:val="decimal"/>
      <w:lvlText w:val="%7."/>
      <w:lvlJc w:val="left"/>
      <w:pPr>
        <w:ind w:left="5040" w:hanging="360"/>
      </w:pPr>
    </w:lvl>
    <w:lvl w:ilvl="7" w:tplc="52C4BDD6" w:tentative="1">
      <w:start w:val="1"/>
      <w:numFmt w:val="lowerLetter"/>
      <w:lvlText w:val="%8."/>
      <w:lvlJc w:val="left"/>
      <w:pPr>
        <w:ind w:left="5760" w:hanging="360"/>
      </w:pPr>
    </w:lvl>
    <w:lvl w:ilvl="8" w:tplc="2A1E0C90" w:tentative="1">
      <w:start w:val="1"/>
      <w:numFmt w:val="lowerRoman"/>
      <w:lvlText w:val="%9."/>
      <w:lvlJc w:val="right"/>
      <w:pPr>
        <w:ind w:left="6480" w:hanging="180"/>
      </w:pPr>
    </w:lvl>
  </w:abstractNum>
  <w:abstractNum w:abstractNumId="3" w15:restartNumberingAfterBreak="0">
    <w:nsid w:val="10122A8D"/>
    <w:multiLevelType w:val="hybridMultilevel"/>
    <w:tmpl w:val="8FE613D6"/>
    <w:lvl w:ilvl="0" w:tplc="6842222E">
      <w:start w:val="1"/>
      <w:numFmt w:val="lowerLetter"/>
      <w:lvlText w:val="%1."/>
      <w:lvlJc w:val="left"/>
      <w:pPr>
        <w:ind w:left="1080" w:hanging="360"/>
      </w:pPr>
      <w:rPr>
        <w:rFonts w:hint="default"/>
      </w:rPr>
    </w:lvl>
    <w:lvl w:ilvl="1" w:tplc="AFB4221E" w:tentative="1">
      <w:start w:val="1"/>
      <w:numFmt w:val="lowerLetter"/>
      <w:lvlText w:val="%2."/>
      <w:lvlJc w:val="left"/>
      <w:pPr>
        <w:ind w:left="1800" w:hanging="360"/>
      </w:pPr>
    </w:lvl>
    <w:lvl w:ilvl="2" w:tplc="24CAB13C" w:tentative="1">
      <w:start w:val="1"/>
      <w:numFmt w:val="lowerRoman"/>
      <w:lvlText w:val="%3."/>
      <w:lvlJc w:val="right"/>
      <w:pPr>
        <w:ind w:left="2520" w:hanging="180"/>
      </w:pPr>
    </w:lvl>
    <w:lvl w:ilvl="3" w:tplc="DB3C3856" w:tentative="1">
      <w:start w:val="1"/>
      <w:numFmt w:val="decimal"/>
      <w:lvlText w:val="%4."/>
      <w:lvlJc w:val="left"/>
      <w:pPr>
        <w:ind w:left="3240" w:hanging="360"/>
      </w:pPr>
    </w:lvl>
    <w:lvl w:ilvl="4" w:tplc="CA7EE8CE" w:tentative="1">
      <w:start w:val="1"/>
      <w:numFmt w:val="lowerLetter"/>
      <w:lvlText w:val="%5."/>
      <w:lvlJc w:val="left"/>
      <w:pPr>
        <w:ind w:left="3960" w:hanging="360"/>
      </w:pPr>
    </w:lvl>
    <w:lvl w:ilvl="5" w:tplc="BF801CFE" w:tentative="1">
      <w:start w:val="1"/>
      <w:numFmt w:val="lowerRoman"/>
      <w:lvlText w:val="%6."/>
      <w:lvlJc w:val="right"/>
      <w:pPr>
        <w:ind w:left="4680" w:hanging="180"/>
      </w:pPr>
    </w:lvl>
    <w:lvl w:ilvl="6" w:tplc="AE9E5CEA" w:tentative="1">
      <w:start w:val="1"/>
      <w:numFmt w:val="decimal"/>
      <w:lvlText w:val="%7."/>
      <w:lvlJc w:val="left"/>
      <w:pPr>
        <w:ind w:left="5400" w:hanging="360"/>
      </w:pPr>
    </w:lvl>
    <w:lvl w:ilvl="7" w:tplc="187C93EE" w:tentative="1">
      <w:start w:val="1"/>
      <w:numFmt w:val="lowerLetter"/>
      <w:lvlText w:val="%8."/>
      <w:lvlJc w:val="left"/>
      <w:pPr>
        <w:ind w:left="6120" w:hanging="360"/>
      </w:pPr>
    </w:lvl>
    <w:lvl w:ilvl="8" w:tplc="8864E492" w:tentative="1">
      <w:start w:val="1"/>
      <w:numFmt w:val="lowerRoman"/>
      <w:lvlText w:val="%9."/>
      <w:lvlJc w:val="right"/>
      <w:pPr>
        <w:ind w:left="6840" w:hanging="180"/>
      </w:pPr>
    </w:lvl>
  </w:abstractNum>
  <w:abstractNum w:abstractNumId="4" w15:restartNumberingAfterBreak="0">
    <w:nsid w:val="12684781"/>
    <w:multiLevelType w:val="hybridMultilevel"/>
    <w:tmpl w:val="B1BABF16"/>
    <w:lvl w:ilvl="0" w:tplc="7D1C41A0">
      <w:start w:val="1"/>
      <w:numFmt w:val="lowerLetter"/>
      <w:lvlText w:val="%1."/>
      <w:lvlJc w:val="left"/>
      <w:pPr>
        <w:ind w:left="720" w:hanging="360"/>
      </w:pPr>
      <w:rPr>
        <w:rFonts w:hint="default"/>
        <w:b/>
      </w:rPr>
    </w:lvl>
    <w:lvl w:ilvl="1" w:tplc="2D7EC9C0" w:tentative="1">
      <w:start w:val="1"/>
      <w:numFmt w:val="lowerLetter"/>
      <w:lvlText w:val="%2."/>
      <w:lvlJc w:val="left"/>
      <w:pPr>
        <w:ind w:left="1440" w:hanging="360"/>
      </w:pPr>
    </w:lvl>
    <w:lvl w:ilvl="2" w:tplc="88F6ABAA" w:tentative="1">
      <w:start w:val="1"/>
      <w:numFmt w:val="lowerRoman"/>
      <w:lvlText w:val="%3."/>
      <w:lvlJc w:val="right"/>
      <w:pPr>
        <w:ind w:left="2160" w:hanging="180"/>
      </w:pPr>
    </w:lvl>
    <w:lvl w:ilvl="3" w:tplc="1116BF0A" w:tentative="1">
      <w:start w:val="1"/>
      <w:numFmt w:val="decimal"/>
      <w:lvlText w:val="%4."/>
      <w:lvlJc w:val="left"/>
      <w:pPr>
        <w:ind w:left="2880" w:hanging="360"/>
      </w:pPr>
    </w:lvl>
    <w:lvl w:ilvl="4" w:tplc="8196DA20" w:tentative="1">
      <w:start w:val="1"/>
      <w:numFmt w:val="lowerLetter"/>
      <w:lvlText w:val="%5."/>
      <w:lvlJc w:val="left"/>
      <w:pPr>
        <w:ind w:left="3600" w:hanging="360"/>
      </w:pPr>
    </w:lvl>
    <w:lvl w:ilvl="5" w:tplc="A1A85642" w:tentative="1">
      <w:start w:val="1"/>
      <w:numFmt w:val="lowerRoman"/>
      <w:lvlText w:val="%6."/>
      <w:lvlJc w:val="right"/>
      <w:pPr>
        <w:ind w:left="4320" w:hanging="180"/>
      </w:pPr>
    </w:lvl>
    <w:lvl w:ilvl="6" w:tplc="72F6C706" w:tentative="1">
      <w:start w:val="1"/>
      <w:numFmt w:val="decimal"/>
      <w:lvlText w:val="%7."/>
      <w:lvlJc w:val="left"/>
      <w:pPr>
        <w:ind w:left="5040" w:hanging="360"/>
      </w:pPr>
    </w:lvl>
    <w:lvl w:ilvl="7" w:tplc="D53AC642" w:tentative="1">
      <w:start w:val="1"/>
      <w:numFmt w:val="lowerLetter"/>
      <w:lvlText w:val="%8."/>
      <w:lvlJc w:val="left"/>
      <w:pPr>
        <w:ind w:left="5760" w:hanging="360"/>
      </w:pPr>
    </w:lvl>
    <w:lvl w:ilvl="8" w:tplc="659EEE44" w:tentative="1">
      <w:start w:val="1"/>
      <w:numFmt w:val="lowerRoman"/>
      <w:lvlText w:val="%9."/>
      <w:lvlJc w:val="right"/>
      <w:pPr>
        <w:ind w:left="6480" w:hanging="180"/>
      </w:pPr>
    </w:lvl>
  </w:abstractNum>
  <w:abstractNum w:abstractNumId="5" w15:restartNumberingAfterBreak="0">
    <w:nsid w:val="209074E1"/>
    <w:multiLevelType w:val="hybridMultilevel"/>
    <w:tmpl w:val="3BD0F876"/>
    <w:lvl w:ilvl="0" w:tplc="93C22332">
      <w:start w:val="1"/>
      <w:numFmt w:val="decimal"/>
      <w:lvlText w:val="%1."/>
      <w:lvlJc w:val="left"/>
      <w:pPr>
        <w:ind w:left="720" w:hanging="360"/>
      </w:pPr>
    </w:lvl>
    <w:lvl w:ilvl="1" w:tplc="A37EA2BE" w:tentative="1">
      <w:start w:val="1"/>
      <w:numFmt w:val="lowerLetter"/>
      <w:lvlText w:val="%2."/>
      <w:lvlJc w:val="left"/>
      <w:pPr>
        <w:ind w:left="1440" w:hanging="360"/>
      </w:pPr>
    </w:lvl>
    <w:lvl w:ilvl="2" w:tplc="DE7E3B20" w:tentative="1">
      <w:start w:val="1"/>
      <w:numFmt w:val="lowerRoman"/>
      <w:lvlText w:val="%3."/>
      <w:lvlJc w:val="right"/>
      <w:pPr>
        <w:ind w:left="2160" w:hanging="180"/>
      </w:pPr>
    </w:lvl>
    <w:lvl w:ilvl="3" w:tplc="BB180D16" w:tentative="1">
      <w:start w:val="1"/>
      <w:numFmt w:val="decimal"/>
      <w:lvlText w:val="%4."/>
      <w:lvlJc w:val="left"/>
      <w:pPr>
        <w:ind w:left="2880" w:hanging="360"/>
      </w:pPr>
    </w:lvl>
    <w:lvl w:ilvl="4" w:tplc="7ACAFC02" w:tentative="1">
      <w:start w:val="1"/>
      <w:numFmt w:val="lowerLetter"/>
      <w:lvlText w:val="%5."/>
      <w:lvlJc w:val="left"/>
      <w:pPr>
        <w:ind w:left="3600" w:hanging="360"/>
      </w:pPr>
    </w:lvl>
    <w:lvl w:ilvl="5" w:tplc="5D92131C" w:tentative="1">
      <w:start w:val="1"/>
      <w:numFmt w:val="lowerRoman"/>
      <w:lvlText w:val="%6."/>
      <w:lvlJc w:val="right"/>
      <w:pPr>
        <w:ind w:left="4320" w:hanging="180"/>
      </w:pPr>
    </w:lvl>
    <w:lvl w:ilvl="6" w:tplc="6EB48654" w:tentative="1">
      <w:start w:val="1"/>
      <w:numFmt w:val="decimal"/>
      <w:lvlText w:val="%7."/>
      <w:lvlJc w:val="left"/>
      <w:pPr>
        <w:ind w:left="5040" w:hanging="360"/>
      </w:pPr>
    </w:lvl>
    <w:lvl w:ilvl="7" w:tplc="D152DC28" w:tentative="1">
      <w:start w:val="1"/>
      <w:numFmt w:val="lowerLetter"/>
      <w:lvlText w:val="%8."/>
      <w:lvlJc w:val="left"/>
      <w:pPr>
        <w:ind w:left="5760" w:hanging="360"/>
      </w:pPr>
    </w:lvl>
    <w:lvl w:ilvl="8" w:tplc="77FEE2FA" w:tentative="1">
      <w:start w:val="1"/>
      <w:numFmt w:val="lowerRoman"/>
      <w:lvlText w:val="%9."/>
      <w:lvlJc w:val="right"/>
      <w:pPr>
        <w:ind w:left="6480" w:hanging="180"/>
      </w:pPr>
    </w:lvl>
  </w:abstractNum>
  <w:abstractNum w:abstractNumId="6" w15:restartNumberingAfterBreak="0">
    <w:nsid w:val="21A61617"/>
    <w:multiLevelType w:val="hybridMultilevel"/>
    <w:tmpl w:val="371238DA"/>
    <w:lvl w:ilvl="0" w:tplc="5A0A9D18">
      <w:start w:val="1"/>
      <w:numFmt w:val="lowerLetter"/>
      <w:lvlText w:val="%1."/>
      <w:lvlJc w:val="left"/>
      <w:pPr>
        <w:ind w:left="360" w:hanging="360"/>
      </w:pPr>
    </w:lvl>
    <w:lvl w:ilvl="1" w:tplc="44C82504" w:tentative="1">
      <w:start w:val="1"/>
      <w:numFmt w:val="lowerLetter"/>
      <w:lvlText w:val="%2."/>
      <w:lvlJc w:val="left"/>
      <w:pPr>
        <w:ind w:left="1080" w:hanging="360"/>
      </w:pPr>
    </w:lvl>
    <w:lvl w:ilvl="2" w:tplc="6A081266" w:tentative="1">
      <w:start w:val="1"/>
      <w:numFmt w:val="lowerRoman"/>
      <w:lvlText w:val="%3."/>
      <w:lvlJc w:val="right"/>
      <w:pPr>
        <w:ind w:left="1800" w:hanging="180"/>
      </w:pPr>
    </w:lvl>
    <w:lvl w:ilvl="3" w:tplc="5922F77A" w:tentative="1">
      <w:start w:val="1"/>
      <w:numFmt w:val="decimal"/>
      <w:lvlText w:val="%4."/>
      <w:lvlJc w:val="left"/>
      <w:pPr>
        <w:ind w:left="2520" w:hanging="360"/>
      </w:pPr>
    </w:lvl>
    <w:lvl w:ilvl="4" w:tplc="8C8C6632" w:tentative="1">
      <w:start w:val="1"/>
      <w:numFmt w:val="lowerLetter"/>
      <w:lvlText w:val="%5."/>
      <w:lvlJc w:val="left"/>
      <w:pPr>
        <w:ind w:left="3240" w:hanging="360"/>
      </w:pPr>
    </w:lvl>
    <w:lvl w:ilvl="5" w:tplc="19CAA972" w:tentative="1">
      <w:start w:val="1"/>
      <w:numFmt w:val="lowerRoman"/>
      <w:lvlText w:val="%6."/>
      <w:lvlJc w:val="right"/>
      <w:pPr>
        <w:ind w:left="3960" w:hanging="180"/>
      </w:pPr>
    </w:lvl>
    <w:lvl w:ilvl="6" w:tplc="182477C0" w:tentative="1">
      <w:start w:val="1"/>
      <w:numFmt w:val="decimal"/>
      <w:lvlText w:val="%7."/>
      <w:lvlJc w:val="left"/>
      <w:pPr>
        <w:ind w:left="4680" w:hanging="360"/>
      </w:pPr>
    </w:lvl>
    <w:lvl w:ilvl="7" w:tplc="62106FF6" w:tentative="1">
      <w:start w:val="1"/>
      <w:numFmt w:val="lowerLetter"/>
      <w:lvlText w:val="%8."/>
      <w:lvlJc w:val="left"/>
      <w:pPr>
        <w:ind w:left="5400" w:hanging="360"/>
      </w:pPr>
    </w:lvl>
    <w:lvl w:ilvl="8" w:tplc="AF7EFD54" w:tentative="1">
      <w:start w:val="1"/>
      <w:numFmt w:val="lowerRoman"/>
      <w:lvlText w:val="%9."/>
      <w:lvlJc w:val="right"/>
      <w:pPr>
        <w:ind w:left="6120" w:hanging="180"/>
      </w:pPr>
    </w:lvl>
  </w:abstractNum>
  <w:abstractNum w:abstractNumId="7" w15:restartNumberingAfterBreak="0">
    <w:nsid w:val="29265C57"/>
    <w:multiLevelType w:val="hybridMultilevel"/>
    <w:tmpl w:val="79BECFCC"/>
    <w:lvl w:ilvl="0" w:tplc="F7064716">
      <w:start w:val="1"/>
      <w:numFmt w:val="lowerLetter"/>
      <w:lvlText w:val="%1."/>
      <w:lvlJc w:val="left"/>
      <w:pPr>
        <w:ind w:left="720" w:hanging="360"/>
      </w:pPr>
      <w:rPr>
        <w:rFonts w:hint="default"/>
        <w:b/>
      </w:rPr>
    </w:lvl>
    <w:lvl w:ilvl="1" w:tplc="894C9B4C" w:tentative="1">
      <w:start w:val="1"/>
      <w:numFmt w:val="lowerLetter"/>
      <w:lvlText w:val="%2."/>
      <w:lvlJc w:val="left"/>
      <w:pPr>
        <w:ind w:left="1440" w:hanging="360"/>
      </w:pPr>
    </w:lvl>
    <w:lvl w:ilvl="2" w:tplc="5A3E9970" w:tentative="1">
      <w:start w:val="1"/>
      <w:numFmt w:val="lowerRoman"/>
      <w:lvlText w:val="%3."/>
      <w:lvlJc w:val="right"/>
      <w:pPr>
        <w:ind w:left="2160" w:hanging="180"/>
      </w:pPr>
    </w:lvl>
    <w:lvl w:ilvl="3" w:tplc="C4940E28" w:tentative="1">
      <w:start w:val="1"/>
      <w:numFmt w:val="decimal"/>
      <w:lvlText w:val="%4."/>
      <w:lvlJc w:val="left"/>
      <w:pPr>
        <w:ind w:left="2880" w:hanging="360"/>
      </w:pPr>
    </w:lvl>
    <w:lvl w:ilvl="4" w:tplc="66565308" w:tentative="1">
      <w:start w:val="1"/>
      <w:numFmt w:val="lowerLetter"/>
      <w:lvlText w:val="%5."/>
      <w:lvlJc w:val="left"/>
      <w:pPr>
        <w:ind w:left="3600" w:hanging="360"/>
      </w:pPr>
    </w:lvl>
    <w:lvl w:ilvl="5" w:tplc="EFF2B1CE" w:tentative="1">
      <w:start w:val="1"/>
      <w:numFmt w:val="lowerRoman"/>
      <w:lvlText w:val="%6."/>
      <w:lvlJc w:val="right"/>
      <w:pPr>
        <w:ind w:left="4320" w:hanging="180"/>
      </w:pPr>
    </w:lvl>
    <w:lvl w:ilvl="6" w:tplc="A4E8FAFC" w:tentative="1">
      <w:start w:val="1"/>
      <w:numFmt w:val="decimal"/>
      <w:lvlText w:val="%7."/>
      <w:lvlJc w:val="left"/>
      <w:pPr>
        <w:ind w:left="5040" w:hanging="360"/>
      </w:pPr>
    </w:lvl>
    <w:lvl w:ilvl="7" w:tplc="39F4D774" w:tentative="1">
      <w:start w:val="1"/>
      <w:numFmt w:val="lowerLetter"/>
      <w:lvlText w:val="%8."/>
      <w:lvlJc w:val="left"/>
      <w:pPr>
        <w:ind w:left="5760" w:hanging="360"/>
      </w:pPr>
    </w:lvl>
    <w:lvl w:ilvl="8" w:tplc="242E4AAE" w:tentative="1">
      <w:start w:val="1"/>
      <w:numFmt w:val="lowerRoman"/>
      <w:lvlText w:val="%9."/>
      <w:lvlJc w:val="right"/>
      <w:pPr>
        <w:ind w:left="6480" w:hanging="180"/>
      </w:pPr>
    </w:lvl>
  </w:abstractNum>
  <w:abstractNum w:abstractNumId="8" w15:restartNumberingAfterBreak="0">
    <w:nsid w:val="2B644945"/>
    <w:multiLevelType w:val="multilevel"/>
    <w:tmpl w:val="F6A83B3C"/>
    <w:lvl w:ilvl="0">
      <w:start w:val="6"/>
      <w:numFmt w:val="decimal"/>
      <w:lvlText w:val="%1."/>
      <w:lvlJc w:val="left"/>
      <w:pPr>
        <w:tabs>
          <w:tab w:val="num" w:pos="1800"/>
        </w:tabs>
        <w:ind w:left="1800" w:hanging="360"/>
      </w:pPr>
      <w:rPr>
        <w:rFonts w:hint="default"/>
      </w:rPr>
    </w:lvl>
    <w:lvl w:ilvl="1">
      <w:start w:val="1"/>
      <w:numFmt w:val="decimal"/>
      <w:lvlText w:val="[%2]"/>
      <w:lvlJc w:val="left"/>
      <w:pPr>
        <w:tabs>
          <w:tab w:val="num" w:pos="5747"/>
        </w:tabs>
        <w:ind w:left="5387" w:firstLine="0"/>
      </w:pPr>
      <w:rPr>
        <w:rFonts w:hint="default"/>
        <w:b w:val="0"/>
        <w:i w:val="0"/>
        <w:sz w:val="24"/>
      </w:rPr>
    </w:lvl>
    <w:lvl w:ilvl="2">
      <w:start w:val="1"/>
      <w:numFmt w:val="none"/>
      <w:lvlRestart w:val="0"/>
      <w:suff w:val="nothing"/>
      <w:lvlText w:val="%3"/>
      <w:lvlJc w:val="left"/>
      <w:pPr>
        <w:ind w:left="1440" w:firstLine="0"/>
      </w:pPr>
      <w:rPr>
        <w:rFonts w:hint="default"/>
      </w:rPr>
    </w:lvl>
    <w:lvl w:ilvl="3">
      <w:start w:val="1"/>
      <w:numFmt w:val="decimal"/>
      <w:lvlRestart w:val="0"/>
      <w:suff w:val="nothing"/>
      <w:lvlText w:val="%4."/>
      <w:lvlJc w:val="left"/>
      <w:pPr>
        <w:ind w:left="1440" w:firstLine="0"/>
      </w:pPr>
      <w:rPr>
        <w:rFonts w:hint="default"/>
      </w:rPr>
    </w:lvl>
    <w:lvl w:ilvl="4">
      <w:start w:val="1"/>
      <w:numFmt w:val="lowerLetter"/>
      <w:lvlRestart w:val="0"/>
      <w:suff w:val="nothing"/>
      <w:lvlText w:val="(%5)"/>
      <w:lvlJc w:val="left"/>
      <w:pPr>
        <w:ind w:left="1440" w:firstLine="0"/>
      </w:pPr>
      <w:rPr>
        <w:rFonts w:hint="default"/>
      </w:rPr>
    </w:lvl>
    <w:lvl w:ilvl="5">
      <w:start w:val="1"/>
      <w:numFmt w:val="lowerRoman"/>
      <w:lvlRestart w:val="0"/>
      <w:suff w:val="nothing"/>
      <w:lvlText w:val="(%6)"/>
      <w:lvlJc w:val="left"/>
      <w:pPr>
        <w:ind w:left="1440" w:firstLine="720"/>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9" w15:restartNumberingAfterBreak="0">
    <w:nsid w:val="2CE575F3"/>
    <w:multiLevelType w:val="hybridMultilevel"/>
    <w:tmpl w:val="2586D166"/>
    <w:lvl w:ilvl="0" w:tplc="D7B0385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32407666"/>
    <w:multiLevelType w:val="hybridMultilevel"/>
    <w:tmpl w:val="FA7067CC"/>
    <w:lvl w:ilvl="0" w:tplc="11647CDE">
      <w:start w:val="1"/>
      <w:numFmt w:val="lowerLetter"/>
      <w:lvlText w:val="%1."/>
      <w:lvlJc w:val="left"/>
      <w:pPr>
        <w:ind w:left="720" w:hanging="360"/>
      </w:pPr>
      <w:rPr>
        <w:rFonts w:hint="default"/>
        <w:b/>
      </w:rPr>
    </w:lvl>
    <w:lvl w:ilvl="1" w:tplc="D988B9B6" w:tentative="1">
      <w:start w:val="1"/>
      <w:numFmt w:val="lowerLetter"/>
      <w:lvlText w:val="%2."/>
      <w:lvlJc w:val="left"/>
      <w:pPr>
        <w:ind w:left="1440" w:hanging="360"/>
      </w:pPr>
    </w:lvl>
    <w:lvl w:ilvl="2" w:tplc="10C0D988" w:tentative="1">
      <w:start w:val="1"/>
      <w:numFmt w:val="lowerRoman"/>
      <w:lvlText w:val="%3."/>
      <w:lvlJc w:val="right"/>
      <w:pPr>
        <w:ind w:left="2160" w:hanging="180"/>
      </w:pPr>
    </w:lvl>
    <w:lvl w:ilvl="3" w:tplc="D2DE2224" w:tentative="1">
      <w:start w:val="1"/>
      <w:numFmt w:val="decimal"/>
      <w:lvlText w:val="%4."/>
      <w:lvlJc w:val="left"/>
      <w:pPr>
        <w:ind w:left="2880" w:hanging="360"/>
      </w:pPr>
    </w:lvl>
    <w:lvl w:ilvl="4" w:tplc="30602E0C" w:tentative="1">
      <w:start w:val="1"/>
      <w:numFmt w:val="lowerLetter"/>
      <w:lvlText w:val="%5."/>
      <w:lvlJc w:val="left"/>
      <w:pPr>
        <w:ind w:left="3600" w:hanging="360"/>
      </w:pPr>
    </w:lvl>
    <w:lvl w:ilvl="5" w:tplc="CE80C252" w:tentative="1">
      <w:start w:val="1"/>
      <w:numFmt w:val="lowerRoman"/>
      <w:lvlText w:val="%6."/>
      <w:lvlJc w:val="right"/>
      <w:pPr>
        <w:ind w:left="4320" w:hanging="180"/>
      </w:pPr>
    </w:lvl>
    <w:lvl w:ilvl="6" w:tplc="789EC9DA" w:tentative="1">
      <w:start w:val="1"/>
      <w:numFmt w:val="decimal"/>
      <w:lvlText w:val="%7."/>
      <w:lvlJc w:val="left"/>
      <w:pPr>
        <w:ind w:left="5040" w:hanging="360"/>
      </w:pPr>
    </w:lvl>
    <w:lvl w:ilvl="7" w:tplc="4E42D148" w:tentative="1">
      <w:start w:val="1"/>
      <w:numFmt w:val="lowerLetter"/>
      <w:lvlText w:val="%8."/>
      <w:lvlJc w:val="left"/>
      <w:pPr>
        <w:ind w:left="5760" w:hanging="360"/>
      </w:pPr>
    </w:lvl>
    <w:lvl w:ilvl="8" w:tplc="4BBCC060" w:tentative="1">
      <w:start w:val="1"/>
      <w:numFmt w:val="lowerRoman"/>
      <w:lvlText w:val="%9."/>
      <w:lvlJc w:val="right"/>
      <w:pPr>
        <w:ind w:left="6480" w:hanging="180"/>
      </w:pPr>
    </w:lvl>
  </w:abstractNum>
  <w:abstractNum w:abstractNumId="11" w15:restartNumberingAfterBreak="0">
    <w:nsid w:val="3FA0309C"/>
    <w:multiLevelType w:val="hybridMultilevel"/>
    <w:tmpl w:val="74D8F6E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91C7714"/>
    <w:multiLevelType w:val="hybridMultilevel"/>
    <w:tmpl w:val="B25C0906"/>
    <w:lvl w:ilvl="0" w:tplc="6F4C48B8">
      <w:start w:val="1"/>
      <w:numFmt w:val="decimal"/>
      <w:lvlText w:val="%1."/>
      <w:lvlJc w:val="left"/>
      <w:pPr>
        <w:ind w:left="360" w:hanging="360"/>
      </w:pPr>
    </w:lvl>
    <w:lvl w:ilvl="1" w:tplc="520E3674">
      <w:start w:val="1"/>
      <w:numFmt w:val="lowerLetter"/>
      <w:lvlText w:val="%2."/>
      <w:lvlJc w:val="left"/>
      <w:pPr>
        <w:ind w:left="1080" w:hanging="360"/>
      </w:pPr>
    </w:lvl>
    <w:lvl w:ilvl="2" w:tplc="595A5418" w:tentative="1">
      <w:start w:val="1"/>
      <w:numFmt w:val="lowerRoman"/>
      <w:lvlText w:val="%3."/>
      <w:lvlJc w:val="right"/>
      <w:pPr>
        <w:ind w:left="1800" w:hanging="180"/>
      </w:pPr>
    </w:lvl>
    <w:lvl w:ilvl="3" w:tplc="849251FA" w:tentative="1">
      <w:start w:val="1"/>
      <w:numFmt w:val="decimal"/>
      <w:lvlText w:val="%4."/>
      <w:lvlJc w:val="left"/>
      <w:pPr>
        <w:ind w:left="2520" w:hanging="360"/>
      </w:pPr>
    </w:lvl>
    <w:lvl w:ilvl="4" w:tplc="671CFBB0" w:tentative="1">
      <w:start w:val="1"/>
      <w:numFmt w:val="lowerLetter"/>
      <w:lvlText w:val="%5."/>
      <w:lvlJc w:val="left"/>
      <w:pPr>
        <w:ind w:left="3240" w:hanging="360"/>
      </w:pPr>
    </w:lvl>
    <w:lvl w:ilvl="5" w:tplc="4AE6DE80" w:tentative="1">
      <w:start w:val="1"/>
      <w:numFmt w:val="lowerRoman"/>
      <w:lvlText w:val="%6."/>
      <w:lvlJc w:val="right"/>
      <w:pPr>
        <w:ind w:left="3960" w:hanging="180"/>
      </w:pPr>
    </w:lvl>
    <w:lvl w:ilvl="6" w:tplc="6B5653CA" w:tentative="1">
      <w:start w:val="1"/>
      <w:numFmt w:val="decimal"/>
      <w:lvlText w:val="%7."/>
      <w:lvlJc w:val="left"/>
      <w:pPr>
        <w:ind w:left="4680" w:hanging="360"/>
      </w:pPr>
    </w:lvl>
    <w:lvl w:ilvl="7" w:tplc="C1BA89BA" w:tentative="1">
      <w:start w:val="1"/>
      <w:numFmt w:val="lowerLetter"/>
      <w:lvlText w:val="%8."/>
      <w:lvlJc w:val="left"/>
      <w:pPr>
        <w:ind w:left="5400" w:hanging="360"/>
      </w:pPr>
    </w:lvl>
    <w:lvl w:ilvl="8" w:tplc="293EA542" w:tentative="1">
      <w:start w:val="1"/>
      <w:numFmt w:val="lowerRoman"/>
      <w:lvlText w:val="%9."/>
      <w:lvlJc w:val="right"/>
      <w:pPr>
        <w:ind w:left="6120" w:hanging="180"/>
      </w:pPr>
    </w:lvl>
  </w:abstractNum>
  <w:abstractNum w:abstractNumId="13" w15:restartNumberingAfterBreak="0">
    <w:nsid w:val="4C117462"/>
    <w:multiLevelType w:val="hybridMultilevel"/>
    <w:tmpl w:val="9E1C16AC"/>
    <w:lvl w:ilvl="0" w:tplc="048245E0">
      <w:start w:val="1"/>
      <w:numFmt w:val="lowerLetter"/>
      <w:lvlText w:val="%1)"/>
      <w:lvlJc w:val="left"/>
      <w:pPr>
        <w:ind w:left="1080" w:hanging="360"/>
      </w:pPr>
      <w:rPr>
        <w:rFonts w:hint="default"/>
      </w:rPr>
    </w:lvl>
    <w:lvl w:ilvl="1" w:tplc="2B6C178C" w:tentative="1">
      <w:start w:val="1"/>
      <w:numFmt w:val="lowerLetter"/>
      <w:lvlText w:val="%2."/>
      <w:lvlJc w:val="left"/>
      <w:pPr>
        <w:ind w:left="1800" w:hanging="360"/>
      </w:pPr>
    </w:lvl>
    <w:lvl w:ilvl="2" w:tplc="D8EC5B2A" w:tentative="1">
      <w:start w:val="1"/>
      <w:numFmt w:val="lowerRoman"/>
      <w:lvlText w:val="%3."/>
      <w:lvlJc w:val="right"/>
      <w:pPr>
        <w:ind w:left="2520" w:hanging="180"/>
      </w:pPr>
    </w:lvl>
    <w:lvl w:ilvl="3" w:tplc="BA6E9380" w:tentative="1">
      <w:start w:val="1"/>
      <w:numFmt w:val="decimal"/>
      <w:lvlText w:val="%4."/>
      <w:lvlJc w:val="left"/>
      <w:pPr>
        <w:ind w:left="3240" w:hanging="360"/>
      </w:pPr>
    </w:lvl>
    <w:lvl w:ilvl="4" w:tplc="327AF560" w:tentative="1">
      <w:start w:val="1"/>
      <w:numFmt w:val="lowerLetter"/>
      <w:lvlText w:val="%5."/>
      <w:lvlJc w:val="left"/>
      <w:pPr>
        <w:ind w:left="3960" w:hanging="360"/>
      </w:pPr>
    </w:lvl>
    <w:lvl w:ilvl="5" w:tplc="1E5648B8" w:tentative="1">
      <w:start w:val="1"/>
      <w:numFmt w:val="lowerRoman"/>
      <w:lvlText w:val="%6."/>
      <w:lvlJc w:val="right"/>
      <w:pPr>
        <w:ind w:left="4680" w:hanging="180"/>
      </w:pPr>
    </w:lvl>
    <w:lvl w:ilvl="6" w:tplc="22CC6A94" w:tentative="1">
      <w:start w:val="1"/>
      <w:numFmt w:val="decimal"/>
      <w:lvlText w:val="%7."/>
      <w:lvlJc w:val="left"/>
      <w:pPr>
        <w:ind w:left="5400" w:hanging="360"/>
      </w:pPr>
    </w:lvl>
    <w:lvl w:ilvl="7" w:tplc="352C4392" w:tentative="1">
      <w:start w:val="1"/>
      <w:numFmt w:val="lowerLetter"/>
      <w:lvlText w:val="%8."/>
      <w:lvlJc w:val="left"/>
      <w:pPr>
        <w:ind w:left="6120" w:hanging="360"/>
      </w:pPr>
    </w:lvl>
    <w:lvl w:ilvl="8" w:tplc="CC64D524" w:tentative="1">
      <w:start w:val="1"/>
      <w:numFmt w:val="lowerRoman"/>
      <w:lvlText w:val="%9."/>
      <w:lvlJc w:val="right"/>
      <w:pPr>
        <w:ind w:left="6840" w:hanging="180"/>
      </w:pPr>
    </w:lvl>
  </w:abstractNum>
  <w:abstractNum w:abstractNumId="14" w15:restartNumberingAfterBreak="0">
    <w:nsid w:val="52293AF6"/>
    <w:multiLevelType w:val="hybridMultilevel"/>
    <w:tmpl w:val="3A80D12C"/>
    <w:lvl w:ilvl="0" w:tplc="0374E6AA">
      <w:start w:val="1"/>
      <w:numFmt w:val="lowerLetter"/>
      <w:lvlText w:val="%1."/>
      <w:lvlJc w:val="left"/>
      <w:pPr>
        <w:ind w:left="1080" w:hanging="360"/>
      </w:pPr>
      <w:rPr>
        <w:rFonts w:hint="default"/>
      </w:rPr>
    </w:lvl>
    <w:lvl w:ilvl="1" w:tplc="A28082BA" w:tentative="1">
      <w:start w:val="1"/>
      <w:numFmt w:val="lowerLetter"/>
      <w:lvlText w:val="%2."/>
      <w:lvlJc w:val="left"/>
      <w:pPr>
        <w:ind w:left="1800" w:hanging="360"/>
      </w:pPr>
    </w:lvl>
    <w:lvl w:ilvl="2" w:tplc="B164B7D8" w:tentative="1">
      <w:start w:val="1"/>
      <w:numFmt w:val="lowerRoman"/>
      <w:lvlText w:val="%3."/>
      <w:lvlJc w:val="right"/>
      <w:pPr>
        <w:ind w:left="2520" w:hanging="180"/>
      </w:pPr>
    </w:lvl>
    <w:lvl w:ilvl="3" w:tplc="6D1C4234" w:tentative="1">
      <w:start w:val="1"/>
      <w:numFmt w:val="decimal"/>
      <w:lvlText w:val="%4."/>
      <w:lvlJc w:val="left"/>
      <w:pPr>
        <w:ind w:left="3240" w:hanging="360"/>
      </w:pPr>
    </w:lvl>
    <w:lvl w:ilvl="4" w:tplc="55EA8D66" w:tentative="1">
      <w:start w:val="1"/>
      <w:numFmt w:val="lowerLetter"/>
      <w:lvlText w:val="%5."/>
      <w:lvlJc w:val="left"/>
      <w:pPr>
        <w:ind w:left="3960" w:hanging="360"/>
      </w:pPr>
    </w:lvl>
    <w:lvl w:ilvl="5" w:tplc="1DDC073E" w:tentative="1">
      <w:start w:val="1"/>
      <w:numFmt w:val="lowerRoman"/>
      <w:lvlText w:val="%6."/>
      <w:lvlJc w:val="right"/>
      <w:pPr>
        <w:ind w:left="4680" w:hanging="180"/>
      </w:pPr>
    </w:lvl>
    <w:lvl w:ilvl="6" w:tplc="3F808EA2" w:tentative="1">
      <w:start w:val="1"/>
      <w:numFmt w:val="decimal"/>
      <w:lvlText w:val="%7."/>
      <w:lvlJc w:val="left"/>
      <w:pPr>
        <w:ind w:left="5400" w:hanging="360"/>
      </w:pPr>
    </w:lvl>
    <w:lvl w:ilvl="7" w:tplc="620CDC72" w:tentative="1">
      <w:start w:val="1"/>
      <w:numFmt w:val="lowerLetter"/>
      <w:lvlText w:val="%8."/>
      <w:lvlJc w:val="left"/>
      <w:pPr>
        <w:ind w:left="6120" w:hanging="360"/>
      </w:pPr>
    </w:lvl>
    <w:lvl w:ilvl="8" w:tplc="B01831CA" w:tentative="1">
      <w:start w:val="1"/>
      <w:numFmt w:val="lowerRoman"/>
      <w:lvlText w:val="%9."/>
      <w:lvlJc w:val="right"/>
      <w:pPr>
        <w:ind w:left="6840" w:hanging="180"/>
      </w:pPr>
    </w:lvl>
  </w:abstractNum>
  <w:abstractNum w:abstractNumId="15" w15:restartNumberingAfterBreak="0">
    <w:nsid w:val="557A79EA"/>
    <w:multiLevelType w:val="hybridMultilevel"/>
    <w:tmpl w:val="91A04BDC"/>
    <w:lvl w:ilvl="0" w:tplc="B0180B92">
      <w:start w:val="1"/>
      <w:numFmt w:val="upperLetter"/>
      <w:lvlText w:val="%1)"/>
      <w:lvlJc w:val="left"/>
      <w:pPr>
        <w:ind w:left="720" w:hanging="360"/>
      </w:pPr>
      <w:rPr>
        <w:rFonts w:hint="default"/>
        <w:b/>
      </w:rPr>
    </w:lvl>
    <w:lvl w:ilvl="1" w:tplc="1C5A1BCC" w:tentative="1">
      <w:start w:val="1"/>
      <w:numFmt w:val="lowerLetter"/>
      <w:lvlText w:val="%2."/>
      <w:lvlJc w:val="left"/>
      <w:pPr>
        <w:ind w:left="1440" w:hanging="360"/>
      </w:pPr>
    </w:lvl>
    <w:lvl w:ilvl="2" w:tplc="A680FB48" w:tentative="1">
      <w:start w:val="1"/>
      <w:numFmt w:val="lowerRoman"/>
      <w:lvlText w:val="%3."/>
      <w:lvlJc w:val="right"/>
      <w:pPr>
        <w:ind w:left="2160" w:hanging="180"/>
      </w:pPr>
    </w:lvl>
    <w:lvl w:ilvl="3" w:tplc="821CE0C2" w:tentative="1">
      <w:start w:val="1"/>
      <w:numFmt w:val="decimal"/>
      <w:lvlText w:val="%4."/>
      <w:lvlJc w:val="left"/>
      <w:pPr>
        <w:ind w:left="2880" w:hanging="360"/>
      </w:pPr>
    </w:lvl>
    <w:lvl w:ilvl="4" w:tplc="2758CAA6" w:tentative="1">
      <w:start w:val="1"/>
      <w:numFmt w:val="lowerLetter"/>
      <w:lvlText w:val="%5."/>
      <w:lvlJc w:val="left"/>
      <w:pPr>
        <w:ind w:left="3600" w:hanging="360"/>
      </w:pPr>
    </w:lvl>
    <w:lvl w:ilvl="5" w:tplc="E71CC92E" w:tentative="1">
      <w:start w:val="1"/>
      <w:numFmt w:val="lowerRoman"/>
      <w:lvlText w:val="%6."/>
      <w:lvlJc w:val="right"/>
      <w:pPr>
        <w:ind w:left="4320" w:hanging="180"/>
      </w:pPr>
    </w:lvl>
    <w:lvl w:ilvl="6" w:tplc="7E5020C0" w:tentative="1">
      <w:start w:val="1"/>
      <w:numFmt w:val="decimal"/>
      <w:lvlText w:val="%7."/>
      <w:lvlJc w:val="left"/>
      <w:pPr>
        <w:ind w:left="5040" w:hanging="360"/>
      </w:pPr>
    </w:lvl>
    <w:lvl w:ilvl="7" w:tplc="B56456C6" w:tentative="1">
      <w:start w:val="1"/>
      <w:numFmt w:val="lowerLetter"/>
      <w:lvlText w:val="%8."/>
      <w:lvlJc w:val="left"/>
      <w:pPr>
        <w:ind w:left="5760" w:hanging="360"/>
      </w:pPr>
    </w:lvl>
    <w:lvl w:ilvl="8" w:tplc="745E9D10" w:tentative="1">
      <w:start w:val="1"/>
      <w:numFmt w:val="lowerRoman"/>
      <w:lvlText w:val="%9."/>
      <w:lvlJc w:val="right"/>
      <w:pPr>
        <w:ind w:left="6480" w:hanging="180"/>
      </w:pPr>
    </w:lvl>
  </w:abstractNum>
  <w:abstractNum w:abstractNumId="16" w15:restartNumberingAfterBreak="0">
    <w:nsid w:val="5AA37A24"/>
    <w:multiLevelType w:val="hybridMultilevel"/>
    <w:tmpl w:val="DB9CB248"/>
    <w:lvl w:ilvl="0" w:tplc="C9B01C2E">
      <w:start w:val="1"/>
      <w:numFmt w:val="lowerLetter"/>
      <w:lvlText w:val="%1."/>
      <w:lvlJc w:val="left"/>
      <w:pPr>
        <w:ind w:left="720" w:hanging="360"/>
      </w:pPr>
      <w:rPr>
        <w:rFonts w:hint="default"/>
        <w:b/>
      </w:rPr>
    </w:lvl>
    <w:lvl w:ilvl="1" w:tplc="792C2514" w:tentative="1">
      <w:start w:val="1"/>
      <w:numFmt w:val="lowerLetter"/>
      <w:lvlText w:val="%2."/>
      <w:lvlJc w:val="left"/>
      <w:pPr>
        <w:ind w:left="1440" w:hanging="360"/>
      </w:pPr>
    </w:lvl>
    <w:lvl w:ilvl="2" w:tplc="E140F422" w:tentative="1">
      <w:start w:val="1"/>
      <w:numFmt w:val="lowerRoman"/>
      <w:lvlText w:val="%3."/>
      <w:lvlJc w:val="right"/>
      <w:pPr>
        <w:ind w:left="2160" w:hanging="180"/>
      </w:pPr>
    </w:lvl>
    <w:lvl w:ilvl="3" w:tplc="54C439E8" w:tentative="1">
      <w:start w:val="1"/>
      <w:numFmt w:val="decimal"/>
      <w:lvlText w:val="%4."/>
      <w:lvlJc w:val="left"/>
      <w:pPr>
        <w:ind w:left="2880" w:hanging="360"/>
      </w:pPr>
    </w:lvl>
    <w:lvl w:ilvl="4" w:tplc="D242C3F4" w:tentative="1">
      <w:start w:val="1"/>
      <w:numFmt w:val="lowerLetter"/>
      <w:lvlText w:val="%5."/>
      <w:lvlJc w:val="left"/>
      <w:pPr>
        <w:ind w:left="3600" w:hanging="360"/>
      </w:pPr>
    </w:lvl>
    <w:lvl w:ilvl="5" w:tplc="FCB44682" w:tentative="1">
      <w:start w:val="1"/>
      <w:numFmt w:val="lowerRoman"/>
      <w:lvlText w:val="%6."/>
      <w:lvlJc w:val="right"/>
      <w:pPr>
        <w:ind w:left="4320" w:hanging="180"/>
      </w:pPr>
    </w:lvl>
    <w:lvl w:ilvl="6" w:tplc="3D0ECB52" w:tentative="1">
      <w:start w:val="1"/>
      <w:numFmt w:val="decimal"/>
      <w:lvlText w:val="%7."/>
      <w:lvlJc w:val="left"/>
      <w:pPr>
        <w:ind w:left="5040" w:hanging="360"/>
      </w:pPr>
    </w:lvl>
    <w:lvl w:ilvl="7" w:tplc="A4F4D774" w:tentative="1">
      <w:start w:val="1"/>
      <w:numFmt w:val="lowerLetter"/>
      <w:lvlText w:val="%8."/>
      <w:lvlJc w:val="left"/>
      <w:pPr>
        <w:ind w:left="5760" w:hanging="360"/>
      </w:pPr>
    </w:lvl>
    <w:lvl w:ilvl="8" w:tplc="0BD0A82C" w:tentative="1">
      <w:start w:val="1"/>
      <w:numFmt w:val="lowerRoman"/>
      <w:lvlText w:val="%9."/>
      <w:lvlJc w:val="right"/>
      <w:pPr>
        <w:ind w:left="6480" w:hanging="180"/>
      </w:pPr>
    </w:lvl>
  </w:abstractNum>
  <w:abstractNum w:abstractNumId="17" w15:restartNumberingAfterBreak="0">
    <w:nsid w:val="650D78A0"/>
    <w:multiLevelType w:val="hybridMultilevel"/>
    <w:tmpl w:val="00726378"/>
    <w:lvl w:ilvl="0" w:tplc="8AC2AE1A">
      <w:start w:val="1"/>
      <w:numFmt w:val="lowerLetter"/>
      <w:lvlText w:val="%1."/>
      <w:lvlJc w:val="left"/>
      <w:pPr>
        <w:ind w:left="720" w:hanging="360"/>
      </w:pPr>
      <w:rPr>
        <w:rFonts w:hint="default"/>
        <w:b w:val="0"/>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1977688"/>
    <w:multiLevelType w:val="hybridMultilevel"/>
    <w:tmpl w:val="85EA0716"/>
    <w:lvl w:ilvl="0" w:tplc="CCB2781C">
      <w:start w:val="1"/>
      <w:numFmt w:val="lowerLetter"/>
      <w:lvlText w:val="%1."/>
      <w:lvlJc w:val="left"/>
      <w:pPr>
        <w:ind w:left="1080" w:hanging="360"/>
      </w:pPr>
      <w:rPr>
        <w:rFonts w:hint="default"/>
      </w:rPr>
    </w:lvl>
    <w:lvl w:ilvl="1" w:tplc="6A7EC526" w:tentative="1">
      <w:start w:val="1"/>
      <w:numFmt w:val="lowerLetter"/>
      <w:lvlText w:val="%2."/>
      <w:lvlJc w:val="left"/>
      <w:pPr>
        <w:ind w:left="1800" w:hanging="360"/>
      </w:pPr>
    </w:lvl>
    <w:lvl w:ilvl="2" w:tplc="CFBE5E80" w:tentative="1">
      <w:start w:val="1"/>
      <w:numFmt w:val="lowerRoman"/>
      <w:lvlText w:val="%3."/>
      <w:lvlJc w:val="right"/>
      <w:pPr>
        <w:ind w:left="2520" w:hanging="180"/>
      </w:pPr>
    </w:lvl>
    <w:lvl w:ilvl="3" w:tplc="EAA446F4" w:tentative="1">
      <w:start w:val="1"/>
      <w:numFmt w:val="decimal"/>
      <w:lvlText w:val="%4."/>
      <w:lvlJc w:val="left"/>
      <w:pPr>
        <w:ind w:left="3240" w:hanging="360"/>
      </w:pPr>
    </w:lvl>
    <w:lvl w:ilvl="4" w:tplc="7272DB7C" w:tentative="1">
      <w:start w:val="1"/>
      <w:numFmt w:val="lowerLetter"/>
      <w:lvlText w:val="%5."/>
      <w:lvlJc w:val="left"/>
      <w:pPr>
        <w:ind w:left="3960" w:hanging="360"/>
      </w:pPr>
    </w:lvl>
    <w:lvl w:ilvl="5" w:tplc="AE5A492E" w:tentative="1">
      <w:start w:val="1"/>
      <w:numFmt w:val="lowerRoman"/>
      <w:lvlText w:val="%6."/>
      <w:lvlJc w:val="right"/>
      <w:pPr>
        <w:ind w:left="4680" w:hanging="180"/>
      </w:pPr>
    </w:lvl>
    <w:lvl w:ilvl="6" w:tplc="D30291EC" w:tentative="1">
      <w:start w:val="1"/>
      <w:numFmt w:val="decimal"/>
      <w:lvlText w:val="%7."/>
      <w:lvlJc w:val="left"/>
      <w:pPr>
        <w:ind w:left="5400" w:hanging="360"/>
      </w:pPr>
    </w:lvl>
    <w:lvl w:ilvl="7" w:tplc="89A046D6" w:tentative="1">
      <w:start w:val="1"/>
      <w:numFmt w:val="lowerLetter"/>
      <w:lvlText w:val="%8."/>
      <w:lvlJc w:val="left"/>
      <w:pPr>
        <w:ind w:left="6120" w:hanging="360"/>
      </w:pPr>
    </w:lvl>
    <w:lvl w:ilvl="8" w:tplc="E050D900" w:tentative="1">
      <w:start w:val="1"/>
      <w:numFmt w:val="lowerRoman"/>
      <w:lvlText w:val="%9."/>
      <w:lvlJc w:val="right"/>
      <w:pPr>
        <w:ind w:left="6840" w:hanging="180"/>
      </w:pPr>
    </w:lvl>
  </w:abstractNum>
  <w:abstractNum w:abstractNumId="19" w15:restartNumberingAfterBreak="0">
    <w:nsid w:val="74122A65"/>
    <w:multiLevelType w:val="hybridMultilevel"/>
    <w:tmpl w:val="E94CAB36"/>
    <w:lvl w:ilvl="0" w:tplc="6D549294">
      <w:start w:val="1"/>
      <w:numFmt w:val="lowerLetter"/>
      <w:lvlText w:val="%1."/>
      <w:lvlJc w:val="left"/>
      <w:pPr>
        <w:ind w:left="1080" w:hanging="360"/>
      </w:pPr>
      <w:rPr>
        <w:rFonts w:hint="default"/>
      </w:rPr>
    </w:lvl>
    <w:lvl w:ilvl="1" w:tplc="E43EBBF2" w:tentative="1">
      <w:start w:val="1"/>
      <w:numFmt w:val="lowerLetter"/>
      <w:lvlText w:val="%2."/>
      <w:lvlJc w:val="left"/>
      <w:pPr>
        <w:ind w:left="1800" w:hanging="360"/>
      </w:pPr>
    </w:lvl>
    <w:lvl w:ilvl="2" w:tplc="BFE44044" w:tentative="1">
      <w:start w:val="1"/>
      <w:numFmt w:val="lowerRoman"/>
      <w:lvlText w:val="%3."/>
      <w:lvlJc w:val="right"/>
      <w:pPr>
        <w:ind w:left="2520" w:hanging="180"/>
      </w:pPr>
    </w:lvl>
    <w:lvl w:ilvl="3" w:tplc="CD00F526" w:tentative="1">
      <w:start w:val="1"/>
      <w:numFmt w:val="decimal"/>
      <w:lvlText w:val="%4."/>
      <w:lvlJc w:val="left"/>
      <w:pPr>
        <w:ind w:left="3240" w:hanging="360"/>
      </w:pPr>
    </w:lvl>
    <w:lvl w:ilvl="4" w:tplc="40D213B0" w:tentative="1">
      <w:start w:val="1"/>
      <w:numFmt w:val="lowerLetter"/>
      <w:lvlText w:val="%5."/>
      <w:lvlJc w:val="left"/>
      <w:pPr>
        <w:ind w:left="3960" w:hanging="360"/>
      </w:pPr>
    </w:lvl>
    <w:lvl w:ilvl="5" w:tplc="9BA20740" w:tentative="1">
      <w:start w:val="1"/>
      <w:numFmt w:val="lowerRoman"/>
      <w:lvlText w:val="%6."/>
      <w:lvlJc w:val="right"/>
      <w:pPr>
        <w:ind w:left="4680" w:hanging="180"/>
      </w:pPr>
    </w:lvl>
    <w:lvl w:ilvl="6" w:tplc="8AB2389E" w:tentative="1">
      <w:start w:val="1"/>
      <w:numFmt w:val="decimal"/>
      <w:lvlText w:val="%7."/>
      <w:lvlJc w:val="left"/>
      <w:pPr>
        <w:ind w:left="5400" w:hanging="360"/>
      </w:pPr>
    </w:lvl>
    <w:lvl w:ilvl="7" w:tplc="4F4218D4" w:tentative="1">
      <w:start w:val="1"/>
      <w:numFmt w:val="lowerLetter"/>
      <w:lvlText w:val="%8."/>
      <w:lvlJc w:val="left"/>
      <w:pPr>
        <w:ind w:left="6120" w:hanging="360"/>
      </w:pPr>
    </w:lvl>
    <w:lvl w:ilvl="8" w:tplc="EC0291DE" w:tentative="1">
      <w:start w:val="1"/>
      <w:numFmt w:val="lowerRoman"/>
      <w:lvlText w:val="%9."/>
      <w:lvlJc w:val="right"/>
      <w:pPr>
        <w:ind w:left="6840" w:hanging="180"/>
      </w:pPr>
    </w:lvl>
  </w:abstractNum>
  <w:num w:numId="1">
    <w:abstractNumId w:val="5"/>
  </w:num>
  <w:num w:numId="2">
    <w:abstractNumId w:val="12"/>
  </w:num>
  <w:num w:numId="3">
    <w:abstractNumId w:val="2"/>
  </w:num>
  <w:num w:numId="4">
    <w:abstractNumId w:val="6"/>
  </w:num>
  <w:num w:numId="5">
    <w:abstractNumId w:val="1"/>
  </w:num>
  <w:num w:numId="6">
    <w:abstractNumId w:val="8"/>
  </w:num>
  <w:num w:numId="7">
    <w:abstractNumId w:val="3"/>
  </w:num>
  <w:num w:numId="8">
    <w:abstractNumId w:val="15"/>
  </w:num>
  <w:num w:numId="9">
    <w:abstractNumId w:val="14"/>
  </w:num>
  <w:num w:numId="10">
    <w:abstractNumId w:val="16"/>
  </w:num>
  <w:num w:numId="11">
    <w:abstractNumId w:val="4"/>
  </w:num>
  <w:num w:numId="12">
    <w:abstractNumId w:val="7"/>
  </w:num>
  <w:num w:numId="13">
    <w:abstractNumId w:val="10"/>
  </w:num>
  <w:num w:numId="14">
    <w:abstractNumId w:val="19"/>
  </w:num>
  <w:num w:numId="15">
    <w:abstractNumId w:val="18"/>
  </w:num>
  <w:num w:numId="16">
    <w:abstractNumId w:val="13"/>
  </w:num>
  <w:num w:numId="17">
    <w:abstractNumId w:val="17"/>
  </w:num>
  <w:num w:numId="18">
    <w:abstractNumId w:val="9"/>
  </w:num>
  <w:num w:numId="19">
    <w:abstractNumId w:val="0"/>
  </w:num>
  <w:num w:numId="20">
    <w:abstractNumId w:val="8"/>
  </w:num>
  <w:num w:numId="21">
    <w:abstractNumId w:val="8"/>
  </w:num>
  <w:num w:numId="22">
    <w:abstractNumId w:val="8"/>
  </w:num>
  <w:num w:numId="23">
    <w:abstractNumId w:val="8"/>
  </w:num>
  <w:num w:numId="24">
    <w:abstractNumId w:val="8"/>
  </w:num>
  <w:num w:numId="25">
    <w:abstractNumId w:val="1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D1A"/>
    <w:rsid w:val="00005353"/>
    <w:rsid w:val="00010299"/>
    <w:rsid w:val="00011133"/>
    <w:rsid w:val="00011944"/>
    <w:rsid w:val="000266F8"/>
    <w:rsid w:val="000278A7"/>
    <w:rsid w:val="0004664F"/>
    <w:rsid w:val="000551AF"/>
    <w:rsid w:val="00064E45"/>
    <w:rsid w:val="00073722"/>
    <w:rsid w:val="00094685"/>
    <w:rsid w:val="00094802"/>
    <w:rsid w:val="00095234"/>
    <w:rsid w:val="000A1CA1"/>
    <w:rsid w:val="000A79E2"/>
    <w:rsid w:val="000B01B7"/>
    <w:rsid w:val="000C7AEC"/>
    <w:rsid w:val="000D0207"/>
    <w:rsid w:val="000E07CD"/>
    <w:rsid w:val="000E1119"/>
    <w:rsid w:val="001073B2"/>
    <w:rsid w:val="00115E4E"/>
    <w:rsid w:val="00125890"/>
    <w:rsid w:val="0013012B"/>
    <w:rsid w:val="0013058F"/>
    <w:rsid w:val="00141F5E"/>
    <w:rsid w:val="00150375"/>
    <w:rsid w:val="00151DD1"/>
    <w:rsid w:val="00157C28"/>
    <w:rsid w:val="00161D7D"/>
    <w:rsid w:val="0016556E"/>
    <w:rsid w:val="001714FA"/>
    <w:rsid w:val="00172211"/>
    <w:rsid w:val="001866E1"/>
    <w:rsid w:val="001A0A0A"/>
    <w:rsid w:val="001B3626"/>
    <w:rsid w:val="001B4CB3"/>
    <w:rsid w:val="001C2B9C"/>
    <w:rsid w:val="001C3301"/>
    <w:rsid w:val="001C577F"/>
    <w:rsid w:val="001C6B57"/>
    <w:rsid w:val="001D43E4"/>
    <w:rsid w:val="001E6C93"/>
    <w:rsid w:val="0020151B"/>
    <w:rsid w:val="0020270A"/>
    <w:rsid w:val="002269A7"/>
    <w:rsid w:val="00234DBB"/>
    <w:rsid w:val="00243DE1"/>
    <w:rsid w:val="00245E35"/>
    <w:rsid w:val="002475AE"/>
    <w:rsid w:val="00247B7B"/>
    <w:rsid w:val="00256FED"/>
    <w:rsid w:val="00257C4B"/>
    <w:rsid w:val="002654A2"/>
    <w:rsid w:val="00295BCB"/>
    <w:rsid w:val="002A12CA"/>
    <w:rsid w:val="002A46E8"/>
    <w:rsid w:val="002A65AA"/>
    <w:rsid w:val="002B0AAF"/>
    <w:rsid w:val="002C2C61"/>
    <w:rsid w:val="002C2F26"/>
    <w:rsid w:val="002D5E8D"/>
    <w:rsid w:val="002F18C4"/>
    <w:rsid w:val="002F52BE"/>
    <w:rsid w:val="0030228D"/>
    <w:rsid w:val="003035E1"/>
    <w:rsid w:val="00305D94"/>
    <w:rsid w:val="00316297"/>
    <w:rsid w:val="00316D31"/>
    <w:rsid w:val="003174B2"/>
    <w:rsid w:val="00324591"/>
    <w:rsid w:val="003263EB"/>
    <w:rsid w:val="0033084E"/>
    <w:rsid w:val="0034663F"/>
    <w:rsid w:val="00354A53"/>
    <w:rsid w:val="00363B29"/>
    <w:rsid w:val="00371DD6"/>
    <w:rsid w:val="003B05E5"/>
    <w:rsid w:val="003B399B"/>
    <w:rsid w:val="003D2536"/>
    <w:rsid w:val="003E3F48"/>
    <w:rsid w:val="00400C89"/>
    <w:rsid w:val="00436CB4"/>
    <w:rsid w:val="00436F8E"/>
    <w:rsid w:val="00442192"/>
    <w:rsid w:val="0044230D"/>
    <w:rsid w:val="00442D4A"/>
    <w:rsid w:val="004654BE"/>
    <w:rsid w:val="00484312"/>
    <w:rsid w:val="004909C5"/>
    <w:rsid w:val="00492530"/>
    <w:rsid w:val="00492B4C"/>
    <w:rsid w:val="004931C7"/>
    <w:rsid w:val="004A27BB"/>
    <w:rsid w:val="004A3708"/>
    <w:rsid w:val="004B4D38"/>
    <w:rsid w:val="004C29A3"/>
    <w:rsid w:val="004C334B"/>
    <w:rsid w:val="004D5FC6"/>
    <w:rsid w:val="004F4C41"/>
    <w:rsid w:val="0050332D"/>
    <w:rsid w:val="0050610E"/>
    <w:rsid w:val="00513205"/>
    <w:rsid w:val="00520950"/>
    <w:rsid w:val="0053323F"/>
    <w:rsid w:val="005407B8"/>
    <w:rsid w:val="005512A9"/>
    <w:rsid w:val="00554713"/>
    <w:rsid w:val="005639D0"/>
    <w:rsid w:val="00582A54"/>
    <w:rsid w:val="00587CE1"/>
    <w:rsid w:val="005B4CCB"/>
    <w:rsid w:val="005C2D76"/>
    <w:rsid w:val="005E2EA2"/>
    <w:rsid w:val="005F4E23"/>
    <w:rsid w:val="005F64AC"/>
    <w:rsid w:val="006140B2"/>
    <w:rsid w:val="0061799E"/>
    <w:rsid w:val="006209B7"/>
    <w:rsid w:val="0063441A"/>
    <w:rsid w:val="00636734"/>
    <w:rsid w:val="00642032"/>
    <w:rsid w:val="006472D1"/>
    <w:rsid w:val="006800BE"/>
    <w:rsid w:val="00686C27"/>
    <w:rsid w:val="00686EA4"/>
    <w:rsid w:val="00694FC2"/>
    <w:rsid w:val="0069769C"/>
    <w:rsid w:val="006A11E0"/>
    <w:rsid w:val="006A5C40"/>
    <w:rsid w:val="006B0F29"/>
    <w:rsid w:val="006B7EEA"/>
    <w:rsid w:val="006C1EF3"/>
    <w:rsid w:val="006D40A5"/>
    <w:rsid w:val="006D525D"/>
    <w:rsid w:val="006D60C0"/>
    <w:rsid w:val="006E6C44"/>
    <w:rsid w:val="006F2457"/>
    <w:rsid w:val="006F478D"/>
    <w:rsid w:val="006F6376"/>
    <w:rsid w:val="0070293F"/>
    <w:rsid w:val="00710764"/>
    <w:rsid w:val="00711B8B"/>
    <w:rsid w:val="00717C6C"/>
    <w:rsid w:val="00721E1B"/>
    <w:rsid w:val="00727002"/>
    <w:rsid w:val="00735D63"/>
    <w:rsid w:val="00755EED"/>
    <w:rsid w:val="00757D4D"/>
    <w:rsid w:val="00760506"/>
    <w:rsid w:val="00774A8B"/>
    <w:rsid w:val="007808DF"/>
    <w:rsid w:val="0079555E"/>
    <w:rsid w:val="007B2BCD"/>
    <w:rsid w:val="007B5A3D"/>
    <w:rsid w:val="007B6E1A"/>
    <w:rsid w:val="007C4451"/>
    <w:rsid w:val="007D3C0E"/>
    <w:rsid w:val="007D46F0"/>
    <w:rsid w:val="007F7E4A"/>
    <w:rsid w:val="00812A93"/>
    <w:rsid w:val="00812BFE"/>
    <w:rsid w:val="00827355"/>
    <w:rsid w:val="00830967"/>
    <w:rsid w:val="008309B6"/>
    <w:rsid w:val="008412F5"/>
    <w:rsid w:val="0085391E"/>
    <w:rsid w:val="00854D27"/>
    <w:rsid w:val="00855202"/>
    <w:rsid w:val="00860CC3"/>
    <w:rsid w:val="00866B5B"/>
    <w:rsid w:val="0087291E"/>
    <w:rsid w:val="00876FF0"/>
    <w:rsid w:val="00881B0A"/>
    <w:rsid w:val="00884FA7"/>
    <w:rsid w:val="008B19E7"/>
    <w:rsid w:val="008B57AC"/>
    <w:rsid w:val="008B6F36"/>
    <w:rsid w:val="008C7E9C"/>
    <w:rsid w:val="008D256A"/>
    <w:rsid w:val="008D477A"/>
    <w:rsid w:val="00912C35"/>
    <w:rsid w:val="00915E44"/>
    <w:rsid w:val="00922284"/>
    <w:rsid w:val="00934D33"/>
    <w:rsid w:val="00941A5B"/>
    <w:rsid w:val="00944A3B"/>
    <w:rsid w:val="00966CBE"/>
    <w:rsid w:val="009A7BBB"/>
    <w:rsid w:val="009D5A41"/>
    <w:rsid w:val="009D774A"/>
    <w:rsid w:val="00A11ADF"/>
    <w:rsid w:val="00A1496F"/>
    <w:rsid w:val="00A31330"/>
    <w:rsid w:val="00A41AAA"/>
    <w:rsid w:val="00A54BB2"/>
    <w:rsid w:val="00A57740"/>
    <w:rsid w:val="00A66CB6"/>
    <w:rsid w:val="00A84B27"/>
    <w:rsid w:val="00A903B4"/>
    <w:rsid w:val="00A91164"/>
    <w:rsid w:val="00AD45DE"/>
    <w:rsid w:val="00AD59C8"/>
    <w:rsid w:val="00AD76D5"/>
    <w:rsid w:val="00AF53F1"/>
    <w:rsid w:val="00B01C34"/>
    <w:rsid w:val="00B06941"/>
    <w:rsid w:val="00B06B88"/>
    <w:rsid w:val="00B06ECD"/>
    <w:rsid w:val="00B305CA"/>
    <w:rsid w:val="00B32715"/>
    <w:rsid w:val="00B448DE"/>
    <w:rsid w:val="00B45FC7"/>
    <w:rsid w:val="00B5441B"/>
    <w:rsid w:val="00B545D8"/>
    <w:rsid w:val="00B71A40"/>
    <w:rsid w:val="00B74DA7"/>
    <w:rsid w:val="00B77096"/>
    <w:rsid w:val="00BA1749"/>
    <w:rsid w:val="00BA7EA8"/>
    <w:rsid w:val="00BC14F5"/>
    <w:rsid w:val="00BC45F8"/>
    <w:rsid w:val="00BD30F5"/>
    <w:rsid w:val="00BE1304"/>
    <w:rsid w:val="00C02C63"/>
    <w:rsid w:val="00C03ECF"/>
    <w:rsid w:val="00C0421A"/>
    <w:rsid w:val="00C14246"/>
    <w:rsid w:val="00C20331"/>
    <w:rsid w:val="00C217AD"/>
    <w:rsid w:val="00C23D1A"/>
    <w:rsid w:val="00C2568E"/>
    <w:rsid w:val="00C25F68"/>
    <w:rsid w:val="00C27A0F"/>
    <w:rsid w:val="00C333E8"/>
    <w:rsid w:val="00C33C4B"/>
    <w:rsid w:val="00C4258B"/>
    <w:rsid w:val="00C47FBF"/>
    <w:rsid w:val="00C50477"/>
    <w:rsid w:val="00C5486F"/>
    <w:rsid w:val="00C67247"/>
    <w:rsid w:val="00C674F9"/>
    <w:rsid w:val="00C72526"/>
    <w:rsid w:val="00C86186"/>
    <w:rsid w:val="00C902B6"/>
    <w:rsid w:val="00C926DD"/>
    <w:rsid w:val="00CB0213"/>
    <w:rsid w:val="00CB023D"/>
    <w:rsid w:val="00CC15B2"/>
    <w:rsid w:val="00CE23F4"/>
    <w:rsid w:val="00D05542"/>
    <w:rsid w:val="00D05C50"/>
    <w:rsid w:val="00D103B0"/>
    <w:rsid w:val="00D12C1C"/>
    <w:rsid w:val="00D279D5"/>
    <w:rsid w:val="00D406F1"/>
    <w:rsid w:val="00D43819"/>
    <w:rsid w:val="00D45154"/>
    <w:rsid w:val="00D6328A"/>
    <w:rsid w:val="00D65845"/>
    <w:rsid w:val="00D750B3"/>
    <w:rsid w:val="00D82964"/>
    <w:rsid w:val="00D8307E"/>
    <w:rsid w:val="00D8537E"/>
    <w:rsid w:val="00DB241C"/>
    <w:rsid w:val="00DE0951"/>
    <w:rsid w:val="00E11D16"/>
    <w:rsid w:val="00E1306C"/>
    <w:rsid w:val="00E178A7"/>
    <w:rsid w:val="00E21ADC"/>
    <w:rsid w:val="00E50828"/>
    <w:rsid w:val="00E54ACE"/>
    <w:rsid w:val="00E61559"/>
    <w:rsid w:val="00E641A7"/>
    <w:rsid w:val="00E73E4D"/>
    <w:rsid w:val="00E7401B"/>
    <w:rsid w:val="00EA3451"/>
    <w:rsid w:val="00EB2FA7"/>
    <w:rsid w:val="00EB53B6"/>
    <w:rsid w:val="00EC49D2"/>
    <w:rsid w:val="00EC7B5D"/>
    <w:rsid w:val="00EF4D5A"/>
    <w:rsid w:val="00EF58C0"/>
    <w:rsid w:val="00F20220"/>
    <w:rsid w:val="00F31E22"/>
    <w:rsid w:val="00F40D80"/>
    <w:rsid w:val="00F428DB"/>
    <w:rsid w:val="00F4443B"/>
    <w:rsid w:val="00F457F2"/>
    <w:rsid w:val="00F64FD7"/>
    <w:rsid w:val="00F65389"/>
    <w:rsid w:val="00F65D71"/>
    <w:rsid w:val="00F66757"/>
    <w:rsid w:val="00F911B3"/>
    <w:rsid w:val="00F91DE1"/>
    <w:rsid w:val="00F946FF"/>
    <w:rsid w:val="00F95D43"/>
    <w:rsid w:val="00F961D1"/>
    <w:rsid w:val="00F97717"/>
    <w:rsid w:val="00FA67AA"/>
    <w:rsid w:val="00FB4892"/>
    <w:rsid w:val="00FE5C34"/>
    <w:rsid w:val="00FF22E8"/>
    <w:rsid w:val="00FF6F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C55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748"/>
  </w:style>
  <w:style w:type="paragraph" w:styleId="Heading1">
    <w:name w:val="heading 1"/>
    <w:basedOn w:val="Normal"/>
    <w:next w:val="Normal"/>
    <w:link w:val="Heading1Char"/>
    <w:uiPriority w:val="9"/>
    <w:qFormat/>
    <w:rsid w:val="00EF74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C14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305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221"/>
    <w:pPr>
      <w:ind w:left="720"/>
      <w:contextualSpacing/>
    </w:pPr>
  </w:style>
  <w:style w:type="paragraph" w:styleId="FootnoteText">
    <w:name w:val="footnote text"/>
    <w:basedOn w:val="Normal"/>
    <w:link w:val="FootnoteTextChar"/>
    <w:uiPriority w:val="99"/>
    <w:unhideWhenUsed/>
    <w:rsid w:val="007C19DC"/>
    <w:pPr>
      <w:spacing w:after="0" w:line="240" w:lineRule="auto"/>
    </w:pPr>
    <w:rPr>
      <w:sz w:val="20"/>
      <w:szCs w:val="20"/>
    </w:rPr>
  </w:style>
  <w:style w:type="character" w:customStyle="1" w:styleId="FootnoteTextChar">
    <w:name w:val="Footnote Text Char"/>
    <w:basedOn w:val="DefaultParagraphFont"/>
    <w:link w:val="FootnoteText"/>
    <w:uiPriority w:val="99"/>
    <w:rsid w:val="007C19DC"/>
    <w:rPr>
      <w:sz w:val="20"/>
      <w:szCs w:val="20"/>
    </w:rPr>
  </w:style>
  <w:style w:type="character" w:styleId="FootnoteReference">
    <w:name w:val="footnote reference"/>
    <w:basedOn w:val="DefaultParagraphFont"/>
    <w:uiPriority w:val="99"/>
    <w:semiHidden/>
    <w:unhideWhenUsed/>
    <w:rsid w:val="007C19DC"/>
    <w:rPr>
      <w:vertAlign w:val="superscript"/>
    </w:rPr>
  </w:style>
  <w:style w:type="paragraph" w:styleId="PlainText">
    <w:name w:val="Plain Text"/>
    <w:basedOn w:val="Normal"/>
    <w:link w:val="PlainTextChar"/>
    <w:uiPriority w:val="99"/>
    <w:unhideWhenUsed/>
    <w:rsid w:val="00926762"/>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926762"/>
    <w:rPr>
      <w:rFonts w:ascii="Calibri" w:eastAsia="Times New Roman" w:hAnsi="Calibri" w:cs="Times New Roman"/>
      <w:szCs w:val="21"/>
    </w:rPr>
  </w:style>
  <w:style w:type="paragraph" w:customStyle="1" w:styleId="AParaNumbering">
    <w:name w:val="A. Para Numbering"/>
    <w:basedOn w:val="Normal"/>
    <w:link w:val="AParaNumberingChar"/>
    <w:autoRedefine/>
    <w:qFormat/>
    <w:rsid w:val="004C29A3"/>
    <w:pPr>
      <w:tabs>
        <w:tab w:val="left" w:pos="1134"/>
      </w:tabs>
      <w:spacing w:before="120" w:after="240" w:line="360" w:lineRule="auto"/>
      <w:ind w:left="426"/>
      <w:jc w:val="both"/>
    </w:pPr>
    <w:rPr>
      <w:rFonts w:ascii="Arial" w:eastAsia="Times New Roman" w:hAnsi="Arial" w:cs="Arial"/>
      <w:sz w:val="24"/>
      <w:szCs w:val="24"/>
      <w:lang w:val="en-CA"/>
    </w:rPr>
  </w:style>
  <w:style w:type="character" w:customStyle="1" w:styleId="AParaNumberingChar">
    <w:name w:val="A. Para Numbering Char"/>
    <w:basedOn w:val="DefaultParagraphFont"/>
    <w:link w:val="AParaNumbering"/>
    <w:rsid w:val="004C29A3"/>
    <w:rPr>
      <w:rFonts w:ascii="Arial" w:eastAsia="Times New Roman" w:hAnsi="Arial" w:cs="Arial"/>
      <w:sz w:val="24"/>
      <w:szCs w:val="24"/>
      <w:lang w:val="en-CA"/>
    </w:rPr>
  </w:style>
  <w:style w:type="paragraph" w:styleId="BalloonText">
    <w:name w:val="Balloon Text"/>
    <w:basedOn w:val="Normal"/>
    <w:link w:val="BalloonTextChar"/>
    <w:uiPriority w:val="99"/>
    <w:semiHidden/>
    <w:unhideWhenUsed/>
    <w:rsid w:val="00C635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5A1"/>
    <w:rPr>
      <w:rFonts w:ascii="Segoe UI" w:hAnsi="Segoe UI" w:cs="Segoe UI"/>
      <w:sz w:val="18"/>
      <w:szCs w:val="18"/>
    </w:rPr>
  </w:style>
  <w:style w:type="paragraph" w:styleId="EndnoteText">
    <w:name w:val="endnote text"/>
    <w:basedOn w:val="Normal"/>
    <w:link w:val="EndnoteTextChar"/>
    <w:uiPriority w:val="99"/>
    <w:semiHidden/>
    <w:unhideWhenUsed/>
    <w:rsid w:val="005465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65FF"/>
    <w:rPr>
      <w:sz w:val="20"/>
      <w:szCs w:val="20"/>
    </w:rPr>
  </w:style>
  <w:style w:type="character" w:styleId="EndnoteReference">
    <w:name w:val="endnote reference"/>
    <w:basedOn w:val="DefaultParagraphFont"/>
    <w:uiPriority w:val="99"/>
    <w:semiHidden/>
    <w:unhideWhenUsed/>
    <w:rsid w:val="005465FF"/>
    <w:rPr>
      <w:vertAlign w:val="superscript"/>
    </w:rPr>
  </w:style>
  <w:style w:type="paragraph" w:styleId="Header">
    <w:name w:val="header"/>
    <w:basedOn w:val="Normal"/>
    <w:link w:val="HeaderChar"/>
    <w:uiPriority w:val="99"/>
    <w:unhideWhenUsed/>
    <w:rsid w:val="007116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6AC"/>
  </w:style>
  <w:style w:type="paragraph" w:styleId="Footer">
    <w:name w:val="footer"/>
    <w:basedOn w:val="Normal"/>
    <w:link w:val="FooterChar"/>
    <w:uiPriority w:val="99"/>
    <w:unhideWhenUsed/>
    <w:rsid w:val="00711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6AC"/>
  </w:style>
  <w:style w:type="character" w:customStyle="1" w:styleId="Heading1Char">
    <w:name w:val="Heading 1 Char"/>
    <w:basedOn w:val="DefaultParagraphFont"/>
    <w:link w:val="Heading1"/>
    <w:uiPriority w:val="9"/>
    <w:rsid w:val="00EF74C0"/>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4C1F05"/>
    <w:rPr>
      <w:sz w:val="16"/>
      <w:szCs w:val="16"/>
    </w:rPr>
  </w:style>
  <w:style w:type="paragraph" w:styleId="CommentText">
    <w:name w:val="annotation text"/>
    <w:basedOn w:val="Normal"/>
    <w:link w:val="CommentTextChar"/>
    <w:uiPriority w:val="99"/>
    <w:semiHidden/>
    <w:unhideWhenUsed/>
    <w:rsid w:val="004C1F05"/>
    <w:pPr>
      <w:spacing w:line="240" w:lineRule="auto"/>
    </w:pPr>
    <w:rPr>
      <w:sz w:val="20"/>
      <w:szCs w:val="20"/>
    </w:rPr>
  </w:style>
  <w:style w:type="character" w:customStyle="1" w:styleId="CommentTextChar">
    <w:name w:val="Comment Text Char"/>
    <w:basedOn w:val="DefaultParagraphFont"/>
    <w:link w:val="CommentText"/>
    <w:uiPriority w:val="99"/>
    <w:semiHidden/>
    <w:rsid w:val="004C1F05"/>
    <w:rPr>
      <w:sz w:val="20"/>
      <w:szCs w:val="20"/>
    </w:rPr>
  </w:style>
  <w:style w:type="paragraph" w:styleId="CommentSubject">
    <w:name w:val="annotation subject"/>
    <w:basedOn w:val="CommentText"/>
    <w:next w:val="CommentText"/>
    <w:link w:val="CommentSubjectChar"/>
    <w:uiPriority w:val="99"/>
    <w:semiHidden/>
    <w:unhideWhenUsed/>
    <w:rsid w:val="004C1F05"/>
    <w:rPr>
      <w:b/>
      <w:bCs/>
    </w:rPr>
  </w:style>
  <w:style w:type="character" w:customStyle="1" w:styleId="CommentSubjectChar">
    <w:name w:val="Comment Subject Char"/>
    <w:basedOn w:val="CommentTextChar"/>
    <w:link w:val="CommentSubject"/>
    <w:uiPriority w:val="99"/>
    <w:semiHidden/>
    <w:rsid w:val="004C1F05"/>
    <w:rPr>
      <w:b/>
      <w:bCs/>
      <w:sz w:val="20"/>
      <w:szCs w:val="20"/>
    </w:rPr>
  </w:style>
  <w:style w:type="character" w:customStyle="1" w:styleId="Heading2Char">
    <w:name w:val="Heading 2 Char"/>
    <w:basedOn w:val="DefaultParagraphFont"/>
    <w:link w:val="Heading2"/>
    <w:uiPriority w:val="9"/>
    <w:rsid w:val="00BC14F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3058F"/>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qFormat/>
    <w:rsid w:val="00E21ADC"/>
    <w:rPr>
      <w:i/>
      <w:iCs/>
    </w:rPr>
  </w:style>
  <w:style w:type="paragraph" w:styleId="Title">
    <w:name w:val="Title"/>
    <w:basedOn w:val="Normal"/>
    <w:link w:val="TitleChar"/>
    <w:qFormat/>
    <w:rsid w:val="00E21ADC"/>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E21ADC"/>
    <w:rPr>
      <w:rFonts w:ascii="Times New Roman" w:eastAsia="Times New Roman"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2D039-4641-4F8F-901F-130EAC70E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8006</Words>
  <Characters>45638</Characters>
  <Application>Microsoft Office Word</Application>
  <DocSecurity>4</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2018-10-17T19:23:00Z</dcterms:created>
  <dcterms:modified xsi:type="dcterms:W3CDTF">2018-10-17T19:23:00Z</dcterms:modified>
</cp:coreProperties>
</file>