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A7" w:rsidRPr="00F82829" w:rsidRDefault="004A2B4E">
      <w:pPr>
        <w:pStyle w:val="Body"/>
        <w:spacing w:before="840"/>
        <w:jc w:val="center"/>
        <w:rPr>
          <w:rFonts w:ascii="Arial" w:eastAsia="Arial" w:hAnsi="Arial" w:cs="Arial"/>
          <w:b/>
          <w:bCs/>
          <w:sz w:val="32"/>
          <w:szCs w:val="32"/>
        </w:rPr>
      </w:pPr>
      <w:bookmarkStart w:id="0" w:name="_GoBack"/>
      <w:bookmarkEnd w:id="0"/>
      <w:r w:rsidRPr="00F82829">
        <w:rPr>
          <w:rFonts w:ascii="Arial"/>
          <w:b/>
          <w:bCs/>
          <w:sz w:val="32"/>
          <w:szCs w:val="32"/>
        </w:rPr>
        <w:t xml:space="preserve">IN THE MATTER OF A HEARING UNDER SECTION 11.1 OF THE </w:t>
      </w:r>
      <w:r w:rsidRPr="00F82829">
        <w:rPr>
          <w:rFonts w:ascii="Arial"/>
          <w:b/>
          <w:bCs/>
          <w:i/>
          <w:iCs/>
          <w:sz w:val="32"/>
          <w:szCs w:val="32"/>
        </w:rPr>
        <w:t>JUSTICES OF THE PEACE ACT</w:t>
      </w:r>
      <w:r w:rsidRPr="00F82829">
        <w:rPr>
          <w:rFonts w:ascii="Arial"/>
          <w:b/>
          <w:bCs/>
          <w:sz w:val="32"/>
          <w:szCs w:val="32"/>
          <w:lang w:val="en-US"/>
        </w:rPr>
        <w:t xml:space="preserve">, R.S.O. 1990, c. J.4, </w:t>
      </w:r>
      <w:r w:rsidRPr="00F82829">
        <w:rPr>
          <w:rFonts w:ascii="Arial"/>
          <w:b/>
          <w:bCs/>
          <w:caps/>
          <w:sz w:val="32"/>
          <w:szCs w:val="32"/>
          <w:lang w:val="en-US"/>
        </w:rPr>
        <w:t>as amended</w:t>
      </w:r>
    </w:p>
    <w:p w:rsidR="003740A7" w:rsidRPr="00F82829" w:rsidRDefault="004A2B4E">
      <w:pPr>
        <w:pStyle w:val="Body"/>
        <w:spacing w:before="360"/>
        <w:jc w:val="center"/>
        <w:rPr>
          <w:rFonts w:ascii="Arial" w:eastAsia="Arial" w:hAnsi="Arial" w:cs="Arial"/>
          <w:b/>
          <w:bCs/>
          <w:sz w:val="32"/>
          <w:szCs w:val="32"/>
        </w:rPr>
      </w:pPr>
      <w:r w:rsidRPr="00F82829">
        <w:rPr>
          <w:rFonts w:ascii="Arial"/>
          <w:b/>
          <w:bCs/>
          <w:sz w:val="32"/>
          <w:szCs w:val="32"/>
          <w:lang w:val="en-US"/>
        </w:rPr>
        <w:t>Concerning a Complaint about the Conduct of</w:t>
      </w:r>
    </w:p>
    <w:p w:rsidR="003740A7" w:rsidRPr="00F82829" w:rsidRDefault="004A2B4E">
      <w:pPr>
        <w:pStyle w:val="Body"/>
        <w:spacing w:after="840"/>
        <w:jc w:val="center"/>
        <w:rPr>
          <w:rFonts w:ascii="Arial" w:eastAsia="Arial" w:hAnsi="Arial" w:cs="Arial"/>
          <w:b/>
          <w:bCs/>
        </w:rPr>
      </w:pPr>
      <w:r w:rsidRPr="00F82829">
        <w:rPr>
          <w:rFonts w:ascii="Arial"/>
          <w:b/>
          <w:bCs/>
          <w:sz w:val="32"/>
          <w:szCs w:val="32"/>
          <w:lang w:val="en-US"/>
        </w:rPr>
        <w:t>Justice of the Peace Errol Massiah</w:t>
      </w:r>
    </w:p>
    <w:p w:rsidR="003740A7" w:rsidRPr="00F82829" w:rsidRDefault="004A2B4E">
      <w:pPr>
        <w:pStyle w:val="Body"/>
        <w:tabs>
          <w:tab w:val="left" w:pos="1134"/>
        </w:tabs>
        <w:spacing w:before="240"/>
        <w:ind w:left="1134" w:hanging="1080"/>
        <w:rPr>
          <w:rFonts w:ascii="Arial" w:eastAsia="Arial" w:hAnsi="Arial" w:cs="Arial"/>
        </w:rPr>
      </w:pPr>
      <w:r w:rsidRPr="00F82829">
        <w:rPr>
          <w:rFonts w:ascii="Arial"/>
          <w:b/>
          <w:bCs/>
          <w:lang w:val="en-US"/>
        </w:rPr>
        <w:t>Before:</w:t>
      </w:r>
      <w:r w:rsidRPr="00F82829">
        <w:rPr>
          <w:rFonts w:ascii="Arial" w:eastAsia="Arial" w:hAnsi="Arial" w:cs="Arial"/>
          <w:lang w:val="en-US"/>
        </w:rPr>
        <w:tab/>
        <w:t>Justice of the Peace Michael Cuthbertson</w:t>
      </w:r>
    </w:p>
    <w:p w:rsidR="003740A7" w:rsidRPr="00F82829" w:rsidRDefault="004A2B4E" w:rsidP="003721F4">
      <w:pPr>
        <w:pStyle w:val="Body"/>
        <w:tabs>
          <w:tab w:val="left" w:pos="90"/>
        </w:tabs>
        <w:spacing w:before="240"/>
        <w:ind w:left="1170"/>
        <w:rPr>
          <w:rFonts w:ascii="Arial" w:eastAsia="Arial" w:hAnsi="Arial" w:cs="Arial"/>
          <w:b/>
          <w:bCs/>
          <w:sz w:val="28"/>
          <w:szCs w:val="28"/>
        </w:rPr>
      </w:pPr>
      <w:r w:rsidRPr="00F82829">
        <w:rPr>
          <w:rFonts w:ascii="Arial" w:eastAsia="Arial" w:hAnsi="Arial" w:cs="Arial"/>
          <w:lang w:val="en-US"/>
        </w:rPr>
        <w:t>Ms. Leonore Foster, Community Member</w:t>
      </w:r>
    </w:p>
    <w:p w:rsidR="003740A7" w:rsidRPr="00F82829" w:rsidRDefault="004A2B4E" w:rsidP="003721F4">
      <w:pPr>
        <w:pStyle w:val="Body"/>
        <w:tabs>
          <w:tab w:val="left" w:pos="90"/>
          <w:tab w:val="left" w:pos="1134"/>
        </w:tabs>
        <w:ind w:left="1170"/>
        <w:rPr>
          <w:rFonts w:ascii="Arial" w:eastAsia="Arial" w:hAnsi="Arial" w:cs="Arial"/>
          <w:b/>
          <w:bCs/>
        </w:rPr>
      </w:pPr>
      <w:r w:rsidRPr="00F82829">
        <w:rPr>
          <w:rFonts w:ascii="Arial" w:eastAsia="Arial" w:hAnsi="Arial" w:cs="Arial"/>
          <w:b/>
          <w:bCs/>
          <w:sz w:val="28"/>
          <w:szCs w:val="28"/>
        </w:rPr>
        <w:tab/>
      </w:r>
    </w:p>
    <w:p w:rsidR="003740A7" w:rsidRPr="00F82829" w:rsidRDefault="004A2B4E">
      <w:pPr>
        <w:pStyle w:val="Body"/>
        <w:tabs>
          <w:tab w:val="left" w:pos="1134"/>
        </w:tabs>
        <w:spacing w:before="480"/>
        <w:ind w:left="1134"/>
        <w:rPr>
          <w:rFonts w:ascii="Arial" w:eastAsia="Arial" w:hAnsi="Arial" w:cs="Arial"/>
          <w:b/>
          <w:bCs/>
          <w:sz w:val="28"/>
          <w:szCs w:val="28"/>
        </w:rPr>
      </w:pPr>
      <w:r w:rsidRPr="00F82829">
        <w:rPr>
          <w:rFonts w:ascii="Arial"/>
          <w:b/>
          <w:bCs/>
          <w:sz w:val="28"/>
          <w:szCs w:val="28"/>
          <w:lang w:val="en-US"/>
        </w:rPr>
        <w:t>Hearing Panel of the Justices of the Peace Review</w:t>
      </w:r>
    </w:p>
    <w:p w:rsidR="003740A7" w:rsidRPr="00F82829" w:rsidRDefault="004A2B4E">
      <w:pPr>
        <w:pStyle w:val="Body"/>
        <w:tabs>
          <w:tab w:val="left" w:pos="1134"/>
        </w:tabs>
        <w:ind w:left="1134"/>
        <w:rPr>
          <w:rFonts w:ascii="Arial" w:eastAsia="Arial" w:hAnsi="Arial" w:cs="Arial"/>
          <w:b/>
          <w:bCs/>
          <w:sz w:val="28"/>
          <w:szCs w:val="28"/>
        </w:rPr>
      </w:pPr>
      <w:r w:rsidRPr="00F82829">
        <w:rPr>
          <w:rFonts w:ascii="Arial"/>
          <w:b/>
          <w:bCs/>
          <w:sz w:val="28"/>
          <w:szCs w:val="28"/>
          <w:lang w:val="en-US"/>
        </w:rPr>
        <w:t>Council</w:t>
      </w:r>
    </w:p>
    <w:p w:rsidR="003740A7" w:rsidRPr="00F82829" w:rsidRDefault="003740A7">
      <w:pPr>
        <w:pStyle w:val="Body"/>
        <w:tabs>
          <w:tab w:val="left" w:pos="1134"/>
        </w:tabs>
        <w:rPr>
          <w:rFonts w:ascii="Arial" w:eastAsia="Arial" w:hAnsi="Arial" w:cs="Arial"/>
          <w:b/>
          <w:bCs/>
          <w:sz w:val="28"/>
          <w:szCs w:val="28"/>
        </w:rPr>
      </w:pPr>
    </w:p>
    <w:p w:rsidR="001A1B72" w:rsidRPr="001A1B72" w:rsidRDefault="001A1B72" w:rsidP="001A1B72">
      <w:pPr>
        <w:jc w:val="center"/>
        <w:rPr>
          <w:rFonts w:ascii="Arial" w:hAnsi="Arial" w:cs="Arial"/>
          <w:b/>
          <w:sz w:val="32"/>
          <w:szCs w:val="32"/>
        </w:rPr>
      </w:pPr>
      <w:r w:rsidRPr="001A1B72">
        <w:rPr>
          <w:rFonts w:ascii="Arial" w:hAnsi="Arial" w:cs="Arial"/>
          <w:b/>
          <w:sz w:val="32"/>
          <w:szCs w:val="32"/>
        </w:rPr>
        <w:t xml:space="preserve">DECISION ON </w:t>
      </w:r>
      <w:r w:rsidR="00F96ECB">
        <w:rPr>
          <w:rFonts w:ascii="Arial" w:hAnsi="Arial" w:cs="Arial"/>
          <w:b/>
          <w:sz w:val="32"/>
          <w:szCs w:val="32"/>
        </w:rPr>
        <w:t xml:space="preserve">JURISDICTION IN RELATION TO </w:t>
      </w:r>
      <w:r w:rsidRPr="001A1B72">
        <w:rPr>
          <w:rFonts w:ascii="Arial" w:hAnsi="Arial" w:cs="Arial"/>
          <w:b/>
          <w:sz w:val="32"/>
          <w:szCs w:val="32"/>
        </w:rPr>
        <w:t>A NOTICE OF CONSTITUTIONAL QUESTION</w:t>
      </w:r>
    </w:p>
    <w:p w:rsidR="001A1B72" w:rsidRDefault="001A1B72">
      <w:pPr>
        <w:pStyle w:val="BodyA"/>
        <w:jc w:val="center"/>
        <w:rPr>
          <w:rFonts w:ascii="Arial"/>
          <w:b/>
          <w:bCs/>
          <w:sz w:val="32"/>
          <w:szCs w:val="32"/>
        </w:rPr>
      </w:pPr>
    </w:p>
    <w:p w:rsidR="003740A7" w:rsidRPr="00F82829" w:rsidRDefault="003740A7">
      <w:pPr>
        <w:pStyle w:val="BodyA"/>
        <w:jc w:val="center"/>
        <w:rPr>
          <w:rFonts w:ascii="Arial" w:eastAsia="Arial" w:hAnsi="Arial" w:cs="Arial"/>
          <w:b/>
          <w:bCs/>
          <w:sz w:val="32"/>
          <w:szCs w:val="32"/>
        </w:rPr>
      </w:pPr>
    </w:p>
    <w:p w:rsidR="003740A7" w:rsidRPr="00F82829" w:rsidRDefault="004A2B4E">
      <w:pPr>
        <w:pStyle w:val="BodyA"/>
        <w:spacing w:before="360"/>
        <w:ind w:left="2160" w:hanging="2160"/>
        <w:rPr>
          <w:rFonts w:ascii="Arial" w:eastAsia="Arial" w:hAnsi="Arial" w:cs="Arial"/>
        </w:rPr>
      </w:pPr>
      <w:r w:rsidRPr="00F82829">
        <w:rPr>
          <w:rFonts w:ascii="Arial"/>
          <w:b/>
          <w:bCs/>
        </w:rPr>
        <w:t>Counsel:</w:t>
      </w:r>
    </w:p>
    <w:p w:rsidR="003740A7" w:rsidRPr="00F82829" w:rsidRDefault="004A2B4E">
      <w:pPr>
        <w:pStyle w:val="BodyA"/>
        <w:tabs>
          <w:tab w:val="left" w:pos="1710"/>
          <w:tab w:val="left" w:pos="4320"/>
          <w:tab w:val="left" w:pos="4410"/>
        </w:tabs>
        <w:spacing w:before="240"/>
        <w:rPr>
          <w:rFonts w:ascii="Arial" w:eastAsia="Arial" w:hAnsi="Arial" w:cs="Arial"/>
        </w:rPr>
      </w:pPr>
      <w:r w:rsidRPr="00F82829">
        <w:rPr>
          <w:rFonts w:ascii="Arial"/>
          <w:lang w:val="de-DE"/>
        </w:rPr>
        <w:t>Ms. Marie Henein</w:t>
      </w:r>
      <w:r w:rsidRPr="00F82829">
        <w:rPr>
          <w:rFonts w:ascii="Arial"/>
          <w:lang w:val="de-DE"/>
        </w:rPr>
        <w:tab/>
        <w:t>Mr. Ernest J. Guiste</w:t>
      </w:r>
    </w:p>
    <w:p w:rsidR="003740A7" w:rsidRPr="00F82829" w:rsidRDefault="004A2B4E">
      <w:pPr>
        <w:pStyle w:val="BodyA"/>
        <w:tabs>
          <w:tab w:val="left" w:pos="4320"/>
        </w:tabs>
        <w:ind w:left="4678" w:hanging="4678"/>
        <w:rPr>
          <w:rFonts w:ascii="Arial" w:eastAsia="Arial" w:hAnsi="Arial" w:cs="Arial"/>
        </w:rPr>
      </w:pPr>
      <w:r w:rsidRPr="00F82829">
        <w:rPr>
          <w:rFonts w:ascii="Arial"/>
        </w:rPr>
        <w:t>Mr. Matthew Gourlay</w:t>
      </w:r>
      <w:r w:rsidRPr="00F82829">
        <w:rPr>
          <w:rFonts w:ascii="Arial"/>
        </w:rPr>
        <w:tab/>
        <w:t>E. J. Guiste Professional Corporation</w:t>
      </w:r>
    </w:p>
    <w:p w:rsidR="003740A7" w:rsidRPr="00F82829" w:rsidRDefault="004A2B4E">
      <w:pPr>
        <w:pStyle w:val="PlainText"/>
        <w:rPr>
          <w:rFonts w:ascii="Arial" w:eastAsia="Arial" w:hAnsi="Arial" w:cs="Arial"/>
          <w:sz w:val="24"/>
          <w:szCs w:val="24"/>
          <w:lang w:val="en-US"/>
        </w:rPr>
      </w:pPr>
      <w:r w:rsidRPr="00F82829">
        <w:rPr>
          <w:rFonts w:ascii="Arial"/>
          <w:sz w:val="24"/>
          <w:szCs w:val="24"/>
        </w:rPr>
        <w:t>Henein Hutchison</w:t>
      </w:r>
      <w:r w:rsidRPr="00F82829">
        <w:rPr>
          <w:rFonts w:ascii="Arial"/>
          <w:sz w:val="24"/>
          <w:szCs w:val="24"/>
          <w:lang w:val="en-US"/>
        </w:rPr>
        <w:t>,</w:t>
      </w:r>
      <w:r w:rsidRPr="00F82829">
        <w:rPr>
          <w:rFonts w:ascii="Arial"/>
          <w:sz w:val="24"/>
          <w:szCs w:val="24"/>
        </w:rPr>
        <w:t xml:space="preserve"> LLP</w:t>
      </w:r>
      <w:r w:rsidRPr="00F82829">
        <w:rPr>
          <w:rFonts w:ascii="Arial" w:eastAsia="Arial" w:hAnsi="Arial" w:cs="Arial"/>
          <w:sz w:val="24"/>
          <w:szCs w:val="24"/>
          <w:lang w:val="en-US"/>
        </w:rPr>
        <w:tab/>
      </w:r>
      <w:r w:rsidRPr="00F82829">
        <w:rPr>
          <w:rFonts w:ascii="Arial" w:eastAsia="Arial" w:hAnsi="Arial" w:cs="Arial"/>
          <w:sz w:val="24"/>
          <w:szCs w:val="24"/>
          <w:lang w:val="en-US"/>
        </w:rPr>
        <w:tab/>
      </w:r>
      <w:r w:rsidRPr="00F82829">
        <w:rPr>
          <w:rFonts w:ascii="Arial" w:eastAsia="Arial" w:hAnsi="Arial" w:cs="Arial"/>
          <w:sz w:val="24"/>
          <w:szCs w:val="24"/>
          <w:lang w:val="en-US"/>
        </w:rPr>
        <w:tab/>
        <w:t>Mr. Jeffry A. House</w:t>
      </w:r>
    </w:p>
    <w:p w:rsidR="001A1B72" w:rsidRDefault="001A1B72">
      <w:pPr>
        <w:pStyle w:val="PlainText"/>
        <w:tabs>
          <w:tab w:val="left" w:pos="4320"/>
        </w:tabs>
        <w:rPr>
          <w:rFonts w:ascii="Arial"/>
          <w:sz w:val="24"/>
          <w:szCs w:val="24"/>
          <w:lang w:val="en-US"/>
        </w:rPr>
      </w:pPr>
    </w:p>
    <w:p w:rsidR="003740A7" w:rsidRPr="00F82829" w:rsidRDefault="004A2B4E">
      <w:pPr>
        <w:pStyle w:val="PlainText"/>
        <w:tabs>
          <w:tab w:val="left" w:pos="4320"/>
        </w:tabs>
        <w:rPr>
          <w:rFonts w:ascii="Arial" w:eastAsia="Arial" w:hAnsi="Arial" w:cs="Arial"/>
          <w:sz w:val="24"/>
          <w:szCs w:val="24"/>
          <w:lang w:val="en-US"/>
        </w:rPr>
      </w:pPr>
      <w:r w:rsidRPr="00F82829">
        <w:rPr>
          <w:rFonts w:ascii="Arial"/>
          <w:sz w:val="24"/>
          <w:szCs w:val="24"/>
          <w:lang w:val="en-US"/>
        </w:rPr>
        <w:t>Presenting Counsel</w:t>
      </w:r>
      <w:r w:rsidRPr="00F82829">
        <w:rPr>
          <w:rFonts w:ascii="Arial"/>
          <w:sz w:val="24"/>
          <w:szCs w:val="24"/>
          <w:lang w:val="en-US"/>
        </w:rPr>
        <w:tab/>
        <w:t>Counsel for Mr.</w:t>
      </w:r>
      <w:r w:rsidR="008E38C5" w:rsidRPr="00F82829">
        <w:rPr>
          <w:rFonts w:ascii="Arial"/>
          <w:sz w:val="24"/>
          <w:szCs w:val="24"/>
          <w:lang w:val="en-US"/>
        </w:rPr>
        <w:t xml:space="preserve"> </w:t>
      </w:r>
      <w:r w:rsidRPr="00F82829">
        <w:rPr>
          <w:rFonts w:ascii="Arial"/>
          <w:sz w:val="24"/>
          <w:szCs w:val="24"/>
          <w:lang w:val="en-US"/>
        </w:rPr>
        <w:t>Errol Massiah</w:t>
      </w:r>
    </w:p>
    <w:p w:rsidR="003740A7" w:rsidRPr="00F82829" w:rsidRDefault="003740A7">
      <w:pPr>
        <w:pStyle w:val="PlainText"/>
        <w:ind w:left="4320"/>
        <w:rPr>
          <w:rFonts w:ascii="Arial" w:eastAsia="Arial" w:hAnsi="Arial" w:cs="Arial"/>
          <w:sz w:val="24"/>
          <w:szCs w:val="24"/>
          <w:lang w:val="en-US"/>
        </w:rPr>
      </w:pPr>
    </w:p>
    <w:p w:rsidR="003740A7" w:rsidRPr="00F82829" w:rsidRDefault="003740A7">
      <w:pPr>
        <w:pStyle w:val="Body"/>
        <w:spacing w:after="200" w:line="276" w:lineRule="auto"/>
        <w:rPr>
          <w:rFonts w:ascii="Arial" w:eastAsia="Arial" w:hAnsi="Arial" w:cs="Arial"/>
          <w:b/>
          <w:bCs/>
          <w:sz w:val="28"/>
          <w:szCs w:val="28"/>
        </w:rPr>
      </w:pPr>
    </w:p>
    <w:p w:rsidR="003740A7" w:rsidRPr="00F82829" w:rsidRDefault="004A2B4E">
      <w:pPr>
        <w:pStyle w:val="Body"/>
        <w:spacing w:after="200" w:line="276" w:lineRule="auto"/>
      </w:pPr>
      <w:r w:rsidRPr="00F82829">
        <w:rPr>
          <w:rFonts w:ascii="Arial" w:eastAsia="Arial" w:hAnsi="Arial" w:cs="Arial"/>
          <w:b/>
          <w:bCs/>
          <w:sz w:val="28"/>
          <w:szCs w:val="28"/>
        </w:rPr>
        <w:br w:type="page"/>
      </w:r>
    </w:p>
    <w:p w:rsidR="003740A7" w:rsidRPr="00F82829" w:rsidRDefault="003740A7">
      <w:pPr>
        <w:pStyle w:val="Body"/>
        <w:spacing w:after="200" w:line="276" w:lineRule="auto"/>
        <w:rPr>
          <w:rFonts w:ascii="Arial" w:eastAsia="Arial" w:hAnsi="Arial" w:cs="Arial"/>
          <w:b/>
          <w:bCs/>
          <w:sz w:val="28"/>
          <w:szCs w:val="28"/>
        </w:rPr>
      </w:pPr>
    </w:p>
    <w:p w:rsidR="003740A7" w:rsidRPr="00F82829" w:rsidRDefault="004A2B4E" w:rsidP="001A1B72">
      <w:pPr>
        <w:pStyle w:val="Body"/>
        <w:jc w:val="center"/>
        <w:rPr>
          <w:rFonts w:ascii="Arial" w:eastAsia="Arial" w:hAnsi="Arial" w:cs="Arial"/>
          <w:b/>
          <w:bCs/>
          <w:sz w:val="28"/>
          <w:szCs w:val="28"/>
        </w:rPr>
      </w:pPr>
      <w:r w:rsidRPr="00F82829">
        <w:rPr>
          <w:rFonts w:ascii="Arial"/>
          <w:b/>
          <w:bCs/>
          <w:sz w:val="28"/>
          <w:szCs w:val="28"/>
          <w:lang w:val="en-US"/>
        </w:rPr>
        <w:t xml:space="preserve">Decision on </w:t>
      </w:r>
      <w:r w:rsidR="00F96ECB">
        <w:rPr>
          <w:rFonts w:ascii="Arial"/>
          <w:b/>
          <w:bCs/>
          <w:sz w:val="28"/>
          <w:szCs w:val="28"/>
          <w:lang w:val="en-US"/>
        </w:rPr>
        <w:t xml:space="preserve">Jurisdiction in Relation to </w:t>
      </w:r>
      <w:r w:rsidR="001A1B72">
        <w:rPr>
          <w:rFonts w:ascii="Arial"/>
          <w:b/>
          <w:bCs/>
          <w:sz w:val="28"/>
          <w:szCs w:val="28"/>
          <w:lang w:val="en-US"/>
        </w:rPr>
        <w:t>a Notice of Constitutional Question</w:t>
      </w:r>
    </w:p>
    <w:p w:rsidR="003740A7" w:rsidRPr="00F82829" w:rsidRDefault="003740A7">
      <w:pPr>
        <w:pStyle w:val="Body"/>
        <w:spacing w:after="200" w:line="276" w:lineRule="auto"/>
        <w:jc w:val="both"/>
        <w:rPr>
          <w:rFonts w:ascii="Arial" w:eastAsia="Arial" w:hAnsi="Arial" w:cs="Arial"/>
          <w:b/>
          <w:bCs/>
          <w:sz w:val="26"/>
          <w:szCs w:val="26"/>
        </w:rPr>
      </w:pPr>
    </w:p>
    <w:p w:rsidR="001A1B72" w:rsidRDefault="001A1B72" w:rsidP="005425CB">
      <w:pPr>
        <w:jc w:val="both"/>
        <w:rPr>
          <w:rFonts w:ascii="Arial" w:hAnsi="Arial" w:cs="Arial"/>
          <w:b/>
        </w:rPr>
      </w:pPr>
      <w:r w:rsidRPr="001A1B72">
        <w:rPr>
          <w:rFonts w:ascii="Arial" w:hAnsi="Arial" w:cs="Arial"/>
          <w:b/>
        </w:rPr>
        <w:t>BACKGROUND</w:t>
      </w:r>
    </w:p>
    <w:p w:rsidR="001A1B72" w:rsidRPr="001A1B72" w:rsidRDefault="001A1B72" w:rsidP="005425CB">
      <w:pPr>
        <w:jc w:val="both"/>
        <w:rPr>
          <w:rFonts w:ascii="Arial" w:hAnsi="Arial" w:cs="Arial"/>
          <w:b/>
        </w:rPr>
      </w:pPr>
    </w:p>
    <w:p w:rsidR="00D400F6" w:rsidRDefault="00D400F6"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Pr>
          <w:rFonts w:ascii="Arial" w:hAnsi="Arial" w:cs="Arial"/>
        </w:rPr>
        <w:t>This is not a first-instance consideration of Mr. Massiah’s request for a recommendation that he should be compensated for his legal costs.</w:t>
      </w:r>
    </w:p>
    <w:p w:rsidR="00D400F6" w:rsidRDefault="00D400F6" w:rsidP="00542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p>
    <w:p w:rsidR="001A1B72" w:rsidRPr="001D7AF6"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In June 2015, with the addition of the Honourable </w:t>
      </w:r>
      <w:r w:rsidR="00494A31">
        <w:rPr>
          <w:rFonts w:ascii="Arial" w:hAnsi="Arial" w:cs="Arial"/>
        </w:rPr>
        <w:t xml:space="preserve">Justice </w:t>
      </w:r>
      <w:r w:rsidRPr="001D7AF6">
        <w:rPr>
          <w:rFonts w:ascii="Arial" w:hAnsi="Arial" w:cs="Arial"/>
        </w:rPr>
        <w:t xml:space="preserve">Deborah Livingstone, who has now retired from the bench, this Hearing Panel considered an application by Mr. Massiah for compensation of his legal costs for the hearing on his judicial misconduct which began in 2013. Our decision was </w:t>
      </w:r>
      <w:r w:rsidR="00494A31">
        <w:rPr>
          <w:rFonts w:ascii="Arial" w:hAnsi="Arial" w:cs="Arial"/>
        </w:rPr>
        <w:t xml:space="preserve">to not </w:t>
      </w:r>
      <w:r w:rsidRPr="001D7AF6">
        <w:rPr>
          <w:rFonts w:ascii="Arial" w:hAnsi="Arial" w:cs="Arial"/>
        </w:rPr>
        <w:t xml:space="preserve">recommend compensation be paid to Mr. Massiah (see </w:t>
      </w:r>
      <w:r w:rsidRPr="001D7AF6">
        <w:rPr>
          <w:rFonts w:ascii="Arial" w:hAnsi="Arial" w:cs="Arial"/>
          <w:i/>
        </w:rPr>
        <w:t xml:space="preserve">Decision on the Request for Compensation of Legal Costs </w:t>
      </w:r>
      <w:r w:rsidRPr="001D7AF6">
        <w:rPr>
          <w:rFonts w:ascii="Arial" w:hAnsi="Arial" w:cs="Arial"/>
        </w:rPr>
        <w:t>of 16 June, 2015).</w:t>
      </w:r>
    </w:p>
    <w:p w:rsidR="001A1B72" w:rsidRPr="001D7AF6" w:rsidRDefault="001A1B72" w:rsidP="005425CB">
      <w:pPr>
        <w:pStyle w:val="ListParagraph"/>
        <w:jc w:val="both"/>
        <w:rPr>
          <w:rFonts w:ascii="Arial" w:hAnsi="Arial" w:cs="Arial"/>
        </w:rPr>
      </w:pPr>
    </w:p>
    <w:p w:rsidR="001A1B72" w:rsidRPr="001D7AF6"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Mr. Massiah then sought </w:t>
      </w:r>
      <w:r>
        <w:rPr>
          <w:rFonts w:ascii="Arial" w:hAnsi="Arial" w:cs="Arial"/>
        </w:rPr>
        <w:t>j</w:t>
      </w:r>
      <w:r w:rsidRPr="001D7AF6">
        <w:rPr>
          <w:rFonts w:ascii="Arial" w:hAnsi="Arial" w:cs="Arial"/>
        </w:rPr>
        <w:t xml:space="preserve">udicial </w:t>
      </w:r>
      <w:r>
        <w:rPr>
          <w:rFonts w:ascii="Arial" w:hAnsi="Arial" w:cs="Arial"/>
        </w:rPr>
        <w:t>r</w:t>
      </w:r>
      <w:r w:rsidRPr="001D7AF6">
        <w:rPr>
          <w:rFonts w:ascii="Arial" w:hAnsi="Arial" w:cs="Arial"/>
        </w:rPr>
        <w:t xml:space="preserve">eview in </w:t>
      </w:r>
      <w:r>
        <w:rPr>
          <w:rFonts w:ascii="Arial" w:hAnsi="Arial" w:cs="Arial"/>
        </w:rPr>
        <w:t xml:space="preserve">the </w:t>
      </w:r>
      <w:r w:rsidRPr="001D7AF6">
        <w:rPr>
          <w:rFonts w:ascii="Arial" w:hAnsi="Arial" w:cs="Arial"/>
        </w:rPr>
        <w:t>Divisional Court of that and other decisions made by the Hearing Panel. In its decision</w:t>
      </w:r>
      <w:r>
        <w:rPr>
          <w:rFonts w:ascii="Arial" w:hAnsi="Arial" w:cs="Arial"/>
        </w:rPr>
        <w:t xml:space="preserve"> on the application</w:t>
      </w:r>
      <w:r w:rsidRPr="001D7AF6">
        <w:rPr>
          <w:rFonts w:ascii="Arial" w:hAnsi="Arial" w:cs="Arial"/>
        </w:rPr>
        <w:t xml:space="preserve">, the Divisional Court found that we had approached the analysis on compensation based on a flawed premise (see </w:t>
      </w:r>
      <w:r w:rsidRPr="001D7AF6">
        <w:rPr>
          <w:rFonts w:ascii="Arial" w:hAnsi="Arial" w:cs="Arial"/>
          <w:i/>
        </w:rPr>
        <w:t xml:space="preserve">Massiah v. Justices of the Peace Review Council, </w:t>
      </w:r>
      <w:r w:rsidRPr="001D7AF6">
        <w:rPr>
          <w:rFonts w:ascii="Arial" w:hAnsi="Arial" w:cs="Arial"/>
        </w:rPr>
        <w:t>2016 ONSC</w:t>
      </w:r>
      <w:r w:rsidRPr="001D7AF6">
        <w:rPr>
          <w:rFonts w:ascii="Arial" w:hAnsi="Arial" w:cs="Arial"/>
          <w:i/>
        </w:rPr>
        <w:t xml:space="preserve"> 6191)</w:t>
      </w:r>
      <w:r w:rsidRPr="001D7AF6">
        <w:rPr>
          <w:rFonts w:ascii="Arial" w:hAnsi="Arial" w:cs="Arial"/>
        </w:rPr>
        <w:t>. As a result, the Divisional Court ordered:</w:t>
      </w:r>
    </w:p>
    <w:p w:rsidR="001A1B72" w:rsidRPr="001D7AF6" w:rsidRDefault="001A1B72" w:rsidP="00494A31">
      <w:pPr>
        <w:ind w:left="1440" w:right="702"/>
        <w:jc w:val="both"/>
        <w:rPr>
          <w:rFonts w:ascii="Arial" w:hAnsi="Arial" w:cs="Arial"/>
        </w:rPr>
      </w:pPr>
      <w:r w:rsidRPr="001D7AF6">
        <w:rPr>
          <w:rFonts w:ascii="Arial" w:hAnsi="Arial" w:cs="Arial"/>
        </w:rPr>
        <w:t>[62] The application for judicial review is allowed only to the extent that the decision of the 2012 Panel, not to recommend compensation for legal fees, is set aside and that single issue is remitted back to the 2012 Panel for reconsideration.</w:t>
      </w:r>
    </w:p>
    <w:p w:rsidR="001A1B72" w:rsidRDefault="001A1B72" w:rsidP="00542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p>
    <w:p w:rsidR="001A1B72"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Subsequently, leave to appeal the </w:t>
      </w:r>
      <w:r w:rsidR="00D302F4">
        <w:rPr>
          <w:rFonts w:ascii="Arial" w:hAnsi="Arial" w:cs="Arial"/>
        </w:rPr>
        <w:t xml:space="preserve">Divisional Court </w:t>
      </w:r>
      <w:r w:rsidRPr="001D7AF6">
        <w:rPr>
          <w:rFonts w:ascii="Arial" w:hAnsi="Arial" w:cs="Arial"/>
        </w:rPr>
        <w:t>rulings was sought by both Mr. Massiah and the Justice</w:t>
      </w:r>
      <w:r>
        <w:rPr>
          <w:rFonts w:ascii="Arial" w:hAnsi="Arial" w:cs="Arial"/>
        </w:rPr>
        <w:t>s</w:t>
      </w:r>
      <w:r w:rsidRPr="001D7AF6">
        <w:rPr>
          <w:rFonts w:ascii="Arial" w:hAnsi="Arial" w:cs="Arial"/>
        </w:rPr>
        <w:t xml:space="preserve"> of the Peace Review Council. </w:t>
      </w:r>
      <w:r w:rsidR="00D400F6">
        <w:rPr>
          <w:rFonts w:ascii="Arial" w:hAnsi="Arial" w:cs="Arial"/>
        </w:rPr>
        <w:t>The Court of Appeal for Ontario denied l</w:t>
      </w:r>
      <w:r w:rsidRPr="001D7AF6">
        <w:rPr>
          <w:rFonts w:ascii="Arial" w:hAnsi="Arial" w:cs="Arial"/>
        </w:rPr>
        <w:t>eave to appeal to both parties. Therefore, the Divisional Court ruling applies</w:t>
      </w:r>
      <w:r w:rsidR="00F96C76">
        <w:rPr>
          <w:rFonts w:ascii="Arial" w:hAnsi="Arial" w:cs="Arial"/>
        </w:rPr>
        <w:t xml:space="preserve">. That ruling must and will be respected by this Panel. </w:t>
      </w:r>
    </w:p>
    <w:p w:rsidR="001A1B72" w:rsidRPr="001D7AF6" w:rsidRDefault="001A1B72" w:rsidP="005425CB">
      <w:pPr>
        <w:pStyle w:val="ListParagraph"/>
        <w:jc w:val="both"/>
        <w:rPr>
          <w:rFonts w:ascii="Arial" w:hAnsi="Arial" w:cs="Arial"/>
        </w:rPr>
      </w:pPr>
    </w:p>
    <w:p w:rsidR="001A1B72" w:rsidRPr="001A1B72" w:rsidRDefault="001A1B72" w:rsidP="005425CB">
      <w:pPr>
        <w:pStyle w:val="ListParagraph"/>
        <w:ind w:left="0"/>
        <w:jc w:val="both"/>
        <w:rPr>
          <w:rFonts w:ascii="Arial" w:hAnsi="Arial" w:cs="Arial"/>
          <w:b/>
        </w:rPr>
      </w:pPr>
      <w:r w:rsidRPr="001A1B72">
        <w:rPr>
          <w:rFonts w:ascii="Arial" w:hAnsi="Arial" w:cs="Arial"/>
          <w:b/>
        </w:rPr>
        <w:t>NOTICE OF CONSTITUTIONAL QUESTION</w:t>
      </w:r>
    </w:p>
    <w:p w:rsidR="001A1B72" w:rsidRPr="001D7AF6" w:rsidRDefault="001A1B72" w:rsidP="005425CB">
      <w:pPr>
        <w:pStyle w:val="ListParagraph"/>
        <w:jc w:val="both"/>
        <w:rPr>
          <w:rFonts w:ascii="Arial" w:hAnsi="Arial" w:cs="Arial"/>
        </w:rPr>
      </w:pPr>
    </w:p>
    <w:p w:rsidR="001A1B72" w:rsidRPr="001D7AF6"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Mr. Massiah has now filed a Notice of Constitutional Question. We have reviewed the Notice and decline to consider it for two reasons. First, we </w:t>
      </w:r>
      <w:r w:rsidRPr="001D7AF6">
        <w:rPr>
          <w:rFonts w:ascii="Arial" w:hAnsi="Arial" w:cs="Arial"/>
        </w:rPr>
        <w:lastRenderedPageBreak/>
        <w:t>have no jurisdiction. Second, much of the content of the Notice either borders on, or crosses the line into an impermissible collateral attack on the Divisional Court ruling</w:t>
      </w:r>
      <w:r>
        <w:rPr>
          <w:rFonts w:ascii="Arial" w:hAnsi="Arial" w:cs="Arial"/>
        </w:rPr>
        <w:t xml:space="preserve"> which, with leave to appeal denied by the Court of Appeal of Ontario, is final </w:t>
      </w:r>
      <w:r w:rsidRPr="001D7AF6">
        <w:rPr>
          <w:rFonts w:ascii="Arial" w:hAnsi="Arial" w:cs="Arial"/>
        </w:rPr>
        <w:t>.</w:t>
      </w:r>
    </w:p>
    <w:p w:rsidR="001A1B72" w:rsidRPr="001A1B72" w:rsidRDefault="001A1B72" w:rsidP="005425CB">
      <w:pPr>
        <w:jc w:val="both"/>
        <w:rPr>
          <w:rFonts w:ascii="Arial" w:hAnsi="Arial" w:cs="Arial"/>
          <w:b/>
        </w:rPr>
      </w:pPr>
      <w:r w:rsidRPr="001A1B72">
        <w:rPr>
          <w:rFonts w:ascii="Arial" w:hAnsi="Arial" w:cs="Arial"/>
          <w:b/>
        </w:rPr>
        <w:t>JURISDICTION</w:t>
      </w:r>
    </w:p>
    <w:p w:rsidR="001A1B72" w:rsidRPr="001D7AF6" w:rsidRDefault="001A1B72" w:rsidP="005425CB">
      <w:pPr>
        <w:jc w:val="both"/>
        <w:rPr>
          <w:rFonts w:ascii="Arial" w:hAnsi="Arial" w:cs="Arial"/>
        </w:rPr>
      </w:pPr>
    </w:p>
    <w:p w:rsidR="001A1B72" w:rsidRPr="001D7AF6"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Upon our completion of all matters dealing with the hearing in June 2015, this Hearing Panel became </w:t>
      </w:r>
      <w:r w:rsidRPr="001D7AF6">
        <w:rPr>
          <w:rFonts w:ascii="Arial" w:hAnsi="Arial" w:cs="Arial"/>
          <w:i/>
        </w:rPr>
        <w:t>functus officio</w:t>
      </w:r>
      <w:r w:rsidRPr="001D7AF6">
        <w:rPr>
          <w:rFonts w:ascii="Arial" w:hAnsi="Arial" w:cs="Arial"/>
        </w:rPr>
        <w:t>. In simple terms, we no longer held any jurisdiction over the matter.</w:t>
      </w:r>
    </w:p>
    <w:p w:rsidR="001A1B72" w:rsidRPr="001D7AF6" w:rsidRDefault="001A1B72" w:rsidP="005425CB">
      <w:pPr>
        <w:pStyle w:val="ListParagraph"/>
        <w:jc w:val="both"/>
        <w:rPr>
          <w:rFonts w:ascii="Arial" w:hAnsi="Arial" w:cs="Arial"/>
        </w:rPr>
      </w:pPr>
      <w:r w:rsidRPr="001D7AF6">
        <w:rPr>
          <w:rFonts w:ascii="Arial" w:hAnsi="Arial" w:cs="Arial"/>
        </w:rPr>
        <w:t xml:space="preserve"> </w:t>
      </w:r>
    </w:p>
    <w:p w:rsidR="001A1B72" w:rsidRPr="001D7AF6"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However, in the </w:t>
      </w:r>
      <w:r w:rsidRPr="001D7AF6">
        <w:rPr>
          <w:rFonts w:ascii="Arial" w:hAnsi="Arial" w:cs="Arial"/>
          <w:i/>
        </w:rPr>
        <w:t xml:space="preserve">Massiah </w:t>
      </w:r>
      <w:r w:rsidRPr="001D7AF6">
        <w:rPr>
          <w:rFonts w:ascii="Arial" w:hAnsi="Arial" w:cs="Arial"/>
        </w:rPr>
        <w:t xml:space="preserve">(supra) ruling of the Divisional Court, we were ordered to assume a new but very narrow jurisdiction for one purpose and one purpose only. That purpose is clearly articulated in para 62 of </w:t>
      </w:r>
      <w:r w:rsidRPr="001D7AF6">
        <w:rPr>
          <w:rFonts w:ascii="Arial" w:hAnsi="Arial" w:cs="Arial"/>
          <w:i/>
        </w:rPr>
        <w:t xml:space="preserve">Massiah </w:t>
      </w:r>
      <w:r w:rsidRPr="001D7AF6">
        <w:rPr>
          <w:rFonts w:ascii="Arial" w:hAnsi="Arial" w:cs="Arial"/>
        </w:rPr>
        <w:t>which is noted previously.</w:t>
      </w:r>
    </w:p>
    <w:p w:rsidR="001A1B72" w:rsidRPr="001D7AF6" w:rsidRDefault="001A1B72" w:rsidP="005425CB">
      <w:pPr>
        <w:pStyle w:val="ListParagraph"/>
        <w:jc w:val="both"/>
        <w:rPr>
          <w:rFonts w:ascii="Arial" w:hAnsi="Arial" w:cs="Arial"/>
        </w:rPr>
      </w:pPr>
    </w:p>
    <w:p w:rsidR="001A1B72" w:rsidRPr="001D7AF6"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For this position, we rely on the ruling of the Saskatchewan Court of Appeal in </w:t>
      </w:r>
      <w:r w:rsidRPr="001D7AF6">
        <w:rPr>
          <w:rFonts w:ascii="Arial" w:hAnsi="Arial" w:cs="Arial"/>
          <w:i/>
        </w:rPr>
        <w:t>Harle v. 101090442 Saskatchewan Ltd., 2016 SKCA 66</w:t>
      </w:r>
      <w:r w:rsidRPr="001D7AF6">
        <w:rPr>
          <w:rFonts w:ascii="Arial" w:hAnsi="Arial" w:cs="Arial"/>
        </w:rPr>
        <w:t>.</w:t>
      </w:r>
      <w:r w:rsidRPr="001D7AF6">
        <w:rPr>
          <w:rFonts w:ascii="Arial" w:hAnsi="Arial" w:cs="Arial"/>
          <w:i/>
        </w:rPr>
        <w:t xml:space="preserve"> </w:t>
      </w:r>
      <w:r w:rsidRPr="001D7AF6">
        <w:rPr>
          <w:rFonts w:ascii="Arial" w:hAnsi="Arial" w:cs="Arial"/>
        </w:rPr>
        <w:t xml:space="preserve"> The Court stated:</w:t>
      </w:r>
    </w:p>
    <w:p w:rsidR="001A1B72" w:rsidRPr="001D7AF6" w:rsidRDefault="001A1B72" w:rsidP="00494A31">
      <w:pPr>
        <w:ind w:left="1440" w:right="702"/>
        <w:jc w:val="both"/>
        <w:rPr>
          <w:rFonts w:ascii="Arial" w:hAnsi="Arial" w:cs="Arial"/>
        </w:rPr>
      </w:pPr>
      <w:bookmarkStart w:id="1" w:name="PNUM_21"/>
      <w:r w:rsidRPr="001D7AF6">
        <w:rPr>
          <w:rStyle w:val="bold1"/>
          <w:rFonts w:ascii="Arial" w:hAnsi="Arial" w:cs="Arial"/>
          <w:color w:val="000000"/>
        </w:rPr>
        <w:t>21</w:t>
      </w:r>
      <w:bookmarkEnd w:id="1"/>
      <w:r w:rsidR="00BC083E">
        <w:rPr>
          <w:rStyle w:val="bold1"/>
          <w:rFonts w:ascii="Arial" w:hAnsi="Arial" w:cs="Arial"/>
          <w:color w:val="000000"/>
        </w:rPr>
        <w:tab/>
      </w:r>
      <w:r w:rsidRPr="001D7AF6">
        <w:rPr>
          <w:rFonts w:ascii="Arial" w:hAnsi="Arial" w:cs="Arial"/>
          <w:color w:val="000000"/>
        </w:rPr>
        <w:t xml:space="preserve">That is, when this Court remits a matter to a trial court, it is not for the trial court to question this Court's decision; it is the duty of the trial court to give full effect to that decision, whatever the trial court's views may be as to the intrinsic wisdom of it. This is so because </w:t>
      </w:r>
      <w:r w:rsidRPr="001D7AF6">
        <w:rPr>
          <w:rStyle w:val="italic1"/>
          <w:rFonts w:ascii="Arial" w:hAnsi="Arial" w:cs="Arial"/>
          <w:color w:val="000000"/>
        </w:rPr>
        <w:t>stare decisis</w:t>
      </w:r>
      <w:r w:rsidRPr="001D7AF6">
        <w:rPr>
          <w:rFonts w:ascii="Arial" w:hAnsi="Arial" w:cs="Arial"/>
          <w:color w:val="000000"/>
        </w:rPr>
        <w:t xml:space="preserve"> requires a trial court to follow the law as interpreted by its coordinate appellate court. Therefore, when a matter is remitted for determination, the trial court must follow the directions of the appellate court in making that determination. Of course, the trial court may look to the appellate court's reasons and to the original trial decision to determine the scope of the matter remitted. But, to the extent the appellate court's reasons alter the trial court's findings and its initial decision, the appellate court's findings and decision must be followed.</w:t>
      </w:r>
    </w:p>
    <w:p w:rsidR="001A1B72" w:rsidRDefault="001A1B72" w:rsidP="00542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p>
    <w:p w:rsidR="001A1B72" w:rsidRPr="00494A31" w:rsidRDefault="001A1B72" w:rsidP="005425C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D7AF6">
        <w:rPr>
          <w:rFonts w:ascii="Arial" w:hAnsi="Arial" w:cs="Arial"/>
        </w:rPr>
        <w:t xml:space="preserve">While </w:t>
      </w:r>
      <w:r w:rsidRPr="001D7AF6">
        <w:rPr>
          <w:rFonts w:ascii="Arial" w:hAnsi="Arial" w:cs="Arial"/>
          <w:i/>
        </w:rPr>
        <w:t>Harle</w:t>
      </w:r>
      <w:r w:rsidRPr="001D7AF6">
        <w:rPr>
          <w:rFonts w:ascii="Arial" w:hAnsi="Arial" w:cs="Arial"/>
        </w:rPr>
        <w:t xml:space="preserve"> deals with a trial matter, it offers persuasive guidance to us on the principle of </w:t>
      </w:r>
      <w:r w:rsidRPr="001D7AF6">
        <w:rPr>
          <w:rFonts w:ascii="Arial" w:hAnsi="Arial" w:cs="Arial"/>
          <w:i/>
        </w:rPr>
        <w:t>stare decisis</w:t>
      </w:r>
      <w:r w:rsidRPr="001D7AF6">
        <w:rPr>
          <w:rFonts w:ascii="Arial" w:hAnsi="Arial" w:cs="Arial"/>
        </w:rPr>
        <w:t xml:space="preserve"> and the limited jurisdiction we have been granted, based on para 62 of </w:t>
      </w:r>
      <w:r w:rsidRPr="001D7AF6">
        <w:rPr>
          <w:rFonts w:ascii="Arial" w:hAnsi="Arial" w:cs="Arial"/>
          <w:i/>
        </w:rPr>
        <w:t>Massiah.</w:t>
      </w:r>
    </w:p>
    <w:p w:rsidR="00494A31" w:rsidRDefault="00494A31" w:rsidP="00494A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p>
    <w:p w:rsidR="00494A31" w:rsidRDefault="00494A31" w:rsidP="00494A3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Pr>
          <w:rFonts w:ascii="Arial" w:hAnsi="Arial" w:cs="Arial"/>
        </w:rPr>
        <w:t xml:space="preserve">The Divisional Court remitted </w:t>
      </w:r>
      <w:r w:rsidRPr="00F96C76">
        <w:rPr>
          <w:rFonts w:ascii="Arial" w:hAnsi="Arial" w:cs="Arial"/>
        </w:rPr>
        <w:t xml:space="preserve">one limited matter </w:t>
      </w:r>
      <w:r>
        <w:rPr>
          <w:rFonts w:ascii="Arial" w:hAnsi="Arial" w:cs="Arial"/>
        </w:rPr>
        <w:t xml:space="preserve">for reconsideration. We must correct an analytical error and apply the analysis that has been set out by that Court to decide whether to recommend that Mr. Massiah should be compensated for some, all or none of his legal costs. We have no jurisdiction to go further than that. </w:t>
      </w:r>
    </w:p>
    <w:p w:rsidR="001A1B72" w:rsidRPr="001A1B72" w:rsidRDefault="001A1B72" w:rsidP="005425CB">
      <w:pPr>
        <w:ind w:left="360"/>
        <w:jc w:val="both"/>
        <w:rPr>
          <w:rFonts w:ascii="Arial" w:hAnsi="Arial" w:cs="Arial"/>
          <w:b/>
        </w:rPr>
      </w:pPr>
      <w:r w:rsidRPr="001A1B72">
        <w:rPr>
          <w:rFonts w:ascii="Arial" w:hAnsi="Arial" w:cs="Arial"/>
          <w:b/>
        </w:rPr>
        <w:lastRenderedPageBreak/>
        <w:t>COLLATERAL ATTACKS</w:t>
      </w:r>
    </w:p>
    <w:p w:rsidR="001A1B72" w:rsidRPr="001D7AF6" w:rsidRDefault="001A1B72" w:rsidP="005425CB">
      <w:pPr>
        <w:ind w:left="360"/>
        <w:jc w:val="both"/>
        <w:rPr>
          <w:rFonts w:ascii="Arial" w:hAnsi="Arial" w:cs="Arial"/>
        </w:rPr>
      </w:pPr>
    </w:p>
    <w:p w:rsidR="00BC083E" w:rsidRDefault="001A1B72" w:rsidP="00D0752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BC083E">
        <w:rPr>
          <w:rFonts w:ascii="Arial" w:hAnsi="Arial" w:cs="Arial"/>
        </w:rPr>
        <w:t xml:space="preserve">From his materials, Mr. Massiah seeks to argue that the provisions of the </w:t>
      </w:r>
      <w:r w:rsidRPr="00BC083E">
        <w:rPr>
          <w:rFonts w:ascii="Arial" w:hAnsi="Arial" w:cs="Arial"/>
          <w:i/>
        </w:rPr>
        <w:t>Justice of the Peace Act (JPA)</w:t>
      </w:r>
      <w:r w:rsidRPr="00BC083E">
        <w:rPr>
          <w:rFonts w:ascii="Arial" w:hAnsi="Arial" w:cs="Arial"/>
        </w:rPr>
        <w:t xml:space="preserve"> and the Procedures of the Justice of the Peace Review Council (Procedures) breach</w:t>
      </w:r>
      <w:r w:rsidR="00D400F6" w:rsidRPr="00BC083E">
        <w:rPr>
          <w:rFonts w:ascii="Arial" w:hAnsi="Arial" w:cs="Arial"/>
        </w:rPr>
        <w:t>ed</w:t>
      </w:r>
      <w:r w:rsidRPr="00BC083E">
        <w:rPr>
          <w:rFonts w:ascii="Arial" w:hAnsi="Arial" w:cs="Arial"/>
        </w:rPr>
        <w:t xml:space="preserve"> certain aspects of Mr. Massiah’s judicial independence when he was a justice of the peace. Further, Mr. Massiah wishes to argue issues surrounding the making of a complaint under the </w:t>
      </w:r>
      <w:r w:rsidRPr="00BC083E">
        <w:rPr>
          <w:rFonts w:ascii="Arial" w:hAnsi="Arial" w:cs="Arial"/>
          <w:i/>
        </w:rPr>
        <w:t>JPA</w:t>
      </w:r>
      <w:r w:rsidRPr="00BC083E">
        <w:rPr>
          <w:rFonts w:ascii="Arial" w:hAnsi="Arial" w:cs="Arial"/>
        </w:rPr>
        <w:t xml:space="preserve"> and/or the Procedures.</w:t>
      </w:r>
    </w:p>
    <w:p w:rsidR="00BC083E" w:rsidRDefault="00BC083E" w:rsidP="00BC083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p>
    <w:p w:rsidR="00BC083E" w:rsidRDefault="001A1B72" w:rsidP="00D0752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BC083E">
        <w:rPr>
          <w:rFonts w:ascii="Arial" w:hAnsi="Arial" w:cs="Arial"/>
        </w:rPr>
        <w:t>We respectfully remind Mr. Massiah that the Divisional Court has made its ruling which is now binding on the parties</w:t>
      </w:r>
      <w:r w:rsidR="00D400F6" w:rsidRPr="00BC083E">
        <w:rPr>
          <w:rFonts w:ascii="Arial" w:hAnsi="Arial" w:cs="Arial"/>
        </w:rPr>
        <w:t xml:space="preserve"> and this Panel</w:t>
      </w:r>
      <w:r w:rsidRPr="00BC083E">
        <w:rPr>
          <w:rFonts w:ascii="Arial" w:hAnsi="Arial" w:cs="Arial"/>
        </w:rPr>
        <w:t>. That Court dismissed his application in relation to all matters except for the narrow issue remitted for this Panel to reconsider</w:t>
      </w:r>
      <w:r w:rsidR="005425CB" w:rsidRPr="00BC083E">
        <w:rPr>
          <w:rFonts w:ascii="Arial" w:hAnsi="Arial" w:cs="Arial"/>
        </w:rPr>
        <w:t xml:space="preserve"> based on the analysis set out by the Court</w:t>
      </w:r>
      <w:r w:rsidRPr="00BC083E">
        <w:rPr>
          <w:rFonts w:ascii="Arial" w:hAnsi="Arial" w:cs="Arial"/>
        </w:rPr>
        <w:t>.</w:t>
      </w:r>
    </w:p>
    <w:p w:rsidR="00BC083E" w:rsidRPr="00BC083E" w:rsidRDefault="00BC083E" w:rsidP="00BC083E">
      <w:pPr>
        <w:pStyle w:val="ListParagraph"/>
        <w:rPr>
          <w:rFonts w:ascii="Arial" w:hAnsi="Arial" w:cs="Arial"/>
        </w:rPr>
      </w:pPr>
    </w:p>
    <w:p w:rsidR="001A1B72" w:rsidRPr="00BC083E" w:rsidRDefault="001A1B72" w:rsidP="00D0752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BC083E">
        <w:rPr>
          <w:rFonts w:ascii="Arial" w:hAnsi="Arial" w:cs="Arial"/>
        </w:rPr>
        <w:t xml:space="preserve">This Panel will not permit Mr. Massiah to re-litigate </w:t>
      </w:r>
      <w:r w:rsidR="005425CB" w:rsidRPr="00BC083E">
        <w:rPr>
          <w:rFonts w:ascii="Arial" w:hAnsi="Arial" w:cs="Arial"/>
        </w:rPr>
        <w:t xml:space="preserve">the hearing </w:t>
      </w:r>
      <w:r w:rsidRPr="00BC083E">
        <w:rPr>
          <w:rFonts w:ascii="Arial" w:hAnsi="Arial" w:cs="Arial"/>
        </w:rPr>
        <w:t xml:space="preserve">now. To allow otherwise would be for us to lend support to a collateral attack on the </w:t>
      </w:r>
      <w:r w:rsidR="003236D3" w:rsidRPr="00BC083E">
        <w:rPr>
          <w:rFonts w:ascii="Arial" w:hAnsi="Arial" w:cs="Arial"/>
        </w:rPr>
        <w:t xml:space="preserve">review </w:t>
      </w:r>
      <w:r w:rsidR="00A12487" w:rsidRPr="00BC083E">
        <w:rPr>
          <w:rFonts w:ascii="Arial" w:hAnsi="Arial" w:cs="Arial"/>
        </w:rPr>
        <w:t xml:space="preserve">court’s </w:t>
      </w:r>
      <w:r w:rsidR="003236D3" w:rsidRPr="00BC083E">
        <w:rPr>
          <w:rFonts w:ascii="Arial" w:hAnsi="Arial" w:cs="Arial"/>
        </w:rPr>
        <w:t xml:space="preserve">and </w:t>
      </w:r>
      <w:r w:rsidRPr="00BC083E">
        <w:rPr>
          <w:rFonts w:ascii="Arial" w:hAnsi="Arial" w:cs="Arial"/>
        </w:rPr>
        <w:t>appellate court`s rulings.</w:t>
      </w:r>
    </w:p>
    <w:p w:rsidR="001A1B72" w:rsidRPr="001D7AF6" w:rsidRDefault="001A1B72" w:rsidP="005425CB">
      <w:pPr>
        <w:pStyle w:val="ListParagraph"/>
        <w:jc w:val="both"/>
        <w:rPr>
          <w:rFonts w:ascii="Arial" w:hAnsi="Arial" w:cs="Arial"/>
        </w:rPr>
      </w:pPr>
    </w:p>
    <w:p w:rsidR="001A1B72" w:rsidRPr="00F96C76" w:rsidRDefault="001A1B72" w:rsidP="005425CB">
      <w:pPr>
        <w:jc w:val="both"/>
        <w:rPr>
          <w:rFonts w:ascii="Arial" w:hAnsi="Arial" w:cs="Arial"/>
          <w:b/>
        </w:rPr>
      </w:pPr>
      <w:r w:rsidRPr="00F96C76">
        <w:rPr>
          <w:rFonts w:ascii="Arial" w:hAnsi="Arial" w:cs="Arial"/>
          <w:b/>
        </w:rPr>
        <w:t>DECISION</w:t>
      </w:r>
    </w:p>
    <w:p w:rsidR="00F96C76" w:rsidRPr="001D7AF6" w:rsidRDefault="00F96C76" w:rsidP="005425CB">
      <w:pPr>
        <w:jc w:val="both"/>
        <w:rPr>
          <w:rFonts w:ascii="Arial" w:hAnsi="Arial" w:cs="Arial"/>
        </w:rPr>
      </w:pPr>
    </w:p>
    <w:p w:rsidR="008D1AD2" w:rsidRPr="008D1AD2" w:rsidRDefault="001A1B72" w:rsidP="00D0752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r w:rsidRPr="008D1AD2">
        <w:rPr>
          <w:rFonts w:ascii="Arial" w:hAnsi="Arial" w:cs="Arial"/>
        </w:rPr>
        <w:t>In conclusion, for the reasons cited above, this Hearing Panel declines to consider the Notice of Constitutional Question filed by Mr. Massiah on 16 February, 2017.</w:t>
      </w:r>
    </w:p>
    <w:p w:rsidR="008D1AD2" w:rsidRPr="008D1AD2" w:rsidRDefault="008D1AD2" w:rsidP="008D1A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p>
    <w:p w:rsidR="008D1AD2" w:rsidRPr="008D1AD2" w:rsidRDefault="008D1AD2" w:rsidP="008D1A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p>
    <w:p w:rsidR="00F96C76" w:rsidRPr="008D1AD2" w:rsidRDefault="004A2B4E" w:rsidP="008D1AD2">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r w:rsidRPr="008D1AD2">
        <w:rPr>
          <w:rFonts w:ascii="Arial"/>
        </w:rPr>
        <w:t>Dated:</w:t>
      </w:r>
      <w:r w:rsidRPr="008D1AD2">
        <w:rPr>
          <w:rFonts w:ascii="Arial"/>
        </w:rPr>
        <w:tab/>
      </w:r>
      <w:r w:rsidR="00F96C76" w:rsidRPr="008D1AD2">
        <w:rPr>
          <w:rFonts w:ascii="Arial"/>
        </w:rPr>
        <w:t>March 6, 2017</w:t>
      </w:r>
    </w:p>
    <w:p w:rsidR="003740A7" w:rsidRPr="00F82829" w:rsidRDefault="004A2B4E" w:rsidP="00D302F4">
      <w:pPr>
        <w:pStyle w:val="Body"/>
        <w:spacing w:after="480" w:line="276" w:lineRule="auto"/>
        <w:jc w:val="both"/>
        <w:rPr>
          <w:rFonts w:ascii="Arial" w:eastAsia="Arial" w:hAnsi="Arial" w:cs="Arial"/>
        </w:rPr>
      </w:pPr>
      <w:r w:rsidRPr="00F82829">
        <w:rPr>
          <w:rFonts w:ascii="Arial"/>
          <w:lang w:val="en-US"/>
        </w:rPr>
        <w:t>Hearing Panel:</w:t>
      </w:r>
      <w:r w:rsidRPr="00F82829">
        <w:rPr>
          <w:rFonts w:ascii="Arial"/>
          <w:lang w:val="en-US"/>
        </w:rPr>
        <w:tab/>
        <w:t>Justice of the Peace Michael Cuthbertson</w:t>
      </w:r>
    </w:p>
    <w:p w:rsidR="003740A7" w:rsidRDefault="004A2B4E" w:rsidP="00F96ECB">
      <w:pPr>
        <w:pStyle w:val="Body"/>
        <w:spacing w:after="200" w:line="276" w:lineRule="auto"/>
        <w:ind w:left="2160"/>
        <w:jc w:val="both"/>
      </w:pPr>
      <w:r w:rsidRPr="00F82829">
        <w:rPr>
          <w:rFonts w:ascii="Arial"/>
          <w:lang w:val="en-US"/>
        </w:rPr>
        <w:t>Ms. Leonore Foster, Community Member</w:t>
      </w:r>
      <w:r w:rsidR="00F96C76">
        <w:rPr>
          <w:rFonts w:ascii="Arial"/>
          <w:lang w:val="en-US"/>
        </w:rPr>
        <w:t xml:space="preserve"> </w:t>
      </w:r>
    </w:p>
    <w:sectPr w:rsidR="003740A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2B" w:rsidRDefault="00D0752B">
      <w:r>
        <w:separator/>
      </w:r>
    </w:p>
  </w:endnote>
  <w:endnote w:type="continuationSeparator" w:id="0">
    <w:p w:rsidR="00D0752B" w:rsidRDefault="00D0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02" w:rsidRDefault="00890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A7" w:rsidRDefault="004A2B4E">
    <w:pPr>
      <w:pStyle w:val="Footer"/>
      <w:tabs>
        <w:tab w:val="clear" w:pos="9360"/>
        <w:tab w:val="right" w:pos="8620"/>
      </w:tabs>
      <w:jc w:val="right"/>
    </w:pPr>
    <w:r>
      <w:fldChar w:fldCharType="begin"/>
    </w:r>
    <w:r>
      <w:instrText xml:space="preserve"> PAGE </w:instrText>
    </w:r>
    <w:r>
      <w:fldChar w:fldCharType="separate"/>
    </w:r>
    <w:r w:rsidR="007C67B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02" w:rsidRDefault="0089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2B" w:rsidRDefault="00D0752B">
      <w:r>
        <w:separator/>
      </w:r>
    </w:p>
  </w:footnote>
  <w:footnote w:type="continuationSeparator" w:id="0">
    <w:p w:rsidR="00D0752B" w:rsidRDefault="00D07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02" w:rsidRDefault="00890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02" w:rsidRDefault="00890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02" w:rsidRDefault="00890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5B8"/>
    <w:multiLevelType w:val="multilevel"/>
    <w:tmpl w:val="412A7B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3C2517A"/>
    <w:multiLevelType w:val="hybridMultilevel"/>
    <w:tmpl w:val="521C5C4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5B0916"/>
    <w:multiLevelType w:val="multilevel"/>
    <w:tmpl w:val="D64A4B54"/>
    <w:styleLink w:val="List21"/>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3">
    <w:nsid w:val="0B475C1E"/>
    <w:multiLevelType w:val="multilevel"/>
    <w:tmpl w:val="83DCEE78"/>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4">
    <w:nsid w:val="0FE44735"/>
    <w:multiLevelType w:val="multilevel"/>
    <w:tmpl w:val="0A78EE34"/>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5">
    <w:nsid w:val="1BD97C2F"/>
    <w:multiLevelType w:val="multilevel"/>
    <w:tmpl w:val="CD76C610"/>
    <w:lvl w:ilvl="0">
      <w:start w:val="1"/>
      <w:numFmt w:val="bullet"/>
      <w:lvlText w:val=""/>
      <w:lvlJc w:val="left"/>
      <w:rPr>
        <w:rFonts w:ascii="Symbol" w:hAnsi="Symbol" w:hint="default"/>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6">
    <w:nsid w:val="1D39398E"/>
    <w:multiLevelType w:val="multilevel"/>
    <w:tmpl w:val="5808B1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256A0FD3"/>
    <w:multiLevelType w:val="hybridMultilevel"/>
    <w:tmpl w:val="065EA988"/>
    <w:lvl w:ilvl="0" w:tplc="2C0C3F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7C0D33"/>
    <w:multiLevelType w:val="multilevel"/>
    <w:tmpl w:val="093A3D7A"/>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9">
    <w:nsid w:val="418E26E1"/>
    <w:multiLevelType w:val="multilevel"/>
    <w:tmpl w:val="730E6E7A"/>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4B0F3416"/>
    <w:multiLevelType w:val="multilevel"/>
    <w:tmpl w:val="D732276A"/>
    <w:styleLink w:val="List0"/>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1">
    <w:nsid w:val="4E49076A"/>
    <w:multiLevelType w:val="multilevel"/>
    <w:tmpl w:val="2F705D98"/>
    <w:styleLink w:val="List31"/>
    <w:lvl w:ilvl="0">
      <w:start w:val="1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66214A5E"/>
    <w:multiLevelType w:val="multilevel"/>
    <w:tmpl w:val="619C0376"/>
    <w:styleLink w:val="List1"/>
    <w:lvl w:ilvl="0">
      <w:start w:val="8"/>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3">
    <w:nsid w:val="672B181E"/>
    <w:multiLevelType w:val="multilevel"/>
    <w:tmpl w:val="D5CA590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6CC21244"/>
    <w:multiLevelType w:val="hybridMultilevel"/>
    <w:tmpl w:val="AD4CDBB6"/>
    <w:lvl w:ilvl="0" w:tplc="ACDAB38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13"/>
  </w:num>
  <w:num w:numId="3">
    <w:abstractNumId w:val="10"/>
  </w:num>
  <w:num w:numId="4">
    <w:abstractNumId w:val="8"/>
  </w:num>
  <w:num w:numId="5">
    <w:abstractNumId w:val="0"/>
  </w:num>
  <w:num w:numId="6">
    <w:abstractNumId w:val="12"/>
  </w:num>
  <w:num w:numId="7">
    <w:abstractNumId w:val="3"/>
  </w:num>
  <w:num w:numId="8">
    <w:abstractNumId w:val="6"/>
  </w:num>
  <w:num w:numId="9">
    <w:abstractNumId w:val="2"/>
    <w:lvlOverride w:ilvl="0">
      <w:lvl w:ilvl="0">
        <w:start w:val="1"/>
        <w:numFmt w:val="decimal"/>
        <w:lvlText w:val="%1."/>
        <w:lvlJc w:val="left"/>
        <w:rPr>
          <w:rFonts w:ascii="Arial" w:hAnsi="Arial" w:cs="Arial" w:hint="default"/>
        </w:rPr>
      </w:lvl>
    </w:lvlOverride>
  </w:num>
  <w:num w:numId="10">
    <w:abstractNumId w:val="9"/>
  </w:num>
  <w:num w:numId="11">
    <w:abstractNumId w:val="11"/>
  </w:num>
  <w:num w:numId="12">
    <w:abstractNumId w:val="7"/>
  </w:num>
  <w:num w:numId="13">
    <w:abstractNumId w:val="5"/>
  </w:num>
  <w:num w:numId="14">
    <w:abstractNumId w:val="1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A7"/>
    <w:rsid w:val="000951A2"/>
    <w:rsid w:val="000B266B"/>
    <w:rsid w:val="00197034"/>
    <w:rsid w:val="001A1B72"/>
    <w:rsid w:val="002E027F"/>
    <w:rsid w:val="002E19A0"/>
    <w:rsid w:val="002E6802"/>
    <w:rsid w:val="003236D3"/>
    <w:rsid w:val="003359E6"/>
    <w:rsid w:val="003721F4"/>
    <w:rsid w:val="003740A7"/>
    <w:rsid w:val="003B31FA"/>
    <w:rsid w:val="00482DC2"/>
    <w:rsid w:val="00494A31"/>
    <w:rsid w:val="004A2B4E"/>
    <w:rsid w:val="005425CB"/>
    <w:rsid w:val="005A3B08"/>
    <w:rsid w:val="00643CC9"/>
    <w:rsid w:val="00655547"/>
    <w:rsid w:val="007C67B7"/>
    <w:rsid w:val="00836012"/>
    <w:rsid w:val="00890302"/>
    <w:rsid w:val="008D1AD2"/>
    <w:rsid w:val="008D204F"/>
    <w:rsid w:val="008D3DC9"/>
    <w:rsid w:val="008E38C5"/>
    <w:rsid w:val="00945AD5"/>
    <w:rsid w:val="00A12487"/>
    <w:rsid w:val="00A832EB"/>
    <w:rsid w:val="00AB04EE"/>
    <w:rsid w:val="00AC715C"/>
    <w:rsid w:val="00AE4FC2"/>
    <w:rsid w:val="00B23B46"/>
    <w:rsid w:val="00B30549"/>
    <w:rsid w:val="00BC083E"/>
    <w:rsid w:val="00BC5A88"/>
    <w:rsid w:val="00C12F85"/>
    <w:rsid w:val="00C222FF"/>
    <w:rsid w:val="00CD6F1B"/>
    <w:rsid w:val="00D0752B"/>
    <w:rsid w:val="00D302F4"/>
    <w:rsid w:val="00D400F6"/>
    <w:rsid w:val="00D72D98"/>
    <w:rsid w:val="00E408E2"/>
    <w:rsid w:val="00E8685D"/>
    <w:rsid w:val="00EC525F"/>
    <w:rsid w:val="00EF4DA2"/>
    <w:rsid w:val="00F82829"/>
    <w:rsid w:val="00F96C76"/>
    <w:rsid w:val="00F96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hAnsi="Arial Unicode MS" w:cs="Arial Unicode MS"/>
      <w:color w:val="000000"/>
      <w:sz w:val="24"/>
      <w:szCs w:val="24"/>
      <w:u w:color="000000"/>
      <w:bdr w:val="nil"/>
      <w:lang w:val="en-US"/>
    </w:rPr>
  </w:style>
  <w:style w:type="paragraph" w:customStyle="1" w:styleId="Body">
    <w:name w:val="Body"/>
    <w:pPr>
      <w:pBdr>
        <w:top w:val="nil"/>
        <w:left w:val="nil"/>
        <w:bottom w:val="nil"/>
        <w:right w:val="nil"/>
        <w:between w:val="nil"/>
        <w:bar w:val="nil"/>
      </w:pBdr>
    </w:pPr>
    <w:rPr>
      <w:rFonts w:hAnsi="Arial Unicode MS" w:cs="Arial Unicode MS"/>
      <w:color w:val="000000"/>
      <w:sz w:val="24"/>
      <w:szCs w:val="24"/>
      <w:u w:color="000000"/>
      <w:bdr w:val="nil"/>
    </w:rPr>
  </w:style>
  <w:style w:type="paragraph" w:customStyle="1" w:styleId="BodyA">
    <w:name w:val="Body A"/>
    <w:pPr>
      <w:pBdr>
        <w:top w:val="nil"/>
        <w:left w:val="nil"/>
        <w:bottom w:val="nil"/>
        <w:right w:val="nil"/>
        <w:between w:val="nil"/>
        <w:bar w:val="nil"/>
      </w:pBdr>
    </w:pPr>
    <w:rPr>
      <w:rFonts w:hAnsi="Arial Unicode MS" w:cs="Arial Unicode MS"/>
      <w:color w:val="000000"/>
      <w:sz w:val="24"/>
      <w:szCs w:val="24"/>
      <w:u w:color="000000"/>
      <w:bdr w:val="nil"/>
      <w:lang w:val="en-US"/>
    </w:rPr>
  </w:style>
  <w:style w:type="paragraph" w:styleId="PlainText">
    <w:name w:val="Plain Text"/>
    <w:pPr>
      <w:pBdr>
        <w:top w:val="nil"/>
        <w:left w:val="nil"/>
        <w:bottom w:val="nil"/>
        <w:right w:val="nil"/>
        <w:between w:val="nil"/>
        <w:bar w:val="nil"/>
      </w:pBdr>
    </w:pPr>
    <w:rPr>
      <w:rFonts w:ascii="Calibri" w:hAnsi="Arial Unicode MS" w:cs="Arial Unicode MS"/>
      <w:color w:val="000000"/>
      <w:sz w:val="22"/>
      <w:szCs w:val="22"/>
      <w:u w:color="000000"/>
      <w:bdr w:val="nil"/>
      <w:lang w:val="de-DE"/>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BodyAA">
    <w:name w:val="Body A A"/>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numbering" w:customStyle="1" w:styleId="List21">
    <w:name w:val="List 21"/>
    <w:basedOn w:val="ImportedStyle3"/>
    <w:pPr>
      <w:numPr>
        <w:numId w:val="15"/>
      </w:numPr>
    </w:pPr>
  </w:style>
  <w:style w:type="numbering" w:customStyle="1" w:styleId="ImportedStyle3">
    <w:name w:val="Imported Style 3"/>
  </w:style>
  <w:style w:type="paragraph" w:styleId="ListParagraph">
    <w:name w:val="List Paragraph"/>
    <w:uiPriority w:val="34"/>
    <w:qFormat/>
    <w:pPr>
      <w:pBdr>
        <w:top w:val="nil"/>
        <w:left w:val="nil"/>
        <w:bottom w:val="nil"/>
        <w:right w:val="nil"/>
        <w:between w:val="nil"/>
        <w:bar w:val="nil"/>
      </w:pBdr>
      <w:ind w:left="720"/>
    </w:pPr>
    <w:rPr>
      <w:rFonts w:eastAsia="Times New Roman"/>
      <w:color w:val="000000"/>
      <w:sz w:val="24"/>
      <w:szCs w:val="24"/>
      <w:u w:color="000000"/>
      <w:bdr w:val="nil"/>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1">
    <w:name w:val="List 31"/>
    <w:basedOn w:val="ImportedStyle3"/>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link w:val="Header"/>
    <w:uiPriority w:val="99"/>
    <w:rsid w:val="00945AD5"/>
    <w:rPr>
      <w:sz w:val="24"/>
      <w:szCs w:val="24"/>
      <w:lang w:val="en-US" w:eastAsia="en-US"/>
    </w:rPr>
  </w:style>
  <w:style w:type="character" w:customStyle="1" w:styleId="bold1">
    <w:name w:val="bold1"/>
    <w:rsid w:val="001A1B72"/>
    <w:rPr>
      <w:b/>
      <w:bCs/>
    </w:rPr>
  </w:style>
  <w:style w:type="character" w:customStyle="1" w:styleId="italic1">
    <w:name w:val="italic1"/>
    <w:rsid w:val="001A1B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hAnsi="Arial Unicode MS" w:cs="Arial Unicode MS"/>
      <w:color w:val="000000"/>
      <w:sz w:val="24"/>
      <w:szCs w:val="24"/>
      <w:u w:color="000000"/>
      <w:bdr w:val="nil"/>
      <w:lang w:val="en-US"/>
    </w:rPr>
  </w:style>
  <w:style w:type="paragraph" w:customStyle="1" w:styleId="Body">
    <w:name w:val="Body"/>
    <w:pPr>
      <w:pBdr>
        <w:top w:val="nil"/>
        <w:left w:val="nil"/>
        <w:bottom w:val="nil"/>
        <w:right w:val="nil"/>
        <w:between w:val="nil"/>
        <w:bar w:val="nil"/>
      </w:pBdr>
    </w:pPr>
    <w:rPr>
      <w:rFonts w:hAnsi="Arial Unicode MS" w:cs="Arial Unicode MS"/>
      <w:color w:val="000000"/>
      <w:sz w:val="24"/>
      <w:szCs w:val="24"/>
      <w:u w:color="000000"/>
      <w:bdr w:val="nil"/>
    </w:rPr>
  </w:style>
  <w:style w:type="paragraph" w:customStyle="1" w:styleId="BodyA">
    <w:name w:val="Body A"/>
    <w:pPr>
      <w:pBdr>
        <w:top w:val="nil"/>
        <w:left w:val="nil"/>
        <w:bottom w:val="nil"/>
        <w:right w:val="nil"/>
        <w:between w:val="nil"/>
        <w:bar w:val="nil"/>
      </w:pBdr>
    </w:pPr>
    <w:rPr>
      <w:rFonts w:hAnsi="Arial Unicode MS" w:cs="Arial Unicode MS"/>
      <w:color w:val="000000"/>
      <w:sz w:val="24"/>
      <w:szCs w:val="24"/>
      <w:u w:color="000000"/>
      <w:bdr w:val="nil"/>
      <w:lang w:val="en-US"/>
    </w:rPr>
  </w:style>
  <w:style w:type="paragraph" w:styleId="PlainText">
    <w:name w:val="Plain Text"/>
    <w:pPr>
      <w:pBdr>
        <w:top w:val="nil"/>
        <w:left w:val="nil"/>
        <w:bottom w:val="nil"/>
        <w:right w:val="nil"/>
        <w:between w:val="nil"/>
        <w:bar w:val="nil"/>
      </w:pBdr>
    </w:pPr>
    <w:rPr>
      <w:rFonts w:ascii="Calibri" w:hAnsi="Arial Unicode MS" w:cs="Arial Unicode MS"/>
      <w:color w:val="000000"/>
      <w:sz w:val="22"/>
      <w:szCs w:val="22"/>
      <w:u w:color="000000"/>
      <w:bdr w:val="nil"/>
      <w:lang w:val="de-DE"/>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BodyAA">
    <w:name w:val="Body A A"/>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numbering" w:customStyle="1" w:styleId="List21">
    <w:name w:val="List 21"/>
    <w:basedOn w:val="ImportedStyle3"/>
    <w:pPr>
      <w:numPr>
        <w:numId w:val="15"/>
      </w:numPr>
    </w:pPr>
  </w:style>
  <w:style w:type="numbering" w:customStyle="1" w:styleId="ImportedStyle3">
    <w:name w:val="Imported Style 3"/>
  </w:style>
  <w:style w:type="paragraph" w:styleId="ListParagraph">
    <w:name w:val="List Paragraph"/>
    <w:uiPriority w:val="34"/>
    <w:qFormat/>
    <w:pPr>
      <w:pBdr>
        <w:top w:val="nil"/>
        <w:left w:val="nil"/>
        <w:bottom w:val="nil"/>
        <w:right w:val="nil"/>
        <w:between w:val="nil"/>
        <w:bar w:val="nil"/>
      </w:pBdr>
      <w:ind w:left="720"/>
    </w:pPr>
    <w:rPr>
      <w:rFonts w:eastAsia="Times New Roman"/>
      <w:color w:val="000000"/>
      <w:sz w:val="24"/>
      <w:szCs w:val="24"/>
      <w:u w:color="000000"/>
      <w:bdr w:val="nil"/>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1">
    <w:name w:val="List 31"/>
    <w:basedOn w:val="ImportedStyle3"/>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link w:val="Header"/>
    <w:uiPriority w:val="99"/>
    <w:rsid w:val="00945AD5"/>
    <w:rPr>
      <w:sz w:val="24"/>
      <w:szCs w:val="24"/>
      <w:lang w:val="en-US" w:eastAsia="en-US"/>
    </w:rPr>
  </w:style>
  <w:style w:type="character" w:customStyle="1" w:styleId="bold1">
    <w:name w:val="bold1"/>
    <w:rsid w:val="001A1B72"/>
    <w:rPr>
      <w:b/>
      <w:bCs/>
    </w:rPr>
  </w:style>
  <w:style w:type="character" w:customStyle="1" w:styleId="italic1">
    <w:name w:val="italic1"/>
    <w:rsid w:val="001A1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641E-320F-4AED-B83C-819A6912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2017-04-24T18:35:00Z</dcterms:created>
  <dcterms:modified xsi:type="dcterms:W3CDTF">2017-04-24T18:35:00Z</dcterms:modified>
</cp:coreProperties>
</file>