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1A" w:rsidRPr="000E37D6" w:rsidRDefault="00650655" w:rsidP="00A3141A">
      <w:pPr>
        <w:spacing w:after="960"/>
        <w:ind w:right="-180"/>
        <w:jc w:val="center"/>
        <w:rPr>
          <w:rFonts w:ascii="Arial" w:hAnsi="Arial" w:cs="Arial"/>
          <w:b/>
          <w:noProof/>
          <w:sz w:val="36"/>
          <w:szCs w:val="36"/>
          <w:lang w:val="fr-CA"/>
        </w:rPr>
      </w:pPr>
      <w:bookmarkStart w:id="0" w:name="_GoBack"/>
      <w:bookmarkEnd w:id="0"/>
      <w:r w:rsidRPr="000E37D6">
        <w:rPr>
          <w:rFonts w:ascii="Arial" w:hAnsi="Arial" w:cs="Arial"/>
          <w:b/>
          <w:noProof/>
          <w:sz w:val="36"/>
          <w:szCs w:val="36"/>
          <w:lang w:val="fr-CA"/>
        </w:rPr>
        <w:t>Conseil d’évaluation des juges de paix</w:t>
      </w:r>
    </w:p>
    <w:p w:rsidR="00650655" w:rsidRPr="000E37D6" w:rsidRDefault="00650655" w:rsidP="00650655">
      <w:pPr>
        <w:pStyle w:val="BodyA"/>
        <w:jc w:val="center"/>
        <w:rPr>
          <w:rFonts w:ascii="Arial" w:hAnsi="Arial" w:cs="Arial"/>
          <w:b/>
          <w:bCs/>
          <w:i/>
          <w:noProof/>
          <w:sz w:val="32"/>
          <w:szCs w:val="32"/>
          <w:lang w:val="fr-CA"/>
        </w:rPr>
      </w:pPr>
      <w:r w:rsidRPr="000E37D6">
        <w:rPr>
          <w:rFonts w:ascii="Arial" w:hAnsi="Arial" w:cs="Arial"/>
          <w:b/>
          <w:bCs/>
          <w:noProof/>
          <w:sz w:val="32"/>
          <w:szCs w:val="32"/>
          <w:lang w:val="fr-CA"/>
        </w:rPr>
        <w:t xml:space="preserve">DANS L'AFFAIRE D'UNE AUDIENCE TENUE EN VERTU DE L'ARTICLE 11.1 DE LA </w:t>
      </w:r>
      <w:r w:rsidRPr="000E37D6">
        <w:rPr>
          <w:rFonts w:ascii="Arial" w:hAnsi="Arial" w:cs="Arial"/>
          <w:b/>
          <w:bCs/>
          <w:i/>
          <w:noProof/>
          <w:sz w:val="32"/>
          <w:szCs w:val="32"/>
          <w:lang w:val="fr-CA"/>
        </w:rPr>
        <w:t>LOI SUR LES JUGES DE PAIX,</w:t>
      </w:r>
    </w:p>
    <w:p w:rsidR="00650655" w:rsidRPr="000E37D6" w:rsidRDefault="00650655" w:rsidP="00650655">
      <w:pPr>
        <w:pStyle w:val="BodyA"/>
        <w:jc w:val="center"/>
        <w:rPr>
          <w:rFonts w:ascii="Arial" w:hAnsi="Arial" w:cs="Arial"/>
          <w:b/>
          <w:bCs/>
          <w:i/>
          <w:noProof/>
          <w:sz w:val="32"/>
          <w:szCs w:val="32"/>
          <w:lang w:val="fr-CA"/>
        </w:rPr>
      </w:pPr>
      <w:r w:rsidRPr="000E37D6">
        <w:rPr>
          <w:rFonts w:ascii="Arial" w:hAnsi="Arial" w:cs="Arial"/>
          <w:b/>
          <w:bCs/>
          <w:noProof/>
          <w:sz w:val="32"/>
          <w:szCs w:val="32"/>
          <w:lang w:val="fr-CA"/>
        </w:rPr>
        <w:t>L.R.O. 1990, chap. J.4, dans sa version modifiée</w:t>
      </w:r>
    </w:p>
    <w:p w:rsidR="00650655" w:rsidRPr="000E37D6" w:rsidRDefault="00650655" w:rsidP="00650655">
      <w:pPr>
        <w:pStyle w:val="BodyA"/>
        <w:spacing w:before="100" w:beforeAutospacing="1" w:after="100" w:afterAutospacing="1"/>
        <w:rPr>
          <w:rFonts w:ascii="Arial"/>
          <w:b/>
          <w:bCs/>
          <w:i/>
          <w:noProof/>
          <w:sz w:val="28"/>
          <w:szCs w:val="28"/>
          <w:lang w:val="fr-CA"/>
        </w:rPr>
      </w:pPr>
    </w:p>
    <w:p w:rsidR="00650655" w:rsidRPr="000E37D6" w:rsidRDefault="00650655" w:rsidP="00650655">
      <w:pPr>
        <w:pStyle w:val="BodyA"/>
        <w:spacing w:before="360"/>
        <w:jc w:val="center"/>
        <w:outlineLvl w:val="0"/>
        <w:rPr>
          <w:rFonts w:ascii="Arial"/>
          <w:b/>
          <w:bCs/>
          <w:noProof/>
          <w:sz w:val="32"/>
          <w:szCs w:val="32"/>
          <w:lang w:val="fr-CA"/>
        </w:rPr>
      </w:pPr>
      <w:r w:rsidRPr="000E37D6">
        <w:rPr>
          <w:rFonts w:ascii="Arial"/>
          <w:b/>
          <w:bCs/>
          <w:noProof/>
          <w:sz w:val="32"/>
          <w:szCs w:val="32"/>
          <w:lang w:val="fr-CA"/>
        </w:rPr>
        <w:t>En ce qui concerne une plainte au sujet de la conduite</w:t>
      </w:r>
    </w:p>
    <w:p w:rsidR="00650655" w:rsidRPr="000E37D6" w:rsidRDefault="00650655" w:rsidP="00650655">
      <w:pPr>
        <w:pStyle w:val="BodyA"/>
        <w:spacing w:after="840"/>
        <w:jc w:val="center"/>
        <w:rPr>
          <w:rFonts w:ascii="Arial" w:eastAsia="Arial" w:hAnsi="Arial" w:cs="Arial"/>
          <w:b/>
          <w:bCs/>
          <w:noProof/>
          <w:sz w:val="32"/>
          <w:szCs w:val="32"/>
          <w:lang w:val="fr-CA"/>
        </w:rPr>
      </w:pPr>
      <w:r w:rsidRPr="000E37D6">
        <w:rPr>
          <w:rFonts w:ascii="Arial"/>
          <w:b/>
          <w:bCs/>
          <w:noProof/>
          <w:sz w:val="32"/>
          <w:szCs w:val="32"/>
          <w:lang w:val="fr-CA"/>
        </w:rPr>
        <w:t xml:space="preserve">  du juge de paix Tom Foulds</w:t>
      </w:r>
    </w:p>
    <w:p w:rsidR="00650655" w:rsidRPr="000E37D6" w:rsidRDefault="00650655" w:rsidP="00650655">
      <w:pPr>
        <w:tabs>
          <w:tab w:val="left" w:pos="1134"/>
        </w:tabs>
        <w:spacing w:before="240"/>
        <w:ind w:left="1134" w:hanging="1080"/>
        <w:rPr>
          <w:rFonts w:ascii="Arial" w:hAnsi="Arial" w:cs="Arial"/>
          <w:noProof/>
          <w:lang w:val="fr-CA"/>
        </w:rPr>
      </w:pPr>
      <w:r w:rsidRPr="000E37D6">
        <w:rPr>
          <w:rFonts w:ascii="Arial" w:hAnsi="Arial" w:cs="Arial"/>
          <w:b/>
          <w:noProof/>
          <w:lang w:val="fr-CA"/>
        </w:rPr>
        <w:t>Devant :</w:t>
      </w:r>
      <w:r w:rsidRPr="000E37D6">
        <w:rPr>
          <w:rFonts w:ascii="Arial" w:hAnsi="Arial" w:cs="Arial"/>
          <w:noProof/>
          <w:lang w:val="fr-CA"/>
        </w:rPr>
        <w:tab/>
        <w:t>Le juge Peter Tetley, président</w:t>
      </w:r>
    </w:p>
    <w:p w:rsidR="00650655" w:rsidRPr="000E37D6" w:rsidRDefault="00650655" w:rsidP="00650655">
      <w:pPr>
        <w:tabs>
          <w:tab w:val="left" w:pos="1134"/>
        </w:tabs>
        <w:spacing w:before="240"/>
        <w:ind w:left="1134" w:hanging="1080"/>
        <w:rPr>
          <w:rFonts w:ascii="Arial" w:hAnsi="Arial" w:cs="Arial"/>
          <w:noProof/>
          <w:lang w:val="fr-CA"/>
        </w:rPr>
      </w:pPr>
      <w:r w:rsidRPr="000E37D6">
        <w:rPr>
          <w:rFonts w:ascii="Arial" w:hAnsi="Arial" w:cs="Arial"/>
          <w:noProof/>
          <w:lang w:val="fr-CA"/>
        </w:rPr>
        <w:tab/>
        <w:t>La juge de paix Monique Séguin</w:t>
      </w:r>
    </w:p>
    <w:p w:rsidR="001423F7" w:rsidRPr="000E37D6" w:rsidRDefault="00650655" w:rsidP="00650655">
      <w:pPr>
        <w:tabs>
          <w:tab w:val="left" w:pos="1134"/>
        </w:tabs>
        <w:spacing w:before="240"/>
        <w:ind w:left="1134" w:hanging="1080"/>
        <w:rPr>
          <w:rFonts w:ascii="Arial" w:hAnsi="Arial" w:cs="Arial"/>
          <w:noProof/>
          <w:lang w:val="fr-CA"/>
        </w:rPr>
      </w:pPr>
      <w:r w:rsidRPr="000E37D6">
        <w:rPr>
          <w:rFonts w:ascii="Arial" w:hAnsi="Arial" w:cs="Arial"/>
          <w:noProof/>
          <w:lang w:val="fr-CA"/>
        </w:rPr>
        <w:tab/>
        <w:t>Madame Jenny Gumbs, membre du public</w:t>
      </w:r>
    </w:p>
    <w:p w:rsidR="001423F7" w:rsidRPr="000E37D6" w:rsidRDefault="00650655" w:rsidP="00AD157A">
      <w:pPr>
        <w:tabs>
          <w:tab w:val="left" w:pos="1134"/>
        </w:tabs>
        <w:spacing w:before="720" w:after="1440"/>
        <w:ind w:left="1138" w:right="-180"/>
        <w:rPr>
          <w:rFonts w:ascii="Arial" w:hAnsi="Arial" w:cs="Arial"/>
          <w:b/>
          <w:noProof/>
          <w:sz w:val="28"/>
          <w:szCs w:val="28"/>
          <w:lang w:val="fr-CA"/>
        </w:rPr>
      </w:pPr>
      <w:r w:rsidRPr="000E37D6">
        <w:rPr>
          <w:rFonts w:ascii="Arial" w:hAnsi="Arial" w:cs="Arial"/>
          <w:b/>
          <w:noProof/>
          <w:sz w:val="28"/>
          <w:szCs w:val="28"/>
          <w:lang w:val="fr-CA"/>
        </w:rPr>
        <w:t>Comité d'audition du Conseil d'évaluation des juges de paix</w:t>
      </w:r>
    </w:p>
    <w:p w:rsidR="005F7F37" w:rsidRPr="000E37D6" w:rsidRDefault="00650655" w:rsidP="005F7F37">
      <w:pPr>
        <w:pStyle w:val="CentredEntry"/>
        <w:rPr>
          <w:noProof/>
          <w:lang w:val="fr-CA"/>
        </w:rPr>
      </w:pPr>
      <w:r w:rsidRPr="000E37D6">
        <w:rPr>
          <w:noProof/>
          <w:lang w:val="fr-CA"/>
        </w:rPr>
        <w:t>MOTIFS SUPPLÉMENTAIRES</w:t>
      </w:r>
      <w:r w:rsidR="005F7F37" w:rsidRPr="000E37D6">
        <w:rPr>
          <w:noProof/>
          <w:lang w:val="fr-CA"/>
        </w:rPr>
        <w:t xml:space="preserve"> </w:t>
      </w:r>
      <w:r w:rsidRPr="000E37D6">
        <w:rPr>
          <w:noProof/>
          <w:lang w:val="fr-CA"/>
        </w:rPr>
        <w:t>DE LA DÉCISION PROVISOIRE</w:t>
      </w:r>
    </w:p>
    <w:p w:rsidR="001423F7" w:rsidRPr="0038132C" w:rsidRDefault="00650655" w:rsidP="00AD157A">
      <w:pPr>
        <w:spacing w:before="960"/>
        <w:ind w:left="2160" w:right="-180" w:hanging="2160"/>
        <w:rPr>
          <w:rFonts w:ascii="Arial" w:hAnsi="Arial" w:cs="Arial"/>
          <w:noProof/>
        </w:rPr>
      </w:pPr>
      <w:r w:rsidRPr="0038132C">
        <w:rPr>
          <w:rFonts w:ascii="Arial" w:hAnsi="Arial" w:cs="Arial"/>
          <w:b/>
          <w:noProof/>
        </w:rPr>
        <w:t xml:space="preserve">Avocats </w:t>
      </w:r>
      <w:r w:rsidR="001423F7" w:rsidRPr="0038132C">
        <w:rPr>
          <w:rFonts w:ascii="Arial" w:hAnsi="Arial" w:cs="Arial"/>
          <w:b/>
          <w:noProof/>
        </w:rPr>
        <w:t>:</w:t>
      </w:r>
    </w:p>
    <w:p w:rsidR="00FB1593" w:rsidRPr="0038132C" w:rsidRDefault="008835BA" w:rsidP="00AD157A">
      <w:pPr>
        <w:tabs>
          <w:tab w:val="left" w:pos="4230"/>
        </w:tabs>
        <w:spacing w:before="240"/>
        <w:ind w:left="2160" w:right="-180" w:hanging="2160"/>
        <w:rPr>
          <w:rFonts w:ascii="Arial" w:hAnsi="Arial" w:cs="Arial"/>
          <w:noProof/>
        </w:rPr>
      </w:pPr>
      <w:r w:rsidRPr="0038132C">
        <w:rPr>
          <w:rFonts w:ascii="Arial" w:hAnsi="Arial" w:cs="Arial"/>
          <w:noProof/>
        </w:rPr>
        <w:t xml:space="preserve">Scott </w:t>
      </w:r>
      <w:r w:rsidR="0020738F" w:rsidRPr="0038132C">
        <w:rPr>
          <w:rFonts w:ascii="Arial" w:hAnsi="Arial" w:cs="Arial"/>
          <w:noProof/>
        </w:rPr>
        <w:t xml:space="preserve">K. </w:t>
      </w:r>
      <w:r w:rsidRPr="0038132C">
        <w:rPr>
          <w:rFonts w:ascii="Arial" w:hAnsi="Arial" w:cs="Arial"/>
          <w:noProof/>
        </w:rPr>
        <w:t>Fenton</w:t>
      </w:r>
      <w:r w:rsidR="00A221E5" w:rsidRPr="0038132C">
        <w:rPr>
          <w:rFonts w:ascii="Arial" w:hAnsi="Arial" w:cs="Arial"/>
          <w:noProof/>
        </w:rPr>
        <w:tab/>
      </w:r>
      <w:r w:rsidR="00A221E5" w:rsidRPr="0038132C">
        <w:rPr>
          <w:rFonts w:ascii="Arial" w:hAnsi="Arial" w:cs="Arial"/>
          <w:noProof/>
        </w:rPr>
        <w:tab/>
      </w:r>
      <w:r w:rsidRPr="0038132C">
        <w:rPr>
          <w:rFonts w:ascii="Arial" w:hAnsi="Arial" w:cs="Arial"/>
          <w:noProof/>
        </w:rPr>
        <w:t xml:space="preserve">Mark </w:t>
      </w:r>
      <w:r w:rsidR="0020738F" w:rsidRPr="0038132C">
        <w:rPr>
          <w:rFonts w:ascii="Arial" w:hAnsi="Arial" w:cs="Arial"/>
          <w:noProof/>
        </w:rPr>
        <w:t xml:space="preserve">J. </w:t>
      </w:r>
      <w:r w:rsidRPr="0038132C">
        <w:rPr>
          <w:rFonts w:ascii="Arial" w:hAnsi="Arial" w:cs="Arial"/>
          <w:noProof/>
        </w:rPr>
        <w:t>Sandler</w:t>
      </w:r>
    </w:p>
    <w:p w:rsidR="005F7F37" w:rsidRPr="0038132C" w:rsidRDefault="00650655" w:rsidP="00AD157A">
      <w:pPr>
        <w:tabs>
          <w:tab w:val="left" w:pos="4230"/>
        </w:tabs>
        <w:ind w:left="4678" w:right="-180" w:hanging="4678"/>
        <w:rPr>
          <w:rFonts w:ascii="Arial" w:hAnsi="Arial" w:cs="Arial"/>
          <w:noProof/>
        </w:rPr>
      </w:pPr>
      <w:r w:rsidRPr="0038132C">
        <w:rPr>
          <w:rFonts w:ascii="Arial" w:hAnsi="Arial" w:cs="Arial"/>
          <w:noProof/>
        </w:rPr>
        <w:t>Amy Ohler</w:t>
      </w:r>
      <w:r w:rsidRPr="0038132C">
        <w:rPr>
          <w:rFonts w:ascii="Arial" w:hAnsi="Arial" w:cs="Arial"/>
          <w:noProof/>
        </w:rPr>
        <w:tab/>
      </w:r>
      <w:r w:rsidR="005F7F37" w:rsidRPr="0038132C">
        <w:rPr>
          <w:rFonts w:ascii="Arial" w:hAnsi="Arial" w:cs="Arial"/>
          <w:noProof/>
        </w:rPr>
        <w:t>Amanda Ross</w:t>
      </w:r>
      <w:r w:rsidR="005F7F37" w:rsidRPr="0038132C">
        <w:rPr>
          <w:rFonts w:ascii="Arial" w:hAnsi="Arial" w:cs="Arial"/>
          <w:noProof/>
        </w:rPr>
        <w:tab/>
      </w:r>
      <w:r w:rsidR="005F7F37" w:rsidRPr="0038132C">
        <w:rPr>
          <w:rFonts w:ascii="Arial" w:hAnsi="Arial" w:cs="Arial"/>
          <w:noProof/>
        </w:rPr>
        <w:tab/>
      </w:r>
    </w:p>
    <w:p w:rsidR="001423F7" w:rsidRPr="0038132C" w:rsidRDefault="0020738F" w:rsidP="00AD157A">
      <w:pPr>
        <w:tabs>
          <w:tab w:val="left" w:pos="4230"/>
        </w:tabs>
        <w:ind w:left="4678" w:right="-180" w:hanging="4678"/>
        <w:rPr>
          <w:rFonts w:ascii="Arial" w:hAnsi="Arial" w:cs="Arial"/>
          <w:noProof/>
        </w:rPr>
      </w:pPr>
      <w:r w:rsidRPr="0038132C">
        <w:rPr>
          <w:rFonts w:ascii="Arial" w:hAnsi="Arial" w:cs="Arial"/>
          <w:noProof/>
        </w:rPr>
        <w:t>Fenton, Smith</w:t>
      </w:r>
      <w:r w:rsidR="009158DB" w:rsidRPr="0038132C">
        <w:rPr>
          <w:rFonts w:ascii="Arial" w:hAnsi="Arial" w:cs="Arial"/>
          <w:noProof/>
        </w:rPr>
        <w:t xml:space="preserve"> Barristers</w:t>
      </w:r>
      <w:r w:rsidR="00A221E5" w:rsidRPr="0038132C">
        <w:rPr>
          <w:rFonts w:ascii="Arial" w:hAnsi="Arial" w:cs="Arial"/>
          <w:noProof/>
        </w:rPr>
        <w:tab/>
      </w:r>
      <w:r w:rsidRPr="0038132C">
        <w:rPr>
          <w:rFonts w:ascii="Arial" w:hAnsi="Arial" w:cs="Arial"/>
          <w:noProof/>
        </w:rPr>
        <w:t>Cooper, Sandler, Shime &amp; Bergman LLP</w:t>
      </w:r>
    </w:p>
    <w:p w:rsidR="00650655" w:rsidRPr="000E37D6" w:rsidRDefault="00650655" w:rsidP="00EA241A">
      <w:pPr>
        <w:pStyle w:val="PlainText"/>
        <w:tabs>
          <w:tab w:val="left" w:pos="4230"/>
        </w:tabs>
        <w:ind w:right="-180"/>
        <w:rPr>
          <w:rFonts w:ascii="Arial" w:hAnsi="Arial" w:cs="Arial"/>
          <w:noProof/>
          <w:sz w:val="24"/>
          <w:szCs w:val="24"/>
          <w:lang w:val="fr-CA"/>
        </w:rPr>
      </w:pPr>
      <w:r w:rsidRPr="000E37D6">
        <w:rPr>
          <w:rFonts w:ascii="Arial" w:hAnsi="Arial" w:cs="Arial"/>
          <w:noProof/>
          <w:sz w:val="24"/>
          <w:szCs w:val="24"/>
          <w:lang w:val="fr-CA"/>
        </w:rPr>
        <w:t>Avocats chargés de la présentation</w:t>
      </w:r>
    </w:p>
    <w:p w:rsidR="009158DB" w:rsidRPr="000E37D6" w:rsidRDefault="00650655" w:rsidP="00EA241A">
      <w:pPr>
        <w:pStyle w:val="PlainText"/>
        <w:tabs>
          <w:tab w:val="left" w:pos="4230"/>
        </w:tabs>
        <w:ind w:right="-180"/>
        <w:rPr>
          <w:rFonts w:ascii="Arial" w:hAnsi="Arial" w:cs="Arial"/>
          <w:noProof/>
          <w:sz w:val="24"/>
          <w:szCs w:val="24"/>
          <w:lang w:val="fr-CA"/>
        </w:rPr>
      </w:pPr>
      <w:r w:rsidRPr="000E37D6">
        <w:rPr>
          <w:rFonts w:ascii="Arial" w:hAnsi="Arial" w:cs="Arial"/>
          <w:noProof/>
          <w:sz w:val="24"/>
          <w:szCs w:val="24"/>
          <w:lang w:val="fr-CA"/>
        </w:rPr>
        <w:t>du dossier</w:t>
      </w:r>
      <w:r w:rsidR="00A221E5" w:rsidRPr="000E37D6">
        <w:rPr>
          <w:rFonts w:ascii="Arial" w:hAnsi="Arial" w:cs="Arial"/>
          <w:noProof/>
          <w:sz w:val="24"/>
          <w:szCs w:val="24"/>
          <w:lang w:val="fr-CA"/>
        </w:rPr>
        <w:tab/>
      </w:r>
    </w:p>
    <w:p w:rsidR="009158DB" w:rsidRPr="000E37D6" w:rsidRDefault="009158DB" w:rsidP="00EA241A">
      <w:pPr>
        <w:pStyle w:val="PlainText"/>
        <w:tabs>
          <w:tab w:val="left" w:pos="4230"/>
        </w:tabs>
        <w:ind w:right="-180"/>
        <w:rPr>
          <w:rFonts w:ascii="Arial" w:hAnsi="Arial" w:cs="Arial"/>
          <w:noProof/>
          <w:sz w:val="24"/>
          <w:szCs w:val="24"/>
          <w:lang w:val="fr-CA"/>
        </w:rPr>
      </w:pPr>
    </w:p>
    <w:p w:rsidR="00404633" w:rsidRPr="000E37D6" w:rsidRDefault="000E37D6" w:rsidP="009158DB">
      <w:pPr>
        <w:pStyle w:val="PlainText"/>
        <w:tabs>
          <w:tab w:val="left" w:pos="4230"/>
        </w:tabs>
        <w:ind w:left="4253" w:right="-180"/>
        <w:rPr>
          <w:rFonts w:ascii="Arial" w:hAnsi="Arial" w:cs="Arial"/>
          <w:noProof/>
          <w:sz w:val="20"/>
          <w:szCs w:val="20"/>
          <w:lang w:val="fr-CA"/>
        </w:rPr>
      </w:pPr>
      <w:r w:rsidRPr="000E37D6">
        <w:rPr>
          <w:rFonts w:ascii="Arial" w:hAnsi="Arial" w:cs="Arial"/>
          <w:noProof/>
          <w:sz w:val="24"/>
          <w:szCs w:val="24"/>
          <w:lang w:val="fr-CA"/>
        </w:rPr>
        <w:t xml:space="preserve">L’honorable </w:t>
      </w:r>
      <w:r w:rsidR="009158DB" w:rsidRPr="000E37D6">
        <w:rPr>
          <w:rFonts w:ascii="Arial" w:hAnsi="Arial" w:cs="Arial"/>
          <w:noProof/>
          <w:sz w:val="24"/>
          <w:szCs w:val="24"/>
          <w:lang w:val="fr-CA"/>
        </w:rPr>
        <w:t>Tom Foulds</w:t>
      </w:r>
      <w:r w:rsidRPr="000E37D6">
        <w:rPr>
          <w:rFonts w:ascii="Arial" w:hAnsi="Arial" w:cs="Arial"/>
          <w:noProof/>
          <w:sz w:val="24"/>
          <w:szCs w:val="24"/>
          <w:lang w:val="fr-CA"/>
        </w:rPr>
        <w:t>,</w:t>
      </w:r>
      <w:r w:rsidR="009158DB" w:rsidRPr="000E37D6">
        <w:rPr>
          <w:rFonts w:ascii="Arial" w:hAnsi="Arial" w:cs="Arial"/>
          <w:noProof/>
          <w:sz w:val="24"/>
          <w:szCs w:val="24"/>
          <w:lang w:val="fr-CA"/>
        </w:rPr>
        <w:t xml:space="preserve"> </w:t>
      </w:r>
      <w:r w:rsidRPr="000E37D6">
        <w:rPr>
          <w:rFonts w:ascii="Arial" w:hAnsi="Arial" w:cs="Arial"/>
          <w:noProof/>
          <w:sz w:val="24"/>
          <w:szCs w:val="24"/>
          <w:lang w:val="fr-CA"/>
        </w:rPr>
        <w:t>comparaissant e</w:t>
      </w:r>
      <w:r w:rsidR="009158DB" w:rsidRPr="000E37D6">
        <w:rPr>
          <w:rFonts w:ascii="Arial" w:hAnsi="Arial" w:cs="Arial"/>
          <w:noProof/>
          <w:sz w:val="24"/>
          <w:szCs w:val="24"/>
          <w:lang w:val="fr-CA"/>
        </w:rPr>
        <w:t>n person</w:t>
      </w:r>
      <w:r w:rsidRPr="000E37D6">
        <w:rPr>
          <w:rFonts w:ascii="Arial" w:hAnsi="Arial" w:cs="Arial"/>
          <w:noProof/>
          <w:sz w:val="24"/>
          <w:szCs w:val="24"/>
          <w:lang w:val="fr-CA"/>
        </w:rPr>
        <w:t>ne</w:t>
      </w:r>
      <w:r w:rsidR="00336A81" w:rsidRPr="000E37D6">
        <w:rPr>
          <w:rFonts w:ascii="Arial" w:hAnsi="Arial" w:cs="Arial"/>
          <w:noProof/>
          <w:lang w:val="fr-CA"/>
        </w:rPr>
        <w:br w:type="page"/>
      </w:r>
    </w:p>
    <w:p w:rsidR="00404633" w:rsidRPr="000E37D6" w:rsidRDefault="00404633" w:rsidP="00404633">
      <w:pPr>
        <w:pStyle w:val="ListParagraph"/>
        <w:rPr>
          <w:rFonts w:ascii="Arial" w:hAnsi="Arial" w:cs="Arial"/>
          <w:noProof/>
          <w:sz w:val="20"/>
          <w:szCs w:val="20"/>
          <w:lang w:val="fr-CA"/>
        </w:rPr>
      </w:pPr>
    </w:p>
    <w:p w:rsidR="005F7F37" w:rsidRPr="000E37D6" w:rsidRDefault="00650655" w:rsidP="005F7F37">
      <w:pPr>
        <w:pStyle w:val="CentredEntry"/>
        <w:rPr>
          <w:noProof/>
          <w:lang w:val="fr-CA"/>
        </w:rPr>
      </w:pPr>
      <w:r w:rsidRPr="000E37D6">
        <w:rPr>
          <w:noProof/>
          <w:lang w:val="fr-CA"/>
        </w:rPr>
        <w:t xml:space="preserve">MOTIFS SUPPLÉMENTAIRES DE LA DÉCISION PROVISOIRE </w:t>
      </w:r>
    </w:p>
    <w:p w:rsidR="00A32676" w:rsidRPr="000E37D6" w:rsidRDefault="00A32676" w:rsidP="00A32676">
      <w:pPr>
        <w:pStyle w:val="ListParagraph"/>
        <w:jc w:val="center"/>
        <w:rPr>
          <w:rFonts w:ascii="Arial" w:hAnsi="Arial" w:cs="Arial"/>
          <w:noProof/>
          <w:lang w:val="fr-CA"/>
        </w:rPr>
      </w:pPr>
    </w:p>
    <w:p w:rsidR="005F7F37" w:rsidRPr="000E37D6" w:rsidRDefault="00650655" w:rsidP="009F0B25">
      <w:pPr>
        <w:jc w:val="right"/>
        <w:rPr>
          <w:rFonts w:ascii="Arial" w:hAnsi="Arial" w:cs="Arial"/>
          <w:noProof/>
          <w:u w:val="single"/>
          <w:lang w:val="fr-CA"/>
        </w:rPr>
      </w:pPr>
      <w:r w:rsidRPr="000E37D6">
        <w:rPr>
          <w:rFonts w:ascii="Arial" w:hAnsi="Arial" w:cs="Arial"/>
          <w:noProof/>
          <w:lang w:val="fr-CA"/>
        </w:rPr>
        <w:t xml:space="preserve">DATE D’AUDIENCE : le 28 septembre </w:t>
      </w:r>
      <w:r w:rsidR="005F7F37" w:rsidRPr="000E37D6">
        <w:rPr>
          <w:rFonts w:ascii="Arial" w:hAnsi="Arial" w:cs="Arial"/>
          <w:noProof/>
          <w:lang w:val="fr-CA"/>
        </w:rPr>
        <w:t>2016</w:t>
      </w:r>
    </w:p>
    <w:p w:rsidR="00DF64AA" w:rsidRPr="000E37D6" w:rsidRDefault="00DF64AA" w:rsidP="0033091B">
      <w:pPr>
        <w:pStyle w:val="ListParagraph"/>
        <w:ind w:left="0"/>
        <w:rPr>
          <w:rFonts w:ascii="Arial" w:hAnsi="Arial" w:cs="Arial"/>
          <w:b/>
          <w:noProof/>
          <w:lang w:val="fr-CA"/>
        </w:rPr>
      </w:pPr>
    </w:p>
    <w:p w:rsidR="0033091B" w:rsidRPr="000E37D6" w:rsidRDefault="0085280D" w:rsidP="00A3141A">
      <w:pPr>
        <w:pStyle w:val="Heading1"/>
        <w:spacing w:after="240"/>
        <w:rPr>
          <w:rFonts w:ascii="Arial" w:hAnsi="Arial" w:cs="Arial"/>
          <w:noProof/>
          <w:color w:val="auto"/>
          <w:lang w:val="fr-CA"/>
        </w:rPr>
      </w:pPr>
      <w:r w:rsidRPr="000E37D6">
        <w:rPr>
          <w:rFonts w:ascii="Arial" w:hAnsi="Arial" w:cs="Arial"/>
          <w:noProof/>
          <w:color w:val="auto"/>
          <w:lang w:val="fr-CA"/>
        </w:rPr>
        <w:t>Contexte</w:t>
      </w:r>
    </w:p>
    <w:p w:rsidR="005F7F37" w:rsidRPr="000E37D6" w:rsidRDefault="00811AA6"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Le 2 août 2016, un </w:t>
      </w:r>
      <w:r w:rsidR="00D966E9">
        <w:rPr>
          <w:rFonts w:ascii="Arial" w:hAnsi="Arial" w:cs="Arial"/>
          <w:noProof/>
          <w:szCs w:val="24"/>
          <w:lang w:val="fr-CA"/>
        </w:rPr>
        <w:t>c</w:t>
      </w:r>
      <w:r>
        <w:rPr>
          <w:rFonts w:ascii="Arial" w:hAnsi="Arial" w:cs="Arial"/>
          <w:noProof/>
          <w:szCs w:val="24"/>
          <w:lang w:val="fr-CA"/>
        </w:rPr>
        <w:t xml:space="preserve">omité des plaintes du Conseil d’évaluation des juges de paix </w:t>
      </w:r>
      <w:r w:rsidR="005F7F37" w:rsidRPr="000E37D6">
        <w:rPr>
          <w:rFonts w:ascii="Arial" w:hAnsi="Arial" w:cs="Arial"/>
          <w:noProof/>
          <w:szCs w:val="24"/>
          <w:lang w:val="fr-CA"/>
        </w:rPr>
        <w:t>(</w:t>
      </w:r>
      <w:r>
        <w:rPr>
          <w:rFonts w:ascii="Arial" w:hAnsi="Arial" w:cs="Arial"/>
          <w:noProof/>
          <w:szCs w:val="24"/>
          <w:lang w:val="fr-CA"/>
        </w:rPr>
        <w:t xml:space="preserve">le « Conseil d’évaluation »), agissant conformément au paragraphe </w:t>
      </w:r>
      <w:r w:rsidR="005F7F37" w:rsidRPr="000E37D6">
        <w:rPr>
          <w:rFonts w:ascii="Arial" w:hAnsi="Arial" w:cs="Arial"/>
          <w:noProof/>
          <w:szCs w:val="24"/>
          <w:lang w:val="fr-CA"/>
        </w:rPr>
        <w:t xml:space="preserve">11(15) </w:t>
      </w:r>
      <w:r>
        <w:rPr>
          <w:rFonts w:ascii="Arial" w:hAnsi="Arial" w:cs="Arial"/>
          <w:noProof/>
          <w:szCs w:val="24"/>
          <w:lang w:val="fr-CA"/>
        </w:rPr>
        <w:t xml:space="preserve">de la </w:t>
      </w:r>
      <w:r w:rsidRPr="00811AA6">
        <w:rPr>
          <w:rFonts w:ascii="Arial" w:hAnsi="Arial" w:cs="Arial"/>
          <w:i/>
          <w:noProof/>
          <w:szCs w:val="24"/>
          <w:lang w:val="fr-CA"/>
        </w:rPr>
        <w:t>Loi sur les juges de paix</w:t>
      </w:r>
      <w:r w:rsidR="005F7F37" w:rsidRPr="000E37D6">
        <w:rPr>
          <w:rFonts w:ascii="Arial" w:hAnsi="Arial" w:cs="Arial"/>
          <w:noProof/>
          <w:szCs w:val="24"/>
          <w:lang w:val="fr-CA"/>
        </w:rPr>
        <w:t xml:space="preserve"> (</w:t>
      </w:r>
      <w:r>
        <w:rPr>
          <w:rFonts w:ascii="Arial" w:hAnsi="Arial" w:cs="Arial"/>
          <w:noProof/>
          <w:szCs w:val="24"/>
          <w:lang w:val="fr-CA"/>
        </w:rPr>
        <w:t>la « </w:t>
      </w:r>
      <w:r w:rsidRPr="00811AA6">
        <w:rPr>
          <w:rFonts w:ascii="Arial" w:hAnsi="Arial" w:cs="Arial"/>
          <w:i/>
          <w:noProof/>
          <w:szCs w:val="24"/>
          <w:lang w:val="fr-CA"/>
        </w:rPr>
        <w:t>Loi</w:t>
      </w:r>
      <w:r>
        <w:rPr>
          <w:rFonts w:ascii="Arial" w:hAnsi="Arial" w:cs="Arial"/>
          <w:noProof/>
          <w:szCs w:val="24"/>
          <w:lang w:val="fr-CA"/>
        </w:rPr>
        <w:t> »</w:t>
      </w:r>
      <w:r w:rsidR="005F7F37" w:rsidRPr="000E37D6">
        <w:rPr>
          <w:rFonts w:ascii="Arial" w:hAnsi="Arial" w:cs="Arial"/>
          <w:noProof/>
          <w:szCs w:val="24"/>
          <w:lang w:val="fr-CA"/>
        </w:rPr>
        <w:t xml:space="preserve">), </w:t>
      </w:r>
      <w:r>
        <w:rPr>
          <w:rFonts w:ascii="Arial" w:hAnsi="Arial" w:cs="Arial"/>
          <w:noProof/>
          <w:szCs w:val="24"/>
          <w:lang w:val="fr-CA"/>
        </w:rPr>
        <w:t xml:space="preserve">a ordonné qu’une plainte relative à la conduite ou aux </w:t>
      </w:r>
      <w:r w:rsidR="005F7F37" w:rsidRPr="000E37D6">
        <w:rPr>
          <w:rFonts w:ascii="Arial" w:hAnsi="Arial" w:cs="Arial"/>
          <w:noProof/>
          <w:szCs w:val="24"/>
          <w:lang w:val="fr-CA"/>
        </w:rPr>
        <w:t xml:space="preserve">actions </w:t>
      </w:r>
      <w:r>
        <w:rPr>
          <w:rFonts w:ascii="Arial" w:hAnsi="Arial" w:cs="Arial"/>
          <w:noProof/>
          <w:szCs w:val="24"/>
          <w:lang w:val="fr-CA"/>
        </w:rPr>
        <w:t xml:space="preserve">de l’honorable juge de paix </w:t>
      </w:r>
      <w:r w:rsidR="005F7F37" w:rsidRPr="000E37D6">
        <w:rPr>
          <w:rFonts w:ascii="Arial" w:hAnsi="Arial" w:cs="Arial"/>
          <w:noProof/>
          <w:szCs w:val="24"/>
          <w:lang w:val="fr-CA"/>
        </w:rPr>
        <w:t xml:space="preserve">Tom Foulds </w:t>
      </w:r>
      <w:r>
        <w:rPr>
          <w:rFonts w:ascii="Arial" w:hAnsi="Arial" w:cs="Arial"/>
          <w:noProof/>
          <w:szCs w:val="24"/>
          <w:lang w:val="fr-CA"/>
        </w:rPr>
        <w:t xml:space="preserve">soit renvoyée devant un </w:t>
      </w:r>
      <w:r w:rsidR="00C61C55">
        <w:rPr>
          <w:rFonts w:ascii="Arial" w:hAnsi="Arial" w:cs="Arial"/>
          <w:noProof/>
          <w:szCs w:val="24"/>
          <w:lang w:val="fr-CA"/>
        </w:rPr>
        <w:t>comité d’audition</w:t>
      </w:r>
      <w:r w:rsidR="005F7F37" w:rsidRPr="000E37D6">
        <w:rPr>
          <w:rFonts w:ascii="Arial" w:hAnsi="Arial" w:cs="Arial"/>
          <w:noProof/>
          <w:szCs w:val="24"/>
          <w:lang w:val="fr-CA"/>
        </w:rPr>
        <w:t xml:space="preserve"> </w:t>
      </w:r>
      <w:r>
        <w:rPr>
          <w:rFonts w:ascii="Arial" w:hAnsi="Arial" w:cs="Arial"/>
          <w:noProof/>
          <w:szCs w:val="24"/>
          <w:lang w:val="fr-CA"/>
        </w:rPr>
        <w:t xml:space="preserve">du Conseil d’évaluation conformément à l’article </w:t>
      </w:r>
      <w:r w:rsidR="005F7F37" w:rsidRPr="000E37D6">
        <w:rPr>
          <w:rFonts w:ascii="Arial" w:hAnsi="Arial" w:cs="Arial"/>
          <w:noProof/>
          <w:szCs w:val="24"/>
          <w:lang w:val="fr-CA"/>
        </w:rPr>
        <w:t xml:space="preserve">11.1 </w:t>
      </w:r>
      <w:r>
        <w:rPr>
          <w:rFonts w:ascii="Arial" w:hAnsi="Arial" w:cs="Arial"/>
          <w:noProof/>
          <w:szCs w:val="24"/>
          <w:lang w:val="fr-CA"/>
        </w:rPr>
        <w:t xml:space="preserve">de la </w:t>
      </w:r>
      <w:r w:rsidRPr="00811AA6">
        <w:rPr>
          <w:rFonts w:ascii="Arial" w:hAnsi="Arial" w:cs="Arial"/>
          <w:i/>
          <w:noProof/>
          <w:szCs w:val="24"/>
          <w:lang w:val="fr-CA"/>
        </w:rPr>
        <w:t>Loi</w:t>
      </w:r>
      <w:r w:rsidR="005F7F37" w:rsidRPr="000E37D6">
        <w:rPr>
          <w:rFonts w:ascii="Arial" w:hAnsi="Arial" w:cs="Arial"/>
          <w:noProof/>
          <w:szCs w:val="24"/>
          <w:lang w:val="fr-CA"/>
        </w:rPr>
        <w:t>.</w:t>
      </w:r>
    </w:p>
    <w:p w:rsidR="005F7F37" w:rsidRPr="000E37D6" w:rsidRDefault="00C61C55"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Un avis d’audience a été signifié à l’intimé le 2 septembre 2016. L’avis d’audience fixait une date de </w:t>
      </w:r>
      <w:r w:rsidR="009A31FE">
        <w:rPr>
          <w:rFonts w:ascii="Arial" w:hAnsi="Arial" w:cs="Arial"/>
          <w:noProof/>
          <w:szCs w:val="24"/>
          <w:lang w:val="fr-CA"/>
        </w:rPr>
        <w:t xml:space="preserve">première </w:t>
      </w:r>
      <w:r>
        <w:rPr>
          <w:rFonts w:ascii="Arial" w:hAnsi="Arial" w:cs="Arial"/>
          <w:noProof/>
          <w:szCs w:val="24"/>
          <w:lang w:val="fr-CA"/>
        </w:rPr>
        <w:t xml:space="preserve">comparution, </w:t>
      </w:r>
      <w:r w:rsidR="00D822BE">
        <w:rPr>
          <w:rFonts w:ascii="Arial" w:hAnsi="Arial" w:cs="Arial"/>
          <w:noProof/>
          <w:szCs w:val="24"/>
          <w:lang w:val="fr-CA"/>
        </w:rPr>
        <w:t xml:space="preserve">soit le 28 septembre 2016, </w:t>
      </w:r>
      <w:r>
        <w:rPr>
          <w:rFonts w:ascii="Arial" w:hAnsi="Arial" w:cs="Arial"/>
          <w:noProof/>
          <w:szCs w:val="24"/>
          <w:lang w:val="fr-CA"/>
        </w:rPr>
        <w:t>devant le comité d’audition du Conseil d’évaluation.</w:t>
      </w:r>
      <w:r w:rsidR="005F7F37" w:rsidRPr="000E37D6">
        <w:rPr>
          <w:rFonts w:ascii="Arial" w:hAnsi="Arial" w:cs="Arial"/>
          <w:noProof/>
          <w:szCs w:val="24"/>
          <w:lang w:val="fr-CA"/>
        </w:rPr>
        <w:t xml:space="preserve"> </w:t>
      </w:r>
    </w:p>
    <w:p w:rsidR="005F7F37" w:rsidRPr="000E37D6" w:rsidRDefault="00C61C55"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Le 28 septembre 2016, l’intimé a comparu en personne.</w:t>
      </w:r>
      <w:r w:rsidR="005F7F37" w:rsidRPr="000E37D6">
        <w:rPr>
          <w:rFonts w:ascii="Arial" w:hAnsi="Arial" w:cs="Arial"/>
          <w:noProof/>
          <w:szCs w:val="24"/>
          <w:lang w:val="fr-CA"/>
        </w:rPr>
        <w:t xml:space="preserve"> M. Mark Sandler </w:t>
      </w:r>
      <w:r>
        <w:rPr>
          <w:rFonts w:ascii="Arial" w:hAnsi="Arial" w:cs="Arial"/>
          <w:noProof/>
          <w:szCs w:val="24"/>
          <w:lang w:val="fr-CA"/>
        </w:rPr>
        <w:t>et</w:t>
      </w:r>
      <w:r w:rsidR="005F7F37" w:rsidRPr="000E37D6">
        <w:rPr>
          <w:rFonts w:ascii="Arial" w:hAnsi="Arial" w:cs="Arial"/>
          <w:noProof/>
          <w:szCs w:val="24"/>
          <w:lang w:val="fr-CA"/>
        </w:rPr>
        <w:t xml:space="preserve"> M</w:t>
      </w:r>
      <w:r w:rsidRPr="00C61C55">
        <w:rPr>
          <w:rFonts w:ascii="Arial" w:hAnsi="Arial" w:cs="Arial"/>
          <w:noProof/>
          <w:szCs w:val="24"/>
          <w:vertAlign w:val="superscript"/>
          <w:lang w:val="fr-CA"/>
        </w:rPr>
        <w:t>me</w:t>
      </w:r>
      <w:r w:rsidR="005F7F37" w:rsidRPr="000E37D6">
        <w:rPr>
          <w:rFonts w:ascii="Arial" w:hAnsi="Arial" w:cs="Arial"/>
          <w:noProof/>
          <w:szCs w:val="24"/>
          <w:lang w:val="fr-CA"/>
        </w:rPr>
        <w:t xml:space="preserve"> Amanda Ross </w:t>
      </w:r>
      <w:r>
        <w:rPr>
          <w:rFonts w:ascii="Arial" w:hAnsi="Arial" w:cs="Arial"/>
          <w:noProof/>
          <w:szCs w:val="24"/>
          <w:lang w:val="fr-CA"/>
        </w:rPr>
        <w:t>se sont présentés avec l’intimé en qualité d’avocats dont les services n’avaient pas encore été retenus.</w:t>
      </w:r>
      <w:r w:rsidR="005F7F37" w:rsidRPr="000E37D6">
        <w:rPr>
          <w:rFonts w:ascii="Arial" w:hAnsi="Arial" w:cs="Arial"/>
          <w:noProof/>
          <w:szCs w:val="24"/>
          <w:lang w:val="fr-CA"/>
        </w:rPr>
        <w:t xml:space="preserve"> </w:t>
      </w:r>
    </w:p>
    <w:p w:rsidR="005F7F37" w:rsidRPr="000E37D6" w:rsidRDefault="005F7F37" w:rsidP="00A3141A">
      <w:pPr>
        <w:pStyle w:val="Mainparagraph"/>
        <w:tabs>
          <w:tab w:val="clear" w:pos="1350"/>
          <w:tab w:val="left" w:pos="900"/>
        </w:tabs>
        <w:rPr>
          <w:rFonts w:ascii="Arial" w:hAnsi="Arial" w:cs="Arial"/>
          <w:noProof/>
          <w:szCs w:val="24"/>
          <w:lang w:val="fr-CA"/>
        </w:rPr>
      </w:pPr>
      <w:r w:rsidRPr="000E37D6">
        <w:rPr>
          <w:rFonts w:ascii="Arial" w:hAnsi="Arial" w:cs="Arial"/>
          <w:noProof/>
          <w:szCs w:val="24"/>
          <w:lang w:val="fr-CA"/>
        </w:rPr>
        <w:t xml:space="preserve">M. Sandler </w:t>
      </w:r>
      <w:r w:rsidR="00C61C55">
        <w:rPr>
          <w:rFonts w:ascii="Arial" w:hAnsi="Arial" w:cs="Arial"/>
          <w:noProof/>
          <w:szCs w:val="24"/>
          <w:lang w:val="fr-CA"/>
        </w:rPr>
        <w:t>a informé le comité d’audition que même si</w:t>
      </w:r>
      <w:r w:rsidR="009C60EE">
        <w:rPr>
          <w:rFonts w:ascii="Arial" w:hAnsi="Arial" w:cs="Arial"/>
          <w:noProof/>
          <w:szCs w:val="24"/>
          <w:lang w:val="fr-CA"/>
        </w:rPr>
        <w:t xml:space="preserve"> ses services d’avocat</w:t>
      </w:r>
      <w:r w:rsidR="00C61C55">
        <w:rPr>
          <w:rFonts w:ascii="Arial" w:hAnsi="Arial" w:cs="Arial"/>
          <w:noProof/>
          <w:szCs w:val="24"/>
          <w:lang w:val="fr-CA"/>
        </w:rPr>
        <w:t xml:space="preserve"> n’</w:t>
      </w:r>
      <w:r w:rsidR="00D822BE">
        <w:rPr>
          <w:rFonts w:ascii="Arial" w:hAnsi="Arial" w:cs="Arial"/>
          <w:noProof/>
          <w:szCs w:val="24"/>
          <w:lang w:val="fr-CA"/>
        </w:rPr>
        <w:t>avai</w:t>
      </w:r>
      <w:r w:rsidR="009C60EE">
        <w:rPr>
          <w:rFonts w:ascii="Arial" w:hAnsi="Arial" w:cs="Arial"/>
          <w:noProof/>
          <w:szCs w:val="24"/>
          <w:lang w:val="fr-CA"/>
        </w:rPr>
        <w:t>ent</w:t>
      </w:r>
      <w:r w:rsidR="00D822BE">
        <w:rPr>
          <w:rFonts w:ascii="Arial" w:hAnsi="Arial" w:cs="Arial"/>
          <w:noProof/>
          <w:szCs w:val="24"/>
          <w:lang w:val="fr-CA"/>
        </w:rPr>
        <w:t xml:space="preserve"> pas encore été retenu</w:t>
      </w:r>
      <w:r w:rsidR="009C60EE">
        <w:rPr>
          <w:rFonts w:ascii="Arial" w:hAnsi="Arial" w:cs="Arial"/>
          <w:noProof/>
          <w:szCs w:val="24"/>
          <w:lang w:val="fr-CA"/>
        </w:rPr>
        <w:t>s</w:t>
      </w:r>
      <w:r w:rsidR="00C61C55">
        <w:rPr>
          <w:rFonts w:ascii="Arial" w:hAnsi="Arial" w:cs="Arial"/>
          <w:noProof/>
          <w:szCs w:val="24"/>
          <w:lang w:val="fr-CA"/>
        </w:rPr>
        <w:t xml:space="preserve"> aux fins de l’audience, il prévoyait qu</w:t>
      </w:r>
      <w:r w:rsidR="009C60EE">
        <w:rPr>
          <w:rFonts w:ascii="Arial" w:hAnsi="Arial" w:cs="Arial"/>
          <w:noProof/>
          <w:szCs w:val="24"/>
          <w:lang w:val="fr-CA"/>
        </w:rPr>
        <w:t>’ils le</w:t>
      </w:r>
      <w:r w:rsidR="00C61C55">
        <w:rPr>
          <w:rFonts w:ascii="Arial" w:hAnsi="Arial" w:cs="Arial"/>
          <w:noProof/>
          <w:szCs w:val="24"/>
          <w:lang w:val="fr-CA"/>
        </w:rPr>
        <w:t xml:space="preserve"> seraient </w:t>
      </w:r>
      <w:r w:rsidR="00D822BE">
        <w:rPr>
          <w:rFonts w:ascii="Arial" w:hAnsi="Arial" w:cs="Arial"/>
          <w:noProof/>
          <w:szCs w:val="24"/>
          <w:lang w:val="fr-CA"/>
        </w:rPr>
        <w:t>officiellement</w:t>
      </w:r>
      <w:r w:rsidR="009C60EE">
        <w:rPr>
          <w:rFonts w:ascii="Arial" w:hAnsi="Arial" w:cs="Arial"/>
          <w:noProof/>
          <w:szCs w:val="24"/>
          <w:lang w:val="fr-CA"/>
        </w:rPr>
        <w:t xml:space="preserve"> </w:t>
      </w:r>
      <w:r w:rsidR="00C61C55">
        <w:rPr>
          <w:rFonts w:ascii="Arial" w:hAnsi="Arial" w:cs="Arial"/>
          <w:noProof/>
          <w:szCs w:val="24"/>
          <w:lang w:val="fr-CA"/>
        </w:rPr>
        <w:t>dans un proche avenir.</w:t>
      </w:r>
      <w:r w:rsidRPr="000E37D6">
        <w:rPr>
          <w:rFonts w:ascii="Arial" w:hAnsi="Arial" w:cs="Arial"/>
          <w:noProof/>
          <w:szCs w:val="24"/>
          <w:lang w:val="fr-CA"/>
        </w:rPr>
        <w:t xml:space="preserve"> M. Sandler </w:t>
      </w:r>
      <w:r w:rsidR="00F33377">
        <w:rPr>
          <w:rFonts w:ascii="Arial" w:hAnsi="Arial" w:cs="Arial"/>
          <w:noProof/>
          <w:szCs w:val="24"/>
          <w:lang w:val="fr-CA"/>
        </w:rPr>
        <w:t>a ajouté qu’il avait agi comme conseiller juridique pour l’</w:t>
      </w:r>
      <w:r w:rsidR="00D822BE">
        <w:rPr>
          <w:rFonts w:ascii="Arial" w:hAnsi="Arial" w:cs="Arial"/>
          <w:noProof/>
          <w:szCs w:val="24"/>
          <w:lang w:val="fr-CA"/>
        </w:rPr>
        <w:t>intimé</w:t>
      </w:r>
      <w:r w:rsidR="00F33377">
        <w:rPr>
          <w:rFonts w:ascii="Arial" w:hAnsi="Arial" w:cs="Arial"/>
          <w:noProof/>
          <w:szCs w:val="24"/>
          <w:lang w:val="fr-CA"/>
        </w:rPr>
        <w:t xml:space="preserve"> </w:t>
      </w:r>
      <w:r w:rsidR="00FD0A3C">
        <w:rPr>
          <w:rFonts w:ascii="Arial" w:hAnsi="Arial" w:cs="Arial"/>
          <w:noProof/>
          <w:szCs w:val="24"/>
          <w:lang w:val="fr-CA"/>
        </w:rPr>
        <w:t>lors des procédures</w:t>
      </w:r>
      <w:r w:rsidR="00F33377">
        <w:rPr>
          <w:rFonts w:ascii="Arial" w:hAnsi="Arial" w:cs="Arial"/>
          <w:noProof/>
          <w:szCs w:val="24"/>
          <w:lang w:val="fr-CA"/>
        </w:rPr>
        <w:t xml:space="preserve"> devant le </w:t>
      </w:r>
      <w:r w:rsidR="00D966E9">
        <w:rPr>
          <w:rFonts w:ascii="Arial" w:hAnsi="Arial" w:cs="Arial"/>
          <w:noProof/>
          <w:szCs w:val="24"/>
          <w:lang w:val="fr-CA"/>
        </w:rPr>
        <w:t>c</w:t>
      </w:r>
      <w:r w:rsidR="00F33377">
        <w:rPr>
          <w:rFonts w:ascii="Arial" w:hAnsi="Arial" w:cs="Arial"/>
          <w:noProof/>
          <w:szCs w:val="24"/>
          <w:lang w:val="fr-CA"/>
        </w:rPr>
        <w:t>omité des plaintes.</w:t>
      </w:r>
    </w:p>
    <w:p w:rsidR="005F7F37" w:rsidRPr="000E37D6" w:rsidRDefault="00DB6888"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M</w:t>
      </w:r>
      <w:r w:rsidR="005F7F37" w:rsidRPr="000E37D6">
        <w:rPr>
          <w:rFonts w:ascii="Arial" w:hAnsi="Arial" w:cs="Arial"/>
          <w:noProof/>
          <w:szCs w:val="24"/>
          <w:lang w:val="fr-CA"/>
        </w:rPr>
        <w:t xml:space="preserve">. Sandler </w:t>
      </w:r>
      <w:r w:rsidR="00576A1A">
        <w:rPr>
          <w:rFonts w:ascii="Arial" w:hAnsi="Arial" w:cs="Arial"/>
          <w:noProof/>
          <w:szCs w:val="24"/>
          <w:lang w:val="fr-CA"/>
        </w:rPr>
        <w:t>a reconnu qu</w:t>
      </w:r>
      <w:r w:rsidR="00CB04B7">
        <w:rPr>
          <w:rFonts w:ascii="Arial" w:hAnsi="Arial" w:cs="Arial"/>
          <w:noProof/>
          <w:szCs w:val="24"/>
          <w:lang w:val="fr-CA"/>
        </w:rPr>
        <w:t xml:space="preserve">e la procédure du Conseil d’évaluation qui requiert </w:t>
      </w:r>
      <w:r w:rsidR="00D822BE">
        <w:rPr>
          <w:rFonts w:ascii="Arial" w:hAnsi="Arial" w:cs="Arial"/>
          <w:noProof/>
          <w:szCs w:val="24"/>
          <w:lang w:val="fr-CA"/>
        </w:rPr>
        <w:t>la remise d’</w:t>
      </w:r>
      <w:r w:rsidR="00CB04B7">
        <w:rPr>
          <w:rFonts w:ascii="Arial" w:hAnsi="Arial" w:cs="Arial"/>
          <w:noProof/>
          <w:szCs w:val="24"/>
          <w:lang w:val="fr-CA"/>
        </w:rPr>
        <w:t>un avis écrit de dix jours avant la présentation d’une motion relative à la procédure n’avait pas été respectée</w:t>
      </w:r>
      <w:r w:rsidR="005F7F37" w:rsidRPr="000E37D6">
        <w:rPr>
          <w:rFonts w:ascii="Arial" w:hAnsi="Arial" w:cs="Arial"/>
          <w:noProof/>
          <w:szCs w:val="24"/>
          <w:lang w:val="fr-CA"/>
        </w:rPr>
        <w:t>.</w:t>
      </w:r>
    </w:p>
    <w:p w:rsidR="00647264" w:rsidRPr="000E37D6" w:rsidRDefault="00177542"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En l’absence d’avis </w:t>
      </w:r>
      <w:r w:rsidR="00A054BC">
        <w:rPr>
          <w:rFonts w:ascii="Arial" w:hAnsi="Arial" w:cs="Arial"/>
          <w:noProof/>
          <w:szCs w:val="24"/>
          <w:lang w:val="fr-CA"/>
        </w:rPr>
        <w:t>forme</w:t>
      </w:r>
      <w:r>
        <w:rPr>
          <w:rFonts w:ascii="Arial" w:hAnsi="Arial" w:cs="Arial"/>
          <w:noProof/>
          <w:szCs w:val="24"/>
          <w:lang w:val="fr-CA"/>
        </w:rPr>
        <w:t xml:space="preserve">l, de dossier de motion, </w:t>
      </w:r>
      <w:r w:rsidR="006650F2">
        <w:rPr>
          <w:rFonts w:ascii="Arial" w:hAnsi="Arial" w:cs="Arial"/>
          <w:noProof/>
          <w:szCs w:val="24"/>
          <w:lang w:val="fr-CA"/>
        </w:rPr>
        <w:t>d</w:t>
      </w:r>
      <w:r w:rsidR="00933386">
        <w:rPr>
          <w:rFonts w:ascii="Arial" w:hAnsi="Arial" w:cs="Arial"/>
          <w:noProof/>
          <w:szCs w:val="24"/>
          <w:lang w:val="fr-CA"/>
        </w:rPr>
        <w:t>e</w:t>
      </w:r>
      <w:r w:rsidR="006313CE">
        <w:rPr>
          <w:rFonts w:ascii="Arial" w:hAnsi="Arial" w:cs="Arial"/>
          <w:noProof/>
          <w:szCs w:val="24"/>
          <w:lang w:val="fr-CA"/>
        </w:rPr>
        <w:t xml:space="preserve"> dépôt</w:t>
      </w:r>
      <w:r w:rsidR="00F426DA">
        <w:rPr>
          <w:rFonts w:ascii="Arial" w:hAnsi="Arial" w:cs="Arial"/>
          <w:noProof/>
          <w:szCs w:val="24"/>
          <w:lang w:val="fr-CA"/>
        </w:rPr>
        <w:t xml:space="preserve"> de </w:t>
      </w:r>
      <w:r w:rsidR="002A4CE5">
        <w:rPr>
          <w:rFonts w:ascii="Arial" w:hAnsi="Arial" w:cs="Arial"/>
          <w:noProof/>
          <w:szCs w:val="24"/>
          <w:lang w:val="fr-CA"/>
        </w:rPr>
        <w:t>textes qui font autorité</w:t>
      </w:r>
      <w:r>
        <w:rPr>
          <w:rFonts w:ascii="Arial" w:hAnsi="Arial" w:cs="Arial"/>
          <w:noProof/>
          <w:szCs w:val="24"/>
          <w:lang w:val="fr-CA"/>
        </w:rPr>
        <w:t xml:space="preserve">, de mémoire ou d’autres formes de </w:t>
      </w:r>
      <w:r w:rsidR="00FD0A3C">
        <w:rPr>
          <w:rFonts w:ascii="Arial" w:hAnsi="Arial" w:cs="Arial"/>
          <w:noProof/>
          <w:szCs w:val="24"/>
          <w:lang w:val="fr-CA"/>
        </w:rPr>
        <w:t>pièces justificatives</w:t>
      </w:r>
      <w:r>
        <w:rPr>
          <w:rFonts w:ascii="Arial" w:hAnsi="Arial" w:cs="Arial"/>
          <w:noProof/>
          <w:szCs w:val="24"/>
          <w:lang w:val="fr-CA"/>
        </w:rPr>
        <w:t xml:space="preserve">, le comité d’audition a reçu et examiné la demande verbale de M. Sandler </w:t>
      </w:r>
      <w:r w:rsidR="000C471B">
        <w:rPr>
          <w:rFonts w:ascii="Arial" w:hAnsi="Arial" w:cs="Arial"/>
          <w:noProof/>
          <w:szCs w:val="24"/>
          <w:lang w:val="fr-CA"/>
        </w:rPr>
        <w:t>voulant</w:t>
      </w:r>
      <w:r>
        <w:rPr>
          <w:rFonts w:ascii="Arial" w:hAnsi="Arial" w:cs="Arial"/>
          <w:noProof/>
          <w:szCs w:val="24"/>
          <w:lang w:val="fr-CA"/>
        </w:rPr>
        <w:t xml:space="preserve"> que la procédure soit </w:t>
      </w:r>
      <w:r w:rsidR="000C471B">
        <w:rPr>
          <w:rFonts w:ascii="Arial" w:hAnsi="Arial" w:cs="Arial"/>
          <w:noProof/>
          <w:szCs w:val="24"/>
          <w:lang w:val="fr-CA"/>
        </w:rPr>
        <w:t xml:space="preserve">suspendue </w:t>
      </w:r>
      <w:r>
        <w:rPr>
          <w:rFonts w:ascii="Arial" w:hAnsi="Arial" w:cs="Arial"/>
          <w:noProof/>
          <w:szCs w:val="24"/>
          <w:lang w:val="fr-CA"/>
        </w:rPr>
        <w:t>brièvement</w:t>
      </w:r>
      <w:r w:rsidR="000C471B">
        <w:rPr>
          <w:rFonts w:ascii="Arial" w:hAnsi="Arial" w:cs="Arial"/>
          <w:noProof/>
          <w:szCs w:val="24"/>
          <w:lang w:val="fr-CA"/>
        </w:rPr>
        <w:t xml:space="preserve"> et</w:t>
      </w:r>
      <w:r w:rsidR="00163D2E">
        <w:rPr>
          <w:rFonts w:ascii="Arial" w:hAnsi="Arial" w:cs="Arial"/>
          <w:noProof/>
          <w:szCs w:val="24"/>
          <w:lang w:val="fr-CA"/>
        </w:rPr>
        <w:t xml:space="preserve"> que</w:t>
      </w:r>
      <w:r>
        <w:rPr>
          <w:rFonts w:ascii="Arial" w:hAnsi="Arial" w:cs="Arial"/>
          <w:noProof/>
          <w:szCs w:val="24"/>
          <w:lang w:val="fr-CA"/>
        </w:rPr>
        <w:t xml:space="preserve"> l’avis d’audience </w:t>
      </w:r>
      <w:r w:rsidR="000C471B">
        <w:rPr>
          <w:rFonts w:ascii="Arial" w:hAnsi="Arial" w:cs="Arial"/>
          <w:noProof/>
          <w:szCs w:val="24"/>
          <w:lang w:val="fr-CA"/>
        </w:rPr>
        <w:t xml:space="preserve">soit </w:t>
      </w:r>
      <w:r>
        <w:rPr>
          <w:rFonts w:ascii="Arial" w:hAnsi="Arial" w:cs="Arial"/>
          <w:noProof/>
          <w:szCs w:val="24"/>
          <w:lang w:val="fr-CA"/>
        </w:rPr>
        <w:t xml:space="preserve">déposé provisoirement ou </w:t>
      </w:r>
      <w:r w:rsidR="000C471B">
        <w:rPr>
          <w:rFonts w:ascii="Arial" w:hAnsi="Arial" w:cs="Arial"/>
          <w:noProof/>
          <w:szCs w:val="24"/>
          <w:lang w:val="fr-CA"/>
        </w:rPr>
        <w:t xml:space="preserve">soit </w:t>
      </w:r>
      <w:r>
        <w:rPr>
          <w:rFonts w:ascii="Arial" w:hAnsi="Arial" w:cs="Arial"/>
          <w:noProof/>
          <w:szCs w:val="24"/>
          <w:lang w:val="fr-CA"/>
        </w:rPr>
        <w:t xml:space="preserve">déposé et </w:t>
      </w:r>
      <w:r w:rsidR="000C471B">
        <w:rPr>
          <w:rFonts w:ascii="Arial" w:hAnsi="Arial" w:cs="Arial"/>
          <w:noProof/>
          <w:szCs w:val="24"/>
          <w:lang w:val="fr-CA"/>
        </w:rPr>
        <w:t>désigné comme</w:t>
      </w:r>
      <w:r>
        <w:rPr>
          <w:rFonts w:ascii="Arial" w:hAnsi="Arial" w:cs="Arial"/>
          <w:noProof/>
          <w:szCs w:val="24"/>
          <w:lang w:val="fr-CA"/>
        </w:rPr>
        <w:t xml:space="preserve"> pièce A, </w:t>
      </w:r>
      <w:r w:rsidR="00163D2E">
        <w:rPr>
          <w:rFonts w:ascii="Arial" w:hAnsi="Arial" w:cs="Arial"/>
          <w:noProof/>
          <w:szCs w:val="24"/>
          <w:lang w:val="fr-CA"/>
        </w:rPr>
        <w:t xml:space="preserve">et </w:t>
      </w:r>
      <w:r>
        <w:rPr>
          <w:rFonts w:ascii="Arial" w:hAnsi="Arial" w:cs="Arial"/>
          <w:noProof/>
          <w:szCs w:val="24"/>
          <w:lang w:val="fr-CA"/>
        </w:rPr>
        <w:t>que le comité ordonne que l’avis d’a</w:t>
      </w:r>
      <w:r w:rsidR="002A4CE5">
        <w:rPr>
          <w:rFonts w:ascii="Arial" w:hAnsi="Arial" w:cs="Arial"/>
          <w:noProof/>
          <w:szCs w:val="24"/>
          <w:lang w:val="fr-CA"/>
        </w:rPr>
        <w:t>udience</w:t>
      </w:r>
      <w:r w:rsidR="009A2572">
        <w:rPr>
          <w:rFonts w:ascii="Arial" w:hAnsi="Arial" w:cs="Arial"/>
          <w:noProof/>
          <w:szCs w:val="24"/>
          <w:lang w:val="fr-CA"/>
        </w:rPr>
        <w:t xml:space="preserve"> et la présente procédure </w:t>
      </w:r>
      <w:r>
        <w:rPr>
          <w:rFonts w:ascii="Arial" w:hAnsi="Arial" w:cs="Arial"/>
          <w:noProof/>
          <w:szCs w:val="24"/>
          <w:lang w:val="fr-CA"/>
        </w:rPr>
        <w:t>ne soi</w:t>
      </w:r>
      <w:r w:rsidR="002A4CE5">
        <w:rPr>
          <w:rFonts w:ascii="Arial" w:hAnsi="Arial" w:cs="Arial"/>
          <w:noProof/>
          <w:szCs w:val="24"/>
          <w:lang w:val="fr-CA"/>
        </w:rPr>
        <w:t>en</w:t>
      </w:r>
      <w:r>
        <w:rPr>
          <w:rFonts w:ascii="Arial" w:hAnsi="Arial" w:cs="Arial"/>
          <w:noProof/>
          <w:szCs w:val="24"/>
          <w:lang w:val="fr-CA"/>
        </w:rPr>
        <w:t>t pas publié</w:t>
      </w:r>
      <w:r w:rsidR="002A4CE5">
        <w:rPr>
          <w:rFonts w:ascii="Arial" w:hAnsi="Arial" w:cs="Arial"/>
          <w:noProof/>
          <w:szCs w:val="24"/>
          <w:lang w:val="fr-CA"/>
        </w:rPr>
        <w:t>s</w:t>
      </w:r>
      <w:r>
        <w:rPr>
          <w:rFonts w:ascii="Arial" w:hAnsi="Arial" w:cs="Arial"/>
          <w:noProof/>
          <w:szCs w:val="24"/>
          <w:lang w:val="fr-CA"/>
        </w:rPr>
        <w:t xml:space="preserve"> </w:t>
      </w:r>
      <w:r w:rsidR="002A4CE5">
        <w:rPr>
          <w:rFonts w:ascii="Arial" w:hAnsi="Arial" w:cs="Arial"/>
          <w:noProof/>
          <w:szCs w:val="24"/>
          <w:lang w:val="fr-CA"/>
        </w:rPr>
        <w:t>avant que</w:t>
      </w:r>
      <w:r>
        <w:rPr>
          <w:rFonts w:ascii="Arial" w:hAnsi="Arial" w:cs="Arial"/>
          <w:noProof/>
          <w:szCs w:val="24"/>
          <w:lang w:val="fr-CA"/>
        </w:rPr>
        <w:t xml:space="preserve"> la motion de </w:t>
      </w:r>
      <w:r w:rsidR="00ED6EED" w:rsidRPr="000E37D6">
        <w:rPr>
          <w:rFonts w:ascii="Arial" w:hAnsi="Arial" w:cs="Arial"/>
          <w:noProof/>
          <w:szCs w:val="24"/>
          <w:lang w:val="fr-CA"/>
        </w:rPr>
        <w:t>non</w:t>
      </w:r>
      <w:r w:rsidR="00717AB4">
        <w:rPr>
          <w:rFonts w:ascii="Arial" w:hAnsi="Arial" w:cs="Arial"/>
          <w:noProof/>
          <w:szCs w:val="24"/>
          <w:lang w:val="fr-CA"/>
        </w:rPr>
        <w:noBreakHyphen/>
      </w:r>
      <w:r w:rsidR="00ED6EED" w:rsidRPr="000E37D6">
        <w:rPr>
          <w:rFonts w:ascii="Arial" w:hAnsi="Arial" w:cs="Arial"/>
          <w:noProof/>
          <w:szCs w:val="24"/>
          <w:lang w:val="fr-CA"/>
        </w:rPr>
        <w:t xml:space="preserve">publication </w:t>
      </w:r>
      <w:r>
        <w:rPr>
          <w:rFonts w:ascii="Arial" w:hAnsi="Arial" w:cs="Arial"/>
          <w:noProof/>
          <w:szCs w:val="24"/>
          <w:lang w:val="fr-CA"/>
        </w:rPr>
        <w:t xml:space="preserve">puisse faire l’objet d’un débat en bonne et due forme une fois </w:t>
      </w:r>
      <w:r w:rsidR="00717AB4">
        <w:rPr>
          <w:rFonts w:ascii="Arial" w:hAnsi="Arial" w:cs="Arial"/>
          <w:noProof/>
          <w:szCs w:val="24"/>
          <w:lang w:val="fr-CA"/>
        </w:rPr>
        <w:t xml:space="preserve">que </w:t>
      </w:r>
      <w:r>
        <w:rPr>
          <w:rFonts w:ascii="Arial" w:hAnsi="Arial" w:cs="Arial"/>
          <w:noProof/>
          <w:szCs w:val="24"/>
          <w:lang w:val="fr-CA"/>
        </w:rPr>
        <w:t xml:space="preserve">les services du conseiller juridique </w:t>
      </w:r>
      <w:r w:rsidR="00717AB4">
        <w:rPr>
          <w:rFonts w:ascii="Arial" w:hAnsi="Arial" w:cs="Arial"/>
          <w:noProof/>
          <w:szCs w:val="24"/>
          <w:lang w:val="fr-CA"/>
        </w:rPr>
        <w:t xml:space="preserve">auront été </w:t>
      </w:r>
      <w:r>
        <w:rPr>
          <w:rFonts w:ascii="Arial" w:hAnsi="Arial" w:cs="Arial"/>
          <w:noProof/>
          <w:szCs w:val="24"/>
          <w:lang w:val="fr-CA"/>
        </w:rPr>
        <w:t>retenus.</w:t>
      </w:r>
    </w:p>
    <w:p w:rsidR="005F7F37" w:rsidRPr="000E37D6" w:rsidRDefault="007651B9" w:rsidP="00A3141A">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Ces demandes ont </w:t>
      </w:r>
      <w:r w:rsidR="003B5BF0">
        <w:rPr>
          <w:rFonts w:ascii="Arial" w:hAnsi="Arial" w:cs="Arial"/>
          <w:noProof/>
          <w:szCs w:val="24"/>
          <w:lang w:val="fr-CA"/>
        </w:rPr>
        <w:t xml:space="preserve">finalement été </w:t>
      </w:r>
      <w:r>
        <w:rPr>
          <w:rFonts w:ascii="Arial" w:hAnsi="Arial" w:cs="Arial"/>
          <w:noProof/>
          <w:szCs w:val="24"/>
          <w:lang w:val="fr-CA"/>
        </w:rPr>
        <w:t>rejetées au motif que les directives législatives applicables</w:t>
      </w:r>
      <w:r w:rsidR="00383781">
        <w:rPr>
          <w:rFonts w:ascii="Arial" w:hAnsi="Arial" w:cs="Arial"/>
          <w:noProof/>
          <w:szCs w:val="24"/>
          <w:lang w:val="fr-CA"/>
        </w:rPr>
        <w:t xml:space="preserve"> – lesquelles</w:t>
      </w:r>
      <w:r w:rsidR="00CF7488">
        <w:rPr>
          <w:rFonts w:ascii="Arial" w:hAnsi="Arial" w:cs="Arial"/>
          <w:noProof/>
          <w:szCs w:val="24"/>
          <w:lang w:val="fr-CA"/>
        </w:rPr>
        <w:t xml:space="preserve"> sont</w:t>
      </w:r>
      <w:r>
        <w:rPr>
          <w:rFonts w:ascii="Arial" w:hAnsi="Arial" w:cs="Arial"/>
          <w:noProof/>
          <w:szCs w:val="24"/>
          <w:lang w:val="fr-CA"/>
        </w:rPr>
        <w:t xml:space="preserve"> fondées sur la reconnaissance que le processus de traitement des plaintes </w:t>
      </w:r>
      <w:r w:rsidR="00383781">
        <w:rPr>
          <w:rFonts w:ascii="Arial" w:hAnsi="Arial" w:cs="Arial"/>
          <w:noProof/>
          <w:szCs w:val="24"/>
          <w:lang w:val="fr-CA"/>
        </w:rPr>
        <w:t xml:space="preserve">vise à </w:t>
      </w:r>
      <w:r>
        <w:rPr>
          <w:rFonts w:ascii="Arial" w:hAnsi="Arial" w:cs="Arial"/>
          <w:noProof/>
          <w:szCs w:val="24"/>
          <w:lang w:val="fr-CA"/>
        </w:rPr>
        <w:t xml:space="preserve">maintenir et </w:t>
      </w:r>
      <w:r w:rsidR="003B5BF0">
        <w:rPr>
          <w:rFonts w:ascii="Arial" w:hAnsi="Arial" w:cs="Arial"/>
          <w:noProof/>
          <w:szCs w:val="24"/>
          <w:lang w:val="fr-CA"/>
        </w:rPr>
        <w:t>à rétablir</w:t>
      </w:r>
      <w:r>
        <w:rPr>
          <w:rFonts w:ascii="Arial" w:hAnsi="Arial" w:cs="Arial"/>
          <w:noProof/>
          <w:szCs w:val="24"/>
          <w:lang w:val="fr-CA"/>
        </w:rPr>
        <w:t xml:space="preserve"> la confiance du public dans l</w:t>
      </w:r>
      <w:r w:rsidR="003B5BF0">
        <w:rPr>
          <w:rFonts w:ascii="Arial" w:hAnsi="Arial" w:cs="Arial"/>
          <w:noProof/>
          <w:szCs w:val="24"/>
          <w:lang w:val="fr-CA"/>
        </w:rPr>
        <w:t>e processus d’enquête sur les</w:t>
      </w:r>
      <w:r>
        <w:rPr>
          <w:rFonts w:ascii="Arial" w:hAnsi="Arial" w:cs="Arial"/>
          <w:noProof/>
          <w:szCs w:val="24"/>
          <w:lang w:val="fr-CA"/>
        </w:rPr>
        <w:t xml:space="preserve"> plaintes impliquant les juges de paix</w:t>
      </w:r>
      <w:r w:rsidR="00383781">
        <w:rPr>
          <w:rFonts w:ascii="Arial" w:hAnsi="Arial" w:cs="Arial"/>
          <w:noProof/>
          <w:szCs w:val="24"/>
          <w:lang w:val="fr-CA"/>
        </w:rPr>
        <w:t xml:space="preserve"> – </w:t>
      </w:r>
      <w:r>
        <w:rPr>
          <w:rFonts w:ascii="Arial" w:hAnsi="Arial" w:cs="Arial"/>
          <w:noProof/>
          <w:szCs w:val="24"/>
          <w:lang w:val="fr-CA"/>
        </w:rPr>
        <w:t xml:space="preserve"> </w:t>
      </w:r>
      <w:r w:rsidR="00383781">
        <w:rPr>
          <w:rFonts w:ascii="Arial" w:hAnsi="Arial" w:cs="Arial"/>
          <w:noProof/>
          <w:szCs w:val="24"/>
          <w:lang w:val="fr-CA"/>
        </w:rPr>
        <w:t xml:space="preserve">l’emportaient sur </w:t>
      </w:r>
      <w:r>
        <w:rPr>
          <w:rFonts w:ascii="Arial" w:hAnsi="Arial" w:cs="Arial"/>
          <w:noProof/>
          <w:szCs w:val="24"/>
          <w:lang w:val="fr-CA"/>
        </w:rPr>
        <w:t>les intérêts privés de l’intimé et</w:t>
      </w:r>
      <w:r w:rsidR="005F7F37" w:rsidRPr="000E37D6">
        <w:rPr>
          <w:rFonts w:ascii="Arial" w:hAnsi="Arial" w:cs="Arial"/>
          <w:noProof/>
          <w:szCs w:val="24"/>
          <w:lang w:val="fr-CA"/>
        </w:rPr>
        <w:t xml:space="preserve"> </w:t>
      </w:r>
      <w:r w:rsidR="00383781">
        <w:rPr>
          <w:rFonts w:ascii="Arial" w:hAnsi="Arial" w:cs="Arial"/>
          <w:noProof/>
          <w:szCs w:val="24"/>
          <w:lang w:val="fr-CA"/>
        </w:rPr>
        <w:t>compromettaient</w:t>
      </w:r>
      <w:r w:rsidR="005F7F37" w:rsidRPr="000E37D6">
        <w:rPr>
          <w:rFonts w:ascii="Arial" w:hAnsi="Arial" w:cs="Arial"/>
          <w:noProof/>
          <w:szCs w:val="24"/>
          <w:lang w:val="fr-CA"/>
        </w:rPr>
        <w:t xml:space="preserve"> </w:t>
      </w:r>
      <w:r>
        <w:rPr>
          <w:rFonts w:ascii="Arial" w:hAnsi="Arial" w:cs="Arial"/>
          <w:noProof/>
          <w:szCs w:val="24"/>
          <w:lang w:val="fr-CA"/>
        </w:rPr>
        <w:t xml:space="preserve">sa demande </w:t>
      </w:r>
      <w:r w:rsidR="00383781">
        <w:rPr>
          <w:rFonts w:ascii="Arial" w:hAnsi="Arial" w:cs="Arial"/>
          <w:noProof/>
          <w:szCs w:val="24"/>
          <w:lang w:val="fr-CA"/>
        </w:rPr>
        <w:t xml:space="preserve">en vue d’obtenir une </w:t>
      </w:r>
      <w:r>
        <w:rPr>
          <w:rFonts w:ascii="Arial" w:hAnsi="Arial" w:cs="Arial"/>
          <w:noProof/>
          <w:szCs w:val="24"/>
          <w:lang w:val="fr-CA"/>
        </w:rPr>
        <w:t>ordonnance d</w:t>
      </w:r>
      <w:r w:rsidR="003B5BF0">
        <w:rPr>
          <w:rFonts w:ascii="Arial" w:hAnsi="Arial" w:cs="Arial"/>
          <w:noProof/>
          <w:szCs w:val="24"/>
          <w:lang w:val="fr-CA"/>
        </w:rPr>
        <w:t>e non</w:t>
      </w:r>
      <w:r w:rsidR="003B5BF0">
        <w:rPr>
          <w:rFonts w:ascii="Arial" w:hAnsi="Arial" w:cs="Arial"/>
          <w:noProof/>
          <w:szCs w:val="24"/>
          <w:lang w:val="fr-CA"/>
        </w:rPr>
        <w:noBreakHyphen/>
      </w:r>
      <w:r>
        <w:rPr>
          <w:rFonts w:ascii="Arial" w:hAnsi="Arial" w:cs="Arial"/>
          <w:noProof/>
          <w:szCs w:val="24"/>
          <w:lang w:val="fr-CA"/>
        </w:rPr>
        <w:t>publication</w:t>
      </w:r>
      <w:r w:rsidR="00383781" w:rsidRPr="00383781">
        <w:rPr>
          <w:rFonts w:ascii="Arial" w:hAnsi="Arial" w:cs="Arial"/>
          <w:noProof/>
          <w:szCs w:val="24"/>
          <w:lang w:val="fr-CA"/>
        </w:rPr>
        <w:t xml:space="preserve"> </w:t>
      </w:r>
      <w:r w:rsidR="00383781">
        <w:rPr>
          <w:rFonts w:ascii="Arial" w:hAnsi="Arial" w:cs="Arial"/>
          <w:noProof/>
          <w:szCs w:val="24"/>
          <w:lang w:val="fr-CA"/>
        </w:rPr>
        <w:t>provisoire</w:t>
      </w:r>
      <w:r w:rsidR="00A3141A" w:rsidRPr="000E37D6">
        <w:rPr>
          <w:rFonts w:ascii="Arial" w:hAnsi="Arial" w:cs="Arial"/>
          <w:noProof/>
          <w:szCs w:val="24"/>
          <w:lang w:val="fr-CA"/>
        </w:rPr>
        <w:t>.</w:t>
      </w:r>
      <w:r w:rsidR="003B5BF0">
        <w:rPr>
          <w:rFonts w:ascii="Arial" w:hAnsi="Arial" w:cs="Arial"/>
          <w:noProof/>
          <w:szCs w:val="24"/>
          <w:lang w:val="fr-CA"/>
        </w:rPr>
        <w:t xml:space="preserve"> </w:t>
      </w:r>
    </w:p>
    <w:p w:rsidR="005F7F37" w:rsidRPr="000E37D6" w:rsidRDefault="000003CE" w:rsidP="00605734">
      <w:pPr>
        <w:pStyle w:val="Heading1"/>
        <w:spacing w:after="240"/>
        <w:rPr>
          <w:rFonts w:ascii="Arial" w:hAnsi="Arial" w:cs="Arial"/>
          <w:noProof/>
          <w:color w:val="auto"/>
          <w:lang w:val="fr-CA"/>
        </w:rPr>
      </w:pPr>
      <w:r>
        <w:rPr>
          <w:rFonts w:ascii="Arial" w:hAnsi="Arial" w:cs="Arial"/>
          <w:noProof/>
          <w:color w:val="auto"/>
          <w:lang w:val="fr-CA"/>
        </w:rPr>
        <w:lastRenderedPageBreak/>
        <w:t>Faits pertinents</w:t>
      </w:r>
    </w:p>
    <w:p w:rsidR="005F7F37" w:rsidRPr="000E37D6" w:rsidRDefault="00933386"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Dans le cadre de</w:t>
      </w:r>
      <w:r w:rsidR="000003CE">
        <w:rPr>
          <w:rFonts w:ascii="Arial" w:hAnsi="Arial" w:cs="Arial"/>
          <w:noProof/>
          <w:szCs w:val="24"/>
          <w:lang w:val="fr-CA"/>
        </w:rPr>
        <w:t xml:space="preserve"> </w:t>
      </w:r>
      <w:r w:rsidR="0069692E">
        <w:rPr>
          <w:rFonts w:ascii="Arial" w:hAnsi="Arial" w:cs="Arial"/>
          <w:noProof/>
          <w:szCs w:val="24"/>
          <w:lang w:val="fr-CA"/>
        </w:rPr>
        <w:t xml:space="preserve">son argumentation, </w:t>
      </w:r>
      <w:r w:rsidR="005F7F37" w:rsidRPr="000E37D6">
        <w:rPr>
          <w:rFonts w:ascii="Arial" w:hAnsi="Arial" w:cs="Arial"/>
          <w:noProof/>
          <w:szCs w:val="24"/>
          <w:lang w:val="fr-CA"/>
        </w:rPr>
        <w:t xml:space="preserve">M. Sandler </w:t>
      </w:r>
      <w:r w:rsidR="000003CE">
        <w:rPr>
          <w:rFonts w:ascii="Arial" w:hAnsi="Arial" w:cs="Arial"/>
          <w:noProof/>
          <w:szCs w:val="24"/>
          <w:lang w:val="fr-CA"/>
        </w:rPr>
        <w:t>a in</w:t>
      </w:r>
      <w:r w:rsidR="00D24B92">
        <w:rPr>
          <w:rFonts w:ascii="Arial" w:hAnsi="Arial" w:cs="Arial"/>
          <w:noProof/>
          <w:szCs w:val="24"/>
          <w:lang w:val="fr-CA"/>
        </w:rPr>
        <w:t>diqué</w:t>
      </w:r>
      <w:r w:rsidR="000003CE">
        <w:rPr>
          <w:rFonts w:ascii="Arial" w:hAnsi="Arial" w:cs="Arial"/>
          <w:noProof/>
          <w:szCs w:val="24"/>
          <w:lang w:val="fr-CA"/>
        </w:rPr>
        <w:t xml:space="preserve"> que l’intimé demande </w:t>
      </w:r>
      <w:r w:rsidR="0069692E">
        <w:rPr>
          <w:rFonts w:ascii="Arial" w:hAnsi="Arial" w:cs="Arial"/>
          <w:noProof/>
          <w:szCs w:val="24"/>
          <w:lang w:val="fr-CA"/>
        </w:rPr>
        <w:t>présentement</w:t>
      </w:r>
      <w:r w:rsidR="000003CE">
        <w:rPr>
          <w:rFonts w:ascii="Arial" w:hAnsi="Arial" w:cs="Arial"/>
          <w:noProof/>
          <w:szCs w:val="24"/>
          <w:lang w:val="fr-CA"/>
        </w:rPr>
        <w:t xml:space="preserve"> le contrôle judiciaire de la décision du comité des plaintes du Conseil d’évaluation des juges de paix</w:t>
      </w:r>
      <w:r w:rsidR="005F7F37" w:rsidRPr="000E37D6">
        <w:rPr>
          <w:rFonts w:ascii="Arial" w:hAnsi="Arial" w:cs="Arial"/>
          <w:noProof/>
          <w:szCs w:val="24"/>
          <w:lang w:val="fr-CA"/>
        </w:rPr>
        <w:t xml:space="preserve">. </w:t>
      </w:r>
      <w:r w:rsidR="000003CE">
        <w:rPr>
          <w:rFonts w:ascii="Arial" w:hAnsi="Arial" w:cs="Arial"/>
          <w:noProof/>
          <w:szCs w:val="24"/>
          <w:lang w:val="fr-CA"/>
        </w:rPr>
        <w:t>La décision du</w:t>
      </w:r>
      <w:r>
        <w:rPr>
          <w:rFonts w:ascii="Arial" w:hAnsi="Arial" w:cs="Arial"/>
          <w:noProof/>
          <w:szCs w:val="24"/>
          <w:lang w:val="fr-CA"/>
        </w:rPr>
        <w:t>dit</w:t>
      </w:r>
      <w:r w:rsidR="000003CE">
        <w:rPr>
          <w:rFonts w:ascii="Arial" w:hAnsi="Arial" w:cs="Arial"/>
          <w:noProof/>
          <w:szCs w:val="24"/>
          <w:lang w:val="fr-CA"/>
        </w:rPr>
        <w:t xml:space="preserve"> comité constitue le fondement des </w:t>
      </w:r>
      <w:r w:rsidR="00D24B92">
        <w:rPr>
          <w:rFonts w:ascii="Arial" w:hAnsi="Arial" w:cs="Arial"/>
          <w:noProof/>
          <w:szCs w:val="24"/>
          <w:lang w:val="fr-CA"/>
        </w:rPr>
        <w:t>éléments</w:t>
      </w:r>
      <w:r w:rsidR="00001978">
        <w:rPr>
          <w:rFonts w:ascii="Arial" w:hAnsi="Arial" w:cs="Arial"/>
          <w:noProof/>
          <w:szCs w:val="24"/>
          <w:lang w:val="fr-CA"/>
        </w:rPr>
        <w:t xml:space="preserve"> </w:t>
      </w:r>
      <w:r w:rsidR="000003CE">
        <w:rPr>
          <w:rFonts w:ascii="Arial" w:hAnsi="Arial" w:cs="Arial"/>
          <w:noProof/>
          <w:szCs w:val="24"/>
          <w:lang w:val="fr-CA"/>
        </w:rPr>
        <w:t xml:space="preserve">de la plainte qui fait </w:t>
      </w:r>
      <w:r w:rsidR="00D24B92">
        <w:rPr>
          <w:rFonts w:ascii="Arial" w:hAnsi="Arial" w:cs="Arial"/>
          <w:noProof/>
          <w:szCs w:val="24"/>
          <w:lang w:val="fr-CA"/>
        </w:rPr>
        <w:t>l</w:t>
      </w:r>
      <w:r w:rsidR="000003CE">
        <w:rPr>
          <w:rFonts w:ascii="Arial" w:hAnsi="Arial" w:cs="Arial"/>
          <w:noProof/>
          <w:szCs w:val="24"/>
          <w:lang w:val="fr-CA"/>
        </w:rPr>
        <w:t>’objet de la présente audience.</w:t>
      </w:r>
    </w:p>
    <w:p w:rsidR="005F7F37" w:rsidRPr="000E37D6" w:rsidRDefault="005F7F37" w:rsidP="00605734">
      <w:pPr>
        <w:pStyle w:val="Mainparagraph"/>
        <w:tabs>
          <w:tab w:val="clear" w:pos="1350"/>
          <w:tab w:val="left" w:pos="900"/>
        </w:tabs>
        <w:rPr>
          <w:rFonts w:ascii="Arial" w:hAnsi="Arial" w:cs="Arial"/>
          <w:noProof/>
          <w:szCs w:val="24"/>
          <w:lang w:val="fr-CA"/>
        </w:rPr>
      </w:pPr>
      <w:r w:rsidRPr="000E37D6">
        <w:rPr>
          <w:rFonts w:ascii="Arial" w:hAnsi="Arial" w:cs="Arial"/>
          <w:noProof/>
          <w:szCs w:val="24"/>
          <w:lang w:val="fr-CA"/>
        </w:rPr>
        <w:t xml:space="preserve">M. Sandler </w:t>
      </w:r>
      <w:r w:rsidR="00001978">
        <w:rPr>
          <w:rFonts w:ascii="Arial" w:hAnsi="Arial" w:cs="Arial"/>
          <w:noProof/>
          <w:szCs w:val="24"/>
          <w:lang w:val="fr-CA"/>
        </w:rPr>
        <w:t xml:space="preserve">a </w:t>
      </w:r>
      <w:r w:rsidR="00933386">
        <w:rPr>
          <w:rFonts w:ascii="Arial" w:hAnsi="Arial" w:cs="Arial"/>
          <w:noProof/>
          <w:szCs w:val="24"/>
          <w:lang w:val="fr-CA"/>
        </w:rPr>
        <w:t>évoqué les</w:t>
      </w:r>
      <w:r w:rsidR="00A11F7C">
        <w:rPr>
          <w:rFonts w:ascii="Arial" w:hAnsi="Arial" w:cs="Arial"/>
          <w:noProof/>
          <w:szCs w:val="24"/>
          <w:lang w:val="fr-CA"/>
        </w:rPr>
        <w:t xml:space="preserve"> règles </w:t>
      </w:r>
      <w:r w:rsidR="00943AF4">
        <w:rPr>
          <w:rFonts w:ascii="Arial" w:hAnsi="Arial" w:cs="Arial"/>
          <w:noProof/>
          <w:szCs w:val="24"/>
          <w:lang w:val="fr-CA"/>
        </w:rPr>
        <w:t>de</w:t>
      </w:r>
      <w:r w:rsidR="00001978">
        <w:rPr>
          <w:rFonts w:ascii="Arial" w:hAnsi="Arial" w:cs="Arial"/>
          <w:noProof/>
          <w:szCs w:val="24"/>
          <w:lang w:val="fr-CA"/>
        </w:rPr>
        <w:t xml:space="preserve"> </w:t>
      </w:r>
      <w:r w:rsidR="00D24B92">
        <w:rPr>
          <w:rFonts w:ascii="Arial" w:hAnsi="Arial" w:cs="Arial"/>
          <w:noProof/>
          <w:szCs w:val="24"/>
          <w:lang w:val="fr-CA"/>
        </w:rPr>
        <w:t>p</w:t>
      </w:r>
      <w:r w:rsidR="00001978">
        <w:rPr>
          <w:rFonts w:ascii="Arial" w:hAnsi="Arial" w:cs="Arial"/>
          <w:noProof/>
          <w:szCs w:val="24"/>
          <w:lang w:val="fr-CA"/>
        </w:rPr>
        <w:t>rocédure du Conseil d’évaluation qui prévoi</w:t>
      </w:r>
      <w:r w:rsidR="00A11F7C">
        <w:rPr>
          <w:rFonts w:ascii="Arial" w:hAnsi="Arial" w:cs="Arial"/>
          <w:noProof/>
          <w:szCs w:val="24"/>
          <w:lang w:val="fr-CA"/>
        </w:rPr>
        <w:t>en</w:t>
      </w:r>
      <w:r w:rsidR="00001978">
        <w:rPr>
          <w:rFonts w:ascii="Arial" w:hAnsi="Arial" w:cs="Arial"/>
          <w:noProof/>
          <w:szCs w:val="24"/>
          <w:lang w:val="fr-CA"/>
        </w:rPr>
        <w:t xml:space="preserve">t que </w:t>
      </w:r>
      <w:r w:rsidR="00D24B92">
        <w:rPr>
          <w:rFonts w:ascii="Arial" w:hAnsi="Arial" w:cs="Arial"/>
          <w:noProof/>
          <w:szCs w:val="24"/>
          <w:lang w:val="fr-CA"/>
        </w:rPr>
        <w:t xml:space="preserve">la date </w:t>
      </w:r>
      <w:r w:rsidR="00A11F7C">
        <w:rPr>
          <w:rFonts w:ascii="Arial" w:hAnsi="Arial" w:cs="Arial"/>
          <w:noProof/>
          <w:szCs w:val="24"/>
          <w:lang w:val="fr-CA"/>
        </w:rPr>
        <w:t xml:space="preserve">initiale </w:t>
      </w:r>
      <w:r w:rsidR="00D24B92">
        <w:rPr>
          <w:rFonts w:ascii="Arial" w:hAnsi="Arial" w:cs="Arial"/>
          <w:noProof/>
          <w:szCs w:val="24"/>
          <w:lang w:val="fr-CA"/>
        </w:rPr>
        <w:t xml:space="preserve">fixée </w:t>
      </w:r>
      <w:r w:rsidR="00A5268F" w:rsidRPr="000E37D6">
        <w:rPr>
          <w:rFonts w:ascii="Arial" w:hAnsi="Arial" w:cs="Arial"/>
          <w:noProof/>
          <w:szCs w:val="24"/>
          <w:lang w:val="fr-CA"/>
        </w:rPr>
        <w:t xml:space="preserve">commence </w:t>
      </w:r>
      <w:r w:rsidR="00D24B92">
        <w:rPr>
          <w:rFonts w:ascii="Arial" w:hAnsi="Arial" w:cs="Arial"/>
          <w:noProof/>
          <w:szCs w:val="24"/>
          <w:lang w:val="fr-CA"/>
        </w:rPr>
        <w:t>par le</w:t>
      </w:r>
      <w:r w:rsidR="00001978">
        <w:rPr>
          <w:rFonts w:ascii="Arial" w:hAnsi="Arial" w:cs="Arial"/>
          <w:noProof/>
          <w:szCs w:val="24"/>
          <w:lang w:val="fr-CA"/>
        </w:rPr>
        <w:t xml:space="preserve"> dépôt de l’avis d’audience</w:t>
      </w:r>
      <w:r w:rsidR="00A5268F" w:rsidRPr="000E37D6">
        <w:rPr>
          <w:rFonts w:ascii="Arial" w:hAnsi="Arial" w:cs="Arial"/>
          <w:noProof/>
          <w:szCs w:val="24"/>
          <w:lang w:val="fr-CA"/>
        </w:rPr>
        <w:t xml:space="preserve">, </w:t>
      </w:r>
      <w:r w:rsidR="00D24B92">
        <w:rPr>
          <w:rFonts w:ascii="Arial" w:hAnsi="Arial" w:cs="Arial"/>
          <w:noProof/>
          <w:szCs w:val="24"/>
          <w:lang w:val="fr-CA"/>
        </w:rPr>
        <w:t xml:space="preserve">et que c’est à ce </w:t>
      </w:r>
      <w:r w:rsidR="00001978">
        <w:rPr>
          <w:rFonts w:ascii="Arial" w:hAnsi="Arial" w:cs="Arial"/>
          <w:noProof/>
          <w:szCs w:val="24"/>
          <w:lang w:val="fr-CA"/>
        </w:rPr>
        <w:t xml:space="preserve">moment </w:t>
      </w:r>
      <w:r w:rsidR="00D24B92">
        <w:rPr>
          <w:rFonts w:ascii="Arial" w:hAnsi="Arial" w:cs="Arial"/>
          <w:noProof/>
          <w:szCs w:val="24"/>
          <w:lang w:val="fr-CA"/>
        </w:rPr>
        <w:t xml:space="preserve">que </w:t>
      </w:r>
      <w:r w:rsidR="00001978">
        <w:rPr>
          <w:rFonts w:ascii="Arial" w:hAnsi="Arial" w:cs="Arial"/>
          <w:noProof/>
          <w:szCs w:val="24"/>
          <w:lang w:val="fr-CA"/>
        </w:rPr>
        <w:t>la procédure devient publique.</w:t>
      </w:r>
      <w:r w:rsidR="00A5268F" w:rsidRPr="000E37D6">
        <w:rPr>
          <w:rFonts w:ascii="Arial" w:hAnsi="Arial" w:cs="Arial"/>
          <w:noProof/>
          <w:szCs w:val="24"/>
          <w:lang w:val="fr-CA"/>
        </w:rPr>
        <w:t xml:space="preserve"> </w:t>
      </w:r>
      <w:r w:rsidR="00001978">
        <w:rPr>
          <w:rFonts w:ascii="Arial" w:hAnsi="Arial" w:cs="Arial"/>
          <w:noProof/>
          <w:szCs w:val="24"/>
          <w:lang w:val="fr-CA"/>
        </w:rPr>
        <w:t>Il a indiqué qu’étant donné la contestation exist</w:t>
      </w:r>
      <w:r w:rsidR="00A11F7C">
        <w:rPr>
          <w:rFonts w:ascii="Arial" w:hAnsi="Arial" w:cs="Arial"/>
          <w:noProof/>
          <w:szCs w:val="24"/>
          <w:lang w:val="fr-CA"/>
        </w:rPr>
        <w:t>a</w:t>
      </w:r>
      <w:r w:rsidR="00001978">
        <w:rPr>
          <w:rFonts w:ascii="Arial" w:hAnsi="Arial" w:cs="Arial"/>
          <w:noProof/>
          <w:szCs w:val="24"/>
          <w:lang w:val="fr-CA"/>
        </w:rPr>
        <w:t xml:space="preserve">nte </w:t>
      </w:r>
      <w:r w:rsidR="00933386">
        <w:rPr>
          <w:rFonts w:ascii="Arial" w:hAnsi="Arial" w:cs="Arial"/>
          <w:noProof/>
          <w:szCs w:val="24"/>
          <w:lang w:val="fr-CA"/>
        </w:rPr>
        <w:t>par</w:t>
      </w:r>
      <w:r w:rsidR="00001978">
        <w:rPr>
          <w:rFonts w:ascii="Arial" w:hAnsi="Arial" w:cs="Arial"/>
          <w:noProof/>
          <w:szCs w:val="24"/>
          <w:lang w:val="fr-CA"/>
        </w:rPr>
        <w:t xml:space="preserve"> l’intimé à l’</w:t>
      </w:r>
      <w:r w:rsidR="00A11F7C">
        <w:rPr>
          <w:rFonts w:ascii="Arial" w:hAnsi="Arial" w:cs="Arial"/>
          <w:noProof/>
          <w:szCs w:val="24"/>
          <w:lang w:val="fr-CA"/>
        </w:rPr>
        <w:t>égard</w:t>
      </w:r>
      <w:r w:rsidR="00001978">
        <w:rPr>
          <w:rFonts w:ascii="Arial" w:hAnsi="Arial" w:cs="Arial"/>
          <w:noProof/>
          <w:szCs w:val="24"/>
          <w:lang w:val="fr-CA"/>
        </w:rPr>
        <w:t xml:space="preserve"> de la décision du comité des plaintes d’ordonner </w:t>
      </w:r>
      <w:r w:rsidR="00A11F7C">
        <w:rPr>
          <w:rFonts w:ascii="Arial" w:hAnsi="Arial" w:cs="Arial"/>
          <w:noProof/>
          <w:szCs w:val="24"/>
          <w:lang w:val="fr-CA"/>
        </w:rPr>
        <w:t>la tenue d’</w:t>
      </w:r>
      <w:r w:rsidR="00001978">
        <w:rPr>
          <w:rFonts w:ascii="Arial" w:hAnsi="Arial" w:cs="Arial"/>
          <w:noProof/>
          <w:szCs w:val="24"/>
          <w:lang w:val="fr-CA"/>
        </w:rPr>
        <w:t xml:space="preserve">une audience, </w:t>
      </w:r>
      <w:r w:rsidR="00A11F7C">
        <w:rPr>
          <w:rFonts w:ascii="Arial" w:hAnsi="Arial" w:cs="Arial"/>
          <w:noProof/>
          <w:szCs w:val="24"/>
          <w:lang w:val="fr-CA"/>
        </w:rPr>
        <w:t xml:space="preserve">il implorait </w:t>
      </w:r>
      <w:r w:rsidR="00001978">
        <w:rPr>
          <w:rFonts w:ascii="Arial" w:hAnsi="Arial" w:cs="Arial"/>
          <w:noProof/>
          <w:szCs w:val="24"/>
          <w:lang w:val="fr-CA"/>
        </w:rPr>
        <w:t>le comité d’audi</w:t>
      </w:r>
      <w:r w:rsidR="00933386">
        <w:rPr>
          <w:rFonts w:ascii="Arial" w:hAnsi="Arial" w:cs="Arial"/>
          <w:noProof/>
          <w:szCs w:val="24"/>
          <w:lang w:val="fr-CA"/>
        </w:rPr>
        <w:t>tion</w:t>
      </w:r>
      <w:r w:rsidR="00001978">
        <w:rPr>
          <w:rFonts w:ascii="Arial" w:hAnsi="Arial" w:cs="Arial"/>
          <w:noProof/>
          <w:szCs w:val="24"/>
          <w:lang w:val="fr-CA"/>
        </w:rPr>
        <w:t xml:space="preserve"> </w:t>
      </w:r>
      <w:r w:rsidR="00A11F7C">
        <w:rPr>
          <w:rFonts w:ascii="Arial" w:hAnsi="Arial" w:cs="Arial"/>
          <w:noProof/>
          <w:szCs w:val="24"/>
          <w:lang w:val="fr-CA"/>
        </w:rPr>
        <w:t>d</w:t>
      </w:r>
      <w:r w:rsidR="00C34317">
        <w:rPr>
          <w:rFonts w:ascii="Arial" w:hAnsi="Arial" w:cs="Arial"/>
          <w:noProof/>
          <w:szCs w:val="24"/>
          <w:lang w:val="fr-CA"/>
        </w:rPr>
        <w:t>e faire preuve de retenue</w:t>
      </w:r>
      <w:r w:rsidRPr="000E37D6">
        <w:rPr>
          <w:rFonts w:ascii="Arial" w:hAnsi="Arial" w:cs="Arial"/>
          <w:noProof/>
          <w:szCs w:val="24"/>
          <w:lang w:val="fr-CA"/>
        </w:rPr>
        <w:t xml:space="preserve"> </w:t>
      </w:r>
      <w:r w:rsidR="00001978">
        <w:rPr>
          <w:rFonts w:ascii="Arial" w:hAnsi="Arial" w:cs="Arial"/>
          <w:noProof/>
          <w:szCs w:val="24"/>
          <w:lang w:val="fr-CA"/>
        </w:rPr>
        <w:t xml:space="preserve">lors de la réception de l’avis d’audience, </w:t>
      </w:r>
      <w:r w:rsidR="00A11F7C">
        <w:rPr>
          <w:rFonts w:ascii="Arial" w:hAnsi="Arial" w:cs="Arial"/>
          <w:noProof/>
          <w:szCs w:val="24"/>
          <w:lang w:val="fr-CA"/>
        </w:rPr>
        <w:t>car la</w:t>
      </w:r>
      <w:r w:rsidR="00001978">
        <w:rPr>
          <w:rFonts w:ascii="Arial" w:hAnsi="Arial" w:cs="Arial"/>
          <w:noProof/>
          <w:szCs w:val="24"/>
          <w:lang w:val="fr-CA"/>
        </w:rPr>
        <w:t xml:space="preserve"> pièce </w:t>
      </w:r>
      <w:r w:rsidR="002F6977" w:rsidRPr="000E37D6">
        <w:rPr>
          <w:rFonts w:ascii="Arial" w:hAnsi="Arial" w:cs="Arial"/>
          <w:noProof/>
          <w:szCs w:val="24"/>
          <w:lang w:val="fr-CA"/>
        </w:rPr>
        <w:t>num</w:t>
      </w:r>
      <w:r w:rsidR="00001978">
        <w:rPr>
          <w:rFonts w:ascii="Arial" w:hAnsi="Arial" w:cs="Arial"/>
          <w:noProof/>
          <w:szCs w:val="24"/>
          <w:lang w:val="fr-CA"/>
        </w:rPr>
        <w:t>érotée qui pouvait être publi</w:t>
      </w:r>
      <w:r w:rsidR="00B809D7">
        <w:rPr>
          <w:rFonts w:ascii="Arial" w:hAnsi="Arial" w:cs="Arial"/>
          <w:noProof/>
          <w:szCs w:val="24"/>
          <w:lang w:val="fr-CA"/>
        </w:rPr>
        <w:t>é</w:t>
      </w:r>
      <w:r w:rsidR="00001978">
        <w:rPr>
          <w:rFonts w:ascii="Arial" w:hAnsi="Arial" w:cs="Arial"/>
          <w:noProof/>
          <w:szCs w:val="24"/>
          <w:lang w:val="fr-CA"/>
        </w:rPr>
        <w:t xml:space="preserve">e en tant </w:t>
      </w:r>
      <w:r w:rsidR="00B809D7">
        <w:rPr>
          <w:rFonts w:ascii="Arial" w:hAnsi="Arial" w:cs="Arial"/>
          <w:noProof/>
          <w:szCs w:val="24"/>
          <w:lang w:val="fr-CA"/>
        </w:rPr>
        <w:t xml:space="preserve">que </w:t>
      </w:r>
      <w:r w:rsidR="00001978">
        <w:rPr>
          <w:rFonts w:ascii="Arial" w:hAnsi="Arial" w:cs="Arial"/>
          <w:noProof/>
          <w:szCs w:val="24"/>
          <w:lang w:val="fr-CA"/>
        </w:rPr>
        <w:t>procédure ju</w:t>
      </w:r>
      <w:r w:rsidR="00A12C9F">
        <w:rPr>
          <w:rFonts w:ascii="Arial" w:hAnsi="Arial" w:cs="Arial"/>
          <w:noProof/>
          <w:szCs w:val="24"/>
          <w:lang w:val="fr-CA"/>
        </w:rPr>
        <w:t>diciaire</w:t>
      </w:r>
      <w:r w:rsidR="00B809D7">
        <w:rPr>
          <w:rFonts w:ascii="Arial" w:hAnsi="Arial" w:cs="Arial"/>
          <w:noProof/>
          <w:szCs w:val="24"/>
          <w:lang w:val="fr-CA"/>
        </w:rPr>
        <w:t xml:space="preserve"> </w:t>
      </w:r>
      <w:r w:rsidR="00C34317">
        <w:rPr>
          <w:rFonts w:ascii="Arial" w:hAnsi="Arial" w:cs="Arial"/>
          <w:noProof/>
          <w:szCs w:val="24"/>
          <w:lang w:val="fr-CA"/>
        </w:rPr>
        <w:t>présentée</w:t>
      </w:r>
      <w:r w:rsidR="00B809D7">
        <w:rPr>
          <w:rFonts w:ascii="Arial" w:hAnsi="Arial" w:cs="Arial"/>
          <w:noProof/>
          <w:szCs w:val="24"/>
          <w:lang w:val="fr-CA"/>
        </w:rPr>
        <w:t xml:space="preserve"> par son </w:t>
      </w:r>
      <w:r w:rsidR="0080660E">
        <w:rPr>
          <w:rFonts w:ascii="Arial" w:hAnsi="Arial" w:cs="Arial"/>
          <w:noProof/>
          <w:szCs w:val="24"/>
          <w:lang w:val="fr-CA"/>
        </w:rPr>
        <w:t>H</w:t>
      </w:r>
      <w:r w:rsidR="00001978">
        <w:rPr>
          <w:rFonts w:ascii="Arial" w:hAnsi="Arial" w:cs="Arial"/>
          <w:noProof/>
          <w:szCs w:val="24"/>
          <w:lang w:val="fr-CA"/>
        </w:rPr>
        <w:t xml:space="preserve">onneur </w:t>
      </w:r>
      <w:r w:rsidR="00B809D7">
        <w:rPr>
          <w:rFonts w:ascii="Arial" w:hAnsi="Arial" w:cs="Arial"/>
          <w:noProof/>
          <w:szCs w:val="24"/>
          <w:lang w:val="fr-CA"/>
        </w:rPr>
        <w:t xml:space="preserve">Foulds </w:t>
      </w:r>
      <w:r w:rsidR="00001978">
        <w:rPr>
          <w:rFonts w:ascii="Arial" w:hAnsi="Arial" w:cs="Arial"/>
          <w:noProof/>
          <w:szCs w:val="24"/>
          <w:lang w:val="fr-CA"/>
        </w:rPr>
        <w:t>comprenait une constestation à la fois des fondements de fait et de droit de la plainte même.</w:t>
      </w:r>
    </w:p>
    <w:p w:rsidR="005F7F37" w:rsidRPr="000E37D6" w:rsidRDefault="005F7F37" w:rsidP="00605734">
      <w:pPr>
        <w:pStyle w:val="Mainparagraph"/>
        <w:tabs>
          <w:tab w:val="clear" w:pos="1350"/>
          <w:tab w:val="left" w:pos="900"/>
        </w:tabs>
        <w:rPr>
          <w:rFonts w:ascii="Arial" w:hAnsi="Arial" w:cs="Arial"/>
          <w:noProof/>
          <w:szCs w:val="24"/>
          <w:lang w:val="fr-CA"/>
        </w:rPr>
      </w:pPr>
      <w:r w:rsidRPr="000E37D6">
        <w:rPr>
          <w:rFonts w:ascii="Arial" w:hAnsi="Arial" w:cs="Arial"/>
          <w:noProof/>
          <w:szCs w:val="24"/>
          <w:lang w:val="fr-CA"/>
        </w:rPr>
        <w:t xml:space="preserve">M. Sandler </w:t>
      </w:r>
      <w:r w:rsidR="0080660E">
        <w:rPr>
          <w:rFonts w:ascii="Arial" w:hAnsi="Arial" w:cs="Arial"/>
          <w:noProof/>
          <w:szCs w:val="24"/>
          <w:lang w:val="fr-CA"/>
        </w:rPr>
        <w:t xml:space="preserve">a fait part de ses préoccupations en ce qui a trait au « préjudice potentiel » </w:t>
      </w:r>
      <w:r w:rsidR="009C3DD5">
        <w:rPr>
          <w:rFonts w:ascii="Arial" w:hAnsi="Arial" w:cs="Arial"/>
          <w:noProof/>
          <w:szCs w:val="24"/>
          <w:lang w:val="fr-CA"/>
        </w:rPr>
        <w:t>pour le</w:t>
      </w:r>
      <w:r w:rsidR="0080660E">
        <w:rPr>
          <w:rFonts w:ascii="Arial" w:hAnsi="Arial" w:cs="Arial"/>
          <w:noProof/>
          <w:szCs w:val="24"/>
          <w:lang w:val="fr-CA"/>
        </w:rPr>
        <w:t xml:space="preserve"> juge de paix Foulds, </w:t>
      </w:r>
      <w:r w:rsidR="009C3DD5">
        <w:rPr>
          <w:rFonts w:ascii="Arial" w:hAnsi="Arial" w:cs="Arial"/>
          <w:noProof/>
          <w:szCs w:val="24"/>
          <w:lang w:val="fr-CA"/>
        </w:rPr>
        <w:t>car</w:t>
      </w:r>
      <w:r w:rsidR="0080660E">
        <w:rPr>
          <w:rFonts w:ascii="Arial" w:hAnsi="Arial" w:cs="Arial"/>
          <w:noProof/>
          <w:szCs w:val="24"/>
          <w:lang w:val="fr-CA"/>
        </w:rPr>
        <w:t xml:space="preserve"> son Honneur </w:t>
      </w:r>
      <w:r w:rsidR="00A12C9F">
        <w:rPr>
          <w:rFonts w:ascii="Arial" w:hAnsi="Arial" w:cs="Arial"/>
          <w:noProof/>
          <w:szCs w:val="24"/>
          <w:lang w:val="fr-CA"/>
        </w:rPr>
        <w:t xml:space="preserve">demande </w:t>
      </w:r>
      <w:r w:rsidR="0080660E">
        <w:rPr>
          <w:rFonts w:ascii="Arial" w:hAnsi="Arial" w:cs="Arial"/>
          <w:noProof/>
          <w:szCs w:val="24"/>
          <w:lang w:val="fr-CA"/>
        </w:rPr>
        <w:t>le contrôle judiciaire de la décision du comité des plaintes.</w:t>
      </w:r>
      <w:r w:rsidRPr="000E37D6">
        <w:rPr>
          <w:rFonts w:ascii="Arial" w:hAnsi="Arial" w:cs="Arial"/>
          <w:noProof/>
          <w:szCs w:val="24"/>
          <w:lang w:val="fr-CA"/>
        </w:rPr>
        <w:t xml:space="preserve"> </w:t>
      </w:r>
      <w:r w:rsidR="00305D48">
        <w:rPr>
          <w:rFonts w:ascii="Arial" w:hAnsi="Arial" w:cs="Arial"/>
          <w:noProof/>
          <w:szCs w:val="24"/>
          <w:lang w:val="fr-CA"/>
        </w:rPr>
        <w:t>Il n’a pas décrit l</w:t>
      </w:r>
      <w:r w:rsidR="0080660E">
        <w:rPr>
          <w:rFonts w:ascii="Arial" w:hAnsi="Arial" w:cs="Arial"/>
          <w:noProof/>
          <w:szCs w:val="24"/>
          <w:lang w:val="fr-CA"/>
        </w:rPr>
        <w:t>a</w:t>
      </w:r>
      <w:r w:rsidRPr="000E37D6">
        <w:rPr>
          <w:rFonts w:ascii="Arial" w:hAnsi="Arial" w:cs="Arial"/>
          <w:noProof/>
          <w:szCs w:val="24"/>
          <w:lang w:val="fr-CA"/>
        </w:rPr>
        <w:t xml:space="preserve"> nature </w:t>
      </w:r>
      <w:r w:rsidR="0080660E">
        <w:rPr>
          <w:rFonts w:ascii="Arial" w:hAnsi="Arial" w:cs="Arial"/>
          <w:noProof/>
          <w:szCs w:val="24"/>
          <w:lang w:val="fr-CA"/>
        </w:rPr>
        <w:t>ou les éléments précis du « préjudice potentiel » pour l’intimé</w:t>
      </w:r>
      <w:r w:rsidR="00305D48">
        <w:rPr>
          <w:rFonts w:ascii="Arial" w:hAnsi="Arial" w:cs="Arial"/>
          <w:noProof/>
          <w:szCs w:val="24"/>
          <w:lang w:val="fr-CA"/>
        </w:rPr>
        <w:t xml:space="preserve">, mais </w:t>
      </w:r>
      <w:r w:rsidR="001F458A">
        <w:rPr>
          <w:rFonts w:ascii="Arial" w:hAnsi="Arial" w:cs="Arial"/>
          <w:noProof/>
          <w:szCs w:val="24"/>
          <w:lang w:val="fr-CA"/>
        </w:rPr>
        <w:t xml:space="preserve">a </w:t>
      </w:r>
      <w:r w:rsidR="00305D48">
        <w:rPr>
          <w:rFonts w:ascii="Arial" w:hAnsi="Arial" w:cs="Arial"/>
          <w:noProof/>
          <w:szCs w:val="24"/>
          <w:lang w:val="fr-CA"/>
        </w:rPr>
        <w:t>seulement fait</w:t>
      </w:r>
      <w:r w:rsidR="0080660E">
        <w:rPr>
          <w:rFonts w:ascii="Arial" w:hAnsi="Arial" w:cs="Arial"/>
          <w:noProof/>
          <w:szCs w:val="24"/>
          <w:lang w:val="fr-CA"/>
        </w:rPr>
        <w:t xml:space="preserve"> référence </w:t>
      </w:r>
      <w:r w:rsidR="00321164">
        <w:rPr>
          <w:rFonts w:ascii="Arial" w:hAnsi="Arial" w:cs="Arial"/>
          <w:noProof/>
          <w:szCs w:val="24"/>
          <w:lang w:val="fr-CA"/>
        </w:rPr>
        <w:t>à l</w:t>
      </w:r>
      <w:r w:rsidR="00305D48">
        <w:rPr>
          <w:rFonts w:ascii="Arial" w:hAnsi="Arial" w:cs="Arial"/>
          <w:noProof/>
          <w:szCs w:val="24"/>
          <w:lang w:val="fr-CA"/>
        </w:rPr>
        <w:t>’allégation</w:t>
      </w:r>
      <w:r w:rsidR="00321164">
        <w:rPr>
          <w:rFonts w:ascii="Arial" w:hAnsi="Arial" w:cs="Arial"/>
          <w:noProof/>
          <w:szCs w:val="24"/>
          <w:lang w:val="fr-CA"/>
        </w:rPr>
        <w:t xml:space="preserve"> selon laquelle </w:t>
      </w:r>
      <w:r w:rsidR="00305D48">
        <w:rPr>
          <w:rFonts w:ascii="Arial" w:hAnsi="Arial" w:cs="Arial"/>
          <w:noProof/>
          <w:szCs w:val="24"/>
          <w:lang w:val="fr-CA"/>
        </w:rPr>
        <w:t xml:space="preserve">on peut </w:t>
      </w:r>
      <w:r w:rsidR="00321164">
        <w:rPr>
          <w:rFonts w:ascii="Arial" w:hAnsi="Arial" w:cs="Arial"/>
          <w:noProof/>
          <w:szCs w:val="24"/>
          <w:lang w:val="fr-CA"/>
        </w:rPr>
        <w:t xml:space="preserve">raisonnablement </w:t>
      </w:r>
      <w:r w:rsidR="00305D48">
        <w:rPr>
          <w:rFonts w:ascii="Arial" w:hAnsi="Arial" w:cs="Arial"/>
          <w:noProof/>
          <w:szCs w:val="24"/>
          <w:lang w:val="fr-CA"/>
        </w:rPr>
        <w:t xml:space="preserve">s’attendre à ce </w:t>
      </w:r>
      <w:r w:rsidR="00321164">
        <w:rPr>
          <w:rFonts w:ascii="Arial" w:hAnsi="Arial" w:cs="Arial"/>
          <w:noProof/>
          <w:szCs w:val="24"/>
          <w:lang w:val="fr-CA"/>
        </w:rPr>
        <w:t>que la diffusion de la plainte ait des répercussions sur la capacité de l’intimé à continuer de s’acquitter de</w:t>
      </w:r>
      <w:r w:rsidR="00E1250B">
        <w:rPr>
          <w:rFonts w:ascii="Arial" w:hAnsi="Arial" w:cs="Arial"/>
          <w:noProof/>
          <w:szCs w:val="24"/>
          <w:lang w:val="fr-CA"/>
        </w:rPr>
        <w:t xml:space="preserve"> se</w:t>
      </w:r>
      <w:r w:rsidR="00321164">
        <w:rPr>
          <w:rFonts w:ascii="Arial" w:hAnsi="Arial" w:cs="Arial"/>
          <w:noProof/>
          <w:szCs w:val="24"/>
          <w:lang w:val="fr-CA"/>
        </w:rPr>
        <w:t xml:space="preserve">s fonctions pendant </w:t>
      </w:r>
      <w:r w:rsidR="00933386">
        <w:rPr>
          <w:rFonts w:ascii="Arial" w:hAnsi="Arial" w:cs="Arial"/>
          <w:noProof/>
          <w:szCs w:val="24"/>
          <w:lang w:val="fr-CA"/>
        </w:rPr>
        <w:t xml:space="preserve">le déroulement de </w:t>
      </w:r>
      <w:r w:rsidR="00321164">
        <w:rPr>
          <w:rFonts w:ascii="Arial" w:hAnsi="Arial" w:cs="Arial"/>
          <w:noProof/>
          <w:szCs w:val="24"/>
          <w:lang w:val="fr-CA"/>
        </w:rPr>
        <w:t>la contestation judiciaire</w:t>
      </w:r>
      <w:r w:rsidR="00605734" w:rsidRPr="000E37D6">
        <w:rPr>
          <w:rFonts w:ascii="Arial" w:hAnsi="Arial" w:cs="Arial"/>
          <w:noProof/>
          <w:szCs w:val="24"/>
          <w:lang w:val="fr-CA"/>
        </w:rPr>
        <w:t>.</w:t>
      </w:r>
    </w:p>
    <w:p w:rsidR="005F7F37" w:rsidRPr="000E37D6" w:rsidRDefault="001F458A"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C</w:t>
      </w:r>
      <w:r w:rsidR="003B5167">
        <w:rPr>
          <w:rFonts w:ascii="Arial" w:hAnsi="Arial" w:cs="Arial"/>
          <w:noProof/>
          <w:szCs w:val="24"/>
          <w:lang w:val="fr-CA"/>
        </w:rPr>
        <w:t xml:space="preserve">omme il a été </w:t>
      </w:r>
      <w:r>
        <w:rPr>
          <w:rFonts w:ascii="Arial" w:hAnsi="Arial" w:cs="Arial"/>
          <w:noProof/>
          <w:szCs w:val="24"/>
          <w:lang w:val="fr-CA"/>
        </w:rPr>
        <w:t>mentionné</w:t>
      </w:r>
      <w:r w:rsidR="003B5167">
        <w:rPr>
          <w:rFonts w:ascii="Arial" w:hAnsi="Arial" w:cs="Arial"/>
          <w:noProof/>
          <w:szCs w:val="24"/>
          <w:lang w:val="fr-CA"/>
        </w:rPr>
        <w:t xml:space="preserve">, </w:t>
      </w:r>
      <w:r w:rsidRPr="000E37D6">
        <w:rPr>
          <w:rFonts w:ascii="Arial" w:hAnsi="Arial" w:cs="Arial"/>
          <w:noProof/>
          <w:szCs w:val="24"/>
          <w:lang w:val="fr-CA"/>
        </w:rPr>
        <w:t xml:space="preserve">M. Sandler </w:t>
      </w:r>
      <w:r w:rsidR="003B5167">
        <w:rPr>
          <w:rFonts w:ascii="Arial" w:hAnsi="Arial" w:cs="Arial"/>
          <w:noProof/>
          <w:szCs w:val="24"/>
          <w:lang w:val="fr-CA"/>
        </w:rPr>
        <w:t xml:space="preserve">a demandé que l’avis d’audience ne soit pas reçu </w:t>
      </w:r>
      <w:r w:rsidR="00E8074D">
        <w:rPr>
          <w:rFonts w:ascii="Arial" w:hAnsi="Arial" w:cs="Arial"/>
          <w:noProof/>
          <w:szCs w:val="24"/>
          <w:lang w:val="fr-CA"/>
        </w:rPr>
        <w:t>comme</w:t>
      </w:r>
      <w:r w:rsidR="003B5167">
        <w:rPr>
          <w:rFonts w:ascii="Arial" w:hAnsi="Arial" w:cs="Arial"/>
          <w:noProof/>
          <w:szCs w:val="24"/>
          <w:lang w:val="fr-CA"/>
        </w:rPr>
        <w:t xml:space="preserve"> pièce ou, subsidiairement, qu</w:t>
      </w:r>
      <w:r>
        <w:rPr>
          <w:rFonts w:ascii="Arial" w:hAnsi="Arial" w:cs="Arial"/>
          <w:noProof/>
          <w:szCs w:val="24"/>
          <w:lang w:val="fr-CA"/>
        </w:rPr>
        <w:t>e l’avis d’audience</w:t>
      </w:r>
      <w:r w:rsidR="003B5167">
        <w:rPr>
          <w:rFonts w:ascii="Arial" w:hAnsi="Arial" w:cs="Arial"/>
          <w:noProof/>
          <w:szCs w:val="24"/>
          <w:lang w:val="fr-CA"/>
        </w:rPr>
        <w:t xml:space="preserve"> soit reçu provisoirement ou </w:t>
      </w:r>
      <w:r w:rsidR="00E8074D">
        <w:rPr>
          <w:rFonts w:ascii="Arial" w:hAnsi="Arial" w:cs="Arial"/>
          <w:noProof/>
          <w:szCs w:val="24"/>
          <w:lang w:val="fr-CA"/>
        </w:rPr>
        <w:t xml:space="preserve">comme </w:t>
      </w:r>
      <w:r w:rsidR="003B5167">
        <w:rPr>
          <w:rFonts w:ascii="Arial" w:hAnsi="Arial" w:cs="Arial"/>
          <w:noProof/>
          <w:szCs w:val="24"/>
          <w:lang w:val="fr-CA"/>
        </w:rPr>
        <w:t xml:space="preserve">pièce </w:t>
      </w:r>
      <w:r>
        <w:rPr>
          <w:rFonts w:ascii="Arial" w:hAnsi="Arial" w:cs="Arial"/>
          <w:noProof/>
          <w:szCs w:val="24"/>
          <w:lang w:val="fr-CA"/>
        </w:rPr>
        <w:t xml:space="preserve">désignée par </w:t>
      </w:r>
      <w:r w:rsidR="003C2EC8">
        <w:rPr>
          <w:rFonts w:ascii="Arial" w:hAnsi="Arial" w:cs="Arial"/>
          <w:noProof/>
          <w:szCs w:val="24"/>
          <w:lang w:val="fr-CA"/>
        </w:rPr>
        <w:t xml:space="preserve">une lettre et assujetti à une </w:t>
      </w:r>
      <w:r w:rsidR="003B5167">
        <w:rPr>
          <w:rFonts w:ascii="Arial" w:hAnsi="Arial" w:cs="Arial"/>
          <w:noProof/>
          <w:szCs w:val="24"/>
          <w:lang w:val="fr-CA"/>
        </w:rPr>
        <w:t xml:space="preserve">ordonnance </w:t>
      </w:r>
      <w:r w:rsidR="005D0E01">
        <w:rPr>
          <w:rFonts w:ascii="Arial" w:hAnsi="Arial" w:cs="Arial"/>
          <w:noProof/>
          <w:szCs w:val="24"/>
          <w:lang w:val="fr-CA"/>
        </w:rPr>
        <w:t>de non</w:t>
      </w:r>
      <w:r w:rsidR="005D0E01">
        <w:rPr>
          <w:rFonts w:ascii="Arial" w:hAnsi="Arial" w:cs="Arial"/>
          <w:noProof/>
          <w:szCs w:val="24"/>
          <w:lang w:val="fr-CA"/>
        </w:rPr>
        <w:noBreakHyphen/>
      </w:r>
      <w:r>
        <w:rPr>
          <w:rFonts w:ascii="Arial" w:hAnsi="Arial" w:cs="Arial"/>
          <w:noProof/>
          <w:szCs w:val="24"/>
          <w:lang w:val="fr-CA"/>
        </w:rPr>
        <w:t>publication</w:t>
      </w:r>
      <w:r w:rsidR="005D0E01">
        <w:rPr>
          <w:rFonts w:ascii="Arial" w:hAnsi="Arial" w:cs="Arial"/>
          <w:noProof/>
          <w:szCs w:val="24"/>
          <w:lang w:val="fr-CA"/>
        </w:rPr>
        <w:t>,</w:t>
      </w:r>
      <w:r>
        <w:rPr>
          <w:rFonts w:ascii="Arial" w:hAnsi="Arial" w:cs="Arial"/>
          <w:noProof/>
          <w:szCs w:val="24"/>
          <w:lang w:val="fr-CA"/>
        </w:rPr>
        <w:t xml:space="preserve"> afin </w:t>
      </w:r>
      <w:r w:rsidR="003C2EC8">
        <w:rPr>
          <w:rFonts w:ascii="Arial" w:hAnsi="Arial" w:cs="Arial"/>
          <w:noProof/>
          <w:szCs w:val="24"/>
          <w:lang w:val="fr-CA"/>
        </w:rPr>
        <w:t xml:space="preserve">de </w:t>
      </w:r>
      <w:r w:rsidR="003B5167">
        <w:rPr>
          <w:rFonts w:ascii="Arial" w:hAnsi="Arial" w:cs="Arial"/>
          <w:noProof/>
          <w:szCs w:val="24"/>
          <w:lang w:val="fr-CA"/>
        </w:rPr>
        <w:t xml:space="preserve">permettre à l’intimé </w:t>
      </w:r>
      <w:r w:rsidR="003C2EC8">
        <w:rPr>
          <w:rFonts w:ascii="Arial" w:hAnsi="Arial" w:cs="Arial"/>
          <w:noProof/>
          <w:szCs w:val="24"/>
          <w:lang w:val="fr-CA"/>
        </w:rPr>
        <w:t>d</w:t>
      </w:r>
      <w:r w:rsidR="005D0E01">
        <w:rPr>
          <w:rFonts w:ascii="Arial" w:hAnsi="Arial" w:cs="Arial"/>
          <w:noProof/>
          <w:szCs w:val="24"/>
          <w:lang w:val="fr-CA"/>
        </w:rPr>
        <w:t>’engager</w:t>
      </w:r>
      <w:r w:rsidR="003C2EC8">
        <w:rPr>
          <w:rFonts w:ascii="Arial" w:hAnsi="Arial" w:cs="Arial"/>
          <w:noProof/>
          <w:szCs w:val="24"/>
          <w:lang w:val="fr-CA"/>
        </w:rPr>
        <w:t xml:space="preserve"> officiellement</w:t>
      </w:r>
      <w:r w:rsidR="003B5167">
        <w:rPr>
          <w:rFonts w:ascii="Arial" w:hAnsi="Arial" w:cs="Arial"/>
          <w:noProof/>
          <w:szCs w:val="24"/>
          <w:lang w:val="fr-CA"/>
        </w:rPr>
        <w:t xml:space="preserve"> </w:t>
      </w:r>
      <w:r w:rsidR="005D0E01">
        <w:rPr>
          <w:rFonts w:ascii="Arial" w:hAnsi="Arial" w:cs="Arial"/>
          <w:noProof/>
          <w:szCs w:val="24"/>
          <w:lang w:val="fr-CA"/>
        </w:rPr>
        <w:t xml:space="preserve">un </w:t>
      </w:r>
      <w:r w:rsidR="003B5167">
        <w:rPr>
          <w:rFonts w:ascii="Arial" w:hAnsi="Arial" w:cs="Arial"/>
          <w:noProof/>
          <w:szCs w:val="24"/>
          <w:lang w:val="fr-CA"/>
        </w:rPr>
        <w:t xml:space="preserve">avocat </w:t>
      </w:r>
      <w:r>
        <w:rPr>
          <w:rFonts w:ascii="Arial" w:hAnsi="Arial" w:cs="Arial"/>
          <w:noProof/>
          <w:szCs w:val="24"/>
          <w:lang w:val="fr-CA"/>
        </w:rPr>
        <w:t xml:space="preserve">et d’introduire </w:t>
      </w:r>
      <w:r w:rsidR="003C2EC8">
        <w:rPr>
          <w:rFonts w:ascii="Arial" w:hAnsi="Arial" w:cs="Arial"/>
          <w:noProof/>
          <w:szCs w:val="24"/>
          <w:lang w:val="fr-CA"/>
        </w:rPr>
        <w:t xml:space="preserve">un avis de motion </w:t>
      </w:r>
      <w:r w:rsidR="003B5167">
        <w:rPr>
          <w:rFonts w:ascii="Arial" w:hAnsi="Arial" w:cs="Arial"/>
          <w:noProof/>
          <w:szCs w:val="24"/>
          <w:lang w:val="fr-CA"/>
        </w:rPr>
        <w:t>devant le présent comité ou, subsidiairement, une</w:t>
      </w:r>
      <w:r w:rsidR="00A20710" w:rsidRPr="000E37D6">
        <w:rPr>
          <w:rFonts w:ascii="Arial" w:hAnsi="Arial" w:cs="Arial"/>
          <w:noProof/>
          <w:szCs w:val="24"/>
          <w:lang w:val="fr-CA"/>
        </w:rPr>
        <w:t xml:space="preserve"> motion </w:t>
      </w:r>
      <w:r w:rsidR="003B5167">
        <w:rPr>
          <w:rFonts w:ascii="Arial" w:hAnsi="Arial" w:cs="Arial"/>
          <w:noProof/>
          <w:szCs w:val="24"/>
          <w:lang w:val="fr-CA"/>
        </w:rPr>
        <w:t xml:space="preserve">dans le </w:t>
      </w:r>
      <w:r w:rsidR="00A20710" w:rsidRPr="000E37D6">
        <w:rPr>
          <w:rFonts w:ascii="Arial" w:hAnsi="Arial" w:cs="Arial"/>
          <w:noProof/>
          <w:szCs w:val="24"/>
          <w:lang w:val="fr-CA"/>
        </w:rPr>
        <w:t>context</w:t>
      </w:r>
      <w:r w:rsidR="003B5167">
        <w:rPr>
          <w:rFonts w:ascii="Arial" w:hAnsi="Arial" w:cs="Arial"/>
          <w:noProof/>
          <w:szCs w:val="24"/>
          <w:lang w:val="fr-CA"/>
        </w:rPr>
        <w:t>e d</w:t>
      </w:r>
      <w:r w:rsidR="003C2EC8">
        <w:rPr>
          <w:rFonts w:ascii="Arial" w:hAnsi="Arial" w:cs="Arial"/>
          <w:noProof/>
          <w:szCs w:val="24"/>
          <w:lang w:val="fr-CA"/>
        </w:rPr>
        <w:t>e la</w:t>
      </w:r>
      <w:r w:rsidR="003B5167">
        <w:rPr>
          <w:rFonts w:ascii="Arial" w:hAnsi="Arial" w:cs="Arial"/>
          <w:noProof/>
          <w:szCs w:val="24"/>
          <w:lang w:val="fr-CA"/>
        </w:rPr>
        <w:t xml:space="preserve"> demande de contrôle judiciaire que son Honneur a </w:t>
      </w:r>
      <w:r>
        <w:rPr>
          <w:rFonts w:ascii="Arial" w:hAnsi="Arial" w:cs="Arial"/>
          <w:noProof/>
          <w:szCs w:val="24"/>
          <w:lang w:val="fr-CA"/>
        </w:rPr>
        <w:t>présentée</w:t>
      </w:r>
      <w:r w:rsidR="003B5167">
        <w:rPr>
          <w:rFonts w:ascii="Arial" w:hAnsi="Arial" w:cs="Arial"/>
          <w:noProof/>
          <w:szCs w:val="24"/>
          <w:lang w:val="fr-CA"/>
        </w:rPr>
        <w:t xml:space="preserve"> à la Cour divisionnaire, </w:t>
      </w:r>
      <w:r w:rsidR="005D0E01">
        <w:rPr>
          <w:rFonts w:ascii="Arial" w:hAnsi="Arial" w:cs="Arial"/>
          <w:noProof/>
          <w:szCs w:val="24"/>
          <w:lang w:val="fr-CA"/>
        </w:rPr>
        <w:t>afin d’obtenir</w:t>
      </w:r>
      <w:r w:rsidR="003B5167">
        <w:rPr>
          <w:rFonts w:ascii="Arial" w:hAnsi="Arial" w:cs="Arial"/>
          <w:noProof/>
          <w:szCs w:val="24"/>
          <w:lang w:val="fr-CA"/>
        </w:rPr>
        <w:t xml:space="preserve"> une ordonnance d’interdiction en attendant l’issue </w:t>
      </w:r>
      <w:r w:rsidR="003C2EC8">
        <w:rPr>
          <w:rFonts w:ascii="Arial" w:hAnsi="Arial" w:cs="Arial"/>
          <w:noProof/>
          <w:szCs w:val="24"/>
          <w:lang w:val="fr-CA"/>
        </w:rPr>
        <w:t>de la procédure de</w:t>
      </w:r>
      <w:r w:rsidR="003B5167">
        <w:rPr>
          <w:rFonts w:ascii="Arial" w:hAnsi="Arial" w:cs="Arial"/>
          <w:noProof/>
          <w:szCs w:val="24"/>
          <w:lang w:val="fr-CA"/>
        </w:rPr>
        <w:t xml:space="preserve"> contrôle judiciaire </w:t>
      </w:r>
      <w:r w:rsidR="003C2EC8">
        <w:rPr>
          <w:rFonts w:ascii="Arial" w:hAnsi="Arial" w:cs="Arial"/>
          <w:noProof/>
          <w:szCs w:val="24"/>
          <w:lang w:val="fr-CA"/>
        </w:rPr>
        <w:t>en cours</w:t>
      </w:r>
      <w:r w:rsidR="003B5167">
        <w:rPr>
          <w:rFonts w:ascii="Arial" w:hAnsi="Arial" w:cs="Arial"/>
          <w:noProof/>
          <w:szCs w:val="24"/>
          <w:lang w:val="fr-CA"/>
        </w:rPr>
        <w:t xml:space="preserve"> </w:t>
      </w:r>
      <w:r w:rsidR="003C2EC8">
        <w:rPr>
          <w:rFonts w:ascii="Arial" w:hAnsi="Arial" w:cs="Arial"/>
          <w:noProof/>
          <w:szCs w:val="24"/>
          <w:lang w:val="fr-CA"/>
        </w:rPr>
        <w:t>à l’</w:t>
      </w:r>
      <w:r>
        <w:rPr>
          <w:rFonts w:ascii="Arial" w:hAnsi="Arial" w:cs="Arial"/>
          <w:noProof/>
          <w:szCs w:val="24"/>
          <w:lang w:val="fr-CA"/>
        </w:rPr>
        <w:t>égard</w:t>
      </w:r>
      <w:r w:rsidR="003C2EC8">
        <w:rPr>
          <w:rFonts w:ascii="Arial" w:hAnsi="Arial" w:cs="Arial"/>
          <w:noProof/>
          <w:szCs w:val="24"/>
          <w:lang w:val="fr-CA"/>
        </w:rPr>
        <w:t xml:space="preserve"> de</w:t>
      </w:r>
      <w:r w:rsidR="003B5167">
        <w:rPr>
          <w:rFonts w:ascii="Arial" w:hAnsi="Arial" w:cs="Arial"/>
          <w:noProof/>
          <w:szCs w:val="24"/>
          <w:lang w:val="fr-CA"/>
        </w:rPr>
        <w:t xml:space="preserve"> la décision du comité des plaintes.</w:t>
      </w:r>
    </w:p>
    <w:p w:rsidR="005F7F37" w:rsidRPr="000E37D6" w:rsidRDefault="0091349C" w:rsidP="005F7F37">
      <w:pPr>
        <w:pStyle w:val="Mainparagraph"/>
        <w:keepNext/>
        <w:keepLines/>
        <w:tabs>
          <w:tab w:val="clear" w:pos="1350"/>
          <w:tab w:val="left" w:pos="900"/>
        </w:tabs>
        <w:spacing w:line="360" w:lineRule="auto"/>
        <w:rPr>
          <w:rFonts w:ascii="Arial" w:hAnsi="Arial" w:cs="Arial"/>
          <w:noProof/>
          <w:szCs w:val="24"/>
          <w:lang w:val="fr-CA"/>
        </w:rPr>
      </w:pPr>
      <w:r>
        <w:rPr>
          <w:rFonts w:ascii="Arial" w:hAnsi="Arial" w:cs="Arial"/>
          <w:noProof/>
          <w:szCs w:val="24"/>
          <w:lang w:val="fr-CA"/>
        </w:rPr>
        <w:t xml:space="preserve">En bref, </w:t>
      </w:r>
      <w:r w:rsidR="005F7F37" w:rsidRPr="000E37D6">
        <w:rPr>
          <w:rFonts w:ascii="Arial" w:hAnsi="Arial" w:cs="Arial"/>
          <w:noProof/>
          <w:szCs w:val="24"/>
          <w:lang w:val="fr-CA"/>
        </w:rPr>
        <w:t xml:space="preserve">M. Sandler </w:t>
      </w:r>
      <w:r>
        <w:rPr>
          <w:rFonts w:ascii="Arial" w:hAnsi="Arial" w:cs="Arial"/>
          <w:noProof/>
          <w:szCs w:val="24"/>
          <w:lang w:val="fr-CA"/>
        </w:rPr>
        <w:t>a demandé la mesure de redressement subsidiaire suivante </w:t>
      </w:r>
      <w:r w:rsidR="005F7F37" w:rsidRPr="000E37D6">
        <w:rPr>
          <w:rFonts w:ascii="Arial" w:hAnsi="Arial" w:cs="Arial"/>
          <w:noProof/>
          <w:szCs w:val="24"/>
          <w:lang w:val="fr-CA"/>
        </w:rPr>
        <w:t>:</w:t>
      </w:r>
    </w:p>
    <w:p w:rsidR="005F7F37" w:rsidRPr="000E37D6" w:rsidRDefault="00F9427B" w:rsidP="00276F8A">
      <w:pPr>
        <w:pStyle w:val="Mainparagraph"/>
        <w:numPr>
          <w:ilvl w:val="0"/>
          <w:numId w:val="0"/>
        </w:numPr>
        <w:ind w:left="1170"/>
        <w:rPr>
          <w:rFonts w:ascii="Arial" w:hAnsi="Arial" w:cs="Arial"/>
          <w:noProof/>
          <w:szCs w:val="24"/>
          <w:lang w:val="fr-CA"/>
        </w:rPr>
      </w:pPr>
      <w:r>
        <w:rPr>
          <w:rFonts w:ascii="Arial" w:hAnsi="Arial" w:cs="Arial"/>
          <w:noProof/>
          <w:szCs w:val="24"/>
          <w:lang w:val="fr-CA"/>
        </w:rPr>
        <w:t>Que le comité d’audition reporte sa décision sur</w:t>
      </w:r>
      <w:r w:rsidR="005F7F37" w:rsidRPr="000E37D6">
        <w:rPr>
          <w:rFonts w:ascii="Arial" w:hAnsi="Arial" w:cs="Arial"/>
          <w:noProof/>
          <w:szCs w:val="24"/>
          <w:lang w:val="fr-CA"/>
        </w:rPr>
        <w:t xml:space="preserve"> </w:t>
      </w:r>
      <w:r>
        <w:rPr>
          <w:rFonts w:ascii="Arial" w:hAnsi="Arial" w:cs="Arial"/>
          <w:noProof/>
          <w:szCs w:val="24"/>
          <w:lang w:val="fr-CA"/>
        </w:rPr>
        <w:t xml:space="preserve">la réception de l’avis d’audience </w:t>
      </w:r>
      <w:r w:rsidR="00E8074D">
        <w:rPr>
          <w:rFonts w:ascii="Arial" w:hAnsi="Arial" w:cs="Arial"/>
          <w:noProof/>
          <w:szCs w:val="24"/>
          <w:lang w:val="fr-CA"/>
        </w:rPr>
        <w:t>comme</w:t>
      </w:r>
      <w:r>
        <w:rPr>
          <w:rFonts w:ascii="Arial" w:hAnsi="Arial" w:cs="Arial"/>
          <w:noProof/>
          <w:szCs w:val="24"/>
          <w:lang w:val="fr-CA"/>
        </w:rPr>
        <w:t xml:space="preserve"> pièce numérotée publique </w:t>
      </w:r>
      <w:r w:rsidR="005D0E01">
        <w:rPr>
          <w:rFonts w:ascii="Arial" w:hAnsi="Arial" w:cs="Arial"/>
          <w:noProof/>
          <w:szCs w:val="24"/>
          <w:lang w:val="fr-CA"/>
        </w:rPr>
        <w:t xml:space="preserve">en attendant </w:t>
      </w:r>
      <w:r>
        <w:rPr>
          <w:rFonts w:ascii="Arial" w:hAnsi="Arial" w:cs="Arial"/>
          <w:noProof/>
          <w:szCs w:val="24"/>
          <w:lang w:val="fr-CA"/>
        </w:rPr>
        <w:t>que les services de l’avocat soient retenus et qu’un avis de motion</w:t>
      </w:r>
      <w:r w:rsidR="006C0CC7">
        <w:rPr>
          <w:rFonts w:ascii="Arial" w:hAnsi="Arial" w:cs="Arial"/>
          <w:noProof/>
          <w:szCs w:val="24"/>
          <w:lang w:val="fr-CA"/>
        </w:rPr>
        <w:t xml:space="preserve">, selon la formule prescrite, </w:t>
      </w:r>
      <w:r>
        <w:rPr>
          <w:rFonts w:ascii="Arial" w:hAnsi="Arial" w:cs="Arial"/>
          <w:noProof/>
          <w:szCs w:val="24"/>
          <w:lang w:val="fr-CA"/>
        </w:rPr>
        <w:t xml:space="preserve"> </w:t>
      </w:r>
      <w:r w:rsidR="006C0CC7">
        <w:rPr>
          <w:rFonts w:ascii="Arial" w:hAnsi="Arial" w:cs="Arial"/>
          <w:noProof/>
          <w:szCs w:val="24"/>
          <w:lang w:val="fr-CA"/>
        </w:rPr>
        <w:t xml:space="preserve"> </w:t>
      </w:r>
      <w:r>
        <w:rPr>
          <w:rFonts w:ascii="Arial" w:hAnsi="Arial" w:cs="Arial"/>
          <w:noProof/>
          <w:szCs w:val="24"/>
          <w:lang w:val="fr-CA"/>
        </w:rPr>
        <w:t>soit reçu</w:t>
      </w:r>
      <w:r w:rsidR="00FC05E4">
        <w:rPr>
          <w:rFonts w:ascii="Arial" w:hAnsi="Arial" w:cs="Arial"/>
          <w:noProof/>
          <w:szCs w:val="24"/>
          <w:lang w:val="fr-CA"/>
        </w:rPr>
        <w:t>,</w:t>
      </w:r>
      <w:r>
        <w:rPr>
          <w:rFonts w:ascii="Arial" w:hAnsi="Arial" w:cs="Arial"/>
          <w:noProof/>
          <w:szCs w:val="24"/>
          <w:lang w:val="fr-CA"/>
        </w:rPr>
        <w:t xml:space="preserve"> ou, subsidiairement, reçoive l’avis d’audience et les éléments de la plainte,</w:t>
      </w:r>
      <w:r w:rsidR="005F7F37" w:rsidRPr="000E37D6">
        <w:rPr>
          <w:rFonts w:ascii="Arial" w:hAnsi="Arial" w:cs="Arial"/>
          <w:noProof/>
          <w:szCs w:val="24"/>
          <w:lang w:val="fr-CA"/>
        </w:rPr>
        <w:t xml:space="preserve"> </w:t>
      </w:r>
      <w:r>
        <w:rPr>
          <w:rFonts w:ascii="Arial" w:hAnsi="Arial" w:cs="Arial"/>
          <w:noProof/>
          <w:szCs w:val="24"/>
          <w:lang w:val="fr-CA"/>
        </w:rPr>
        <w:t xml:space="preserve">déposés provisoirement ou, subsidiairement, déposés et </w:t>
      </w:r>
      <w:r w:rsidR="005D0E01">
        <w:rPr>
          <w:rFonts w:ascii="Arial" w:hAnsi="Arial" w:cs="Arial"/>
          <w:noProof/>
          <w:szCs w:val="24"/>
          <w:lang w:val="fr-CA"/>
        </w:rPr>
        <w:t>désignés comme</w:t>
      </w:r>
      <w:r>
        <w:rPr>
          <w:rFonts w:ascii="Arial" w:hAnsi="Arial" w:cs="Arial"/>
          <w:noProof/>
          <w:szCs w:val="24"/>
          <w:lang w:val="fr-CA"/>
        </w:rPr>
        <w:t xml:space="preserve"> pi</w:t>
      </w:r>
      <w:r w:rsidR="004D1E72">
        <w:rPr>
          <w:rFonts w:ascii="Arial" w:hAnsi="Arial" w:cs="Arial"/>
          <w:noProof/>
          <w:szCs w:val="24"/>
          <w:lang w:val="fr-CA"/>
        </w:rPr>
        <w:t>èce « A »</w:t>
      </w:r>
      <w:r>
        <w:rPr>
          <w:rFonts w:ascii="Arial" w:hAnsi="Arial" w:cs="Arial"/>
          <w:noProof/>
          <w:szCs w:val="24"/>
          <w:lang w:val="fr-CA"/>
        </w:rPr>
        <w:t xml:space="preserve"> mais sous réserve d’une ordonnance </w:t>
      </w:r>
      <w:r w:rsidR="004D1E72">
        <w:rPr>
          <w:rFonts w:ascii="Arial" w:hAnsi="Arial" w:cs="Arial"/>
          <w:noProof/>
          <w:szCs w:val="24"/>
          <w:lang w:val="fr-CA"/>
        </w:rPr>
        <w:t>de non-publication d’ici à ce</w:t>
      </w:r>
      <w:r>
        <w:rPr>
          <w:rFonts w:ascii="Arial" w:hAnsi="Arial" w:cs="Arial"/>
          <w:noProof/>
          <w:szCs w:val="24"/>
          <w:lang w:val="fr-CA"/>
        </w:rPr>
        <w:t xml:space="preserve"> que la motion de l’avocat soit officialisée et entendue par le comité ou que la contestation de la compétence du comité d’audition fasse l’objet d’une décision.</w:t>
      </w:r>
    </w:p>
    <w:p w:rsidR="005F7F37" w:rsidRPr="000E37D6" w:rsidRDefault="006B3C45" w:rsidP="00605734">
      <w:pPr>
        <w:pStyle w:val="Heading1"/>
        <w:spacing w:after="240"/>
        <w:rPr>
          <w:rFonts w:ascii="Arial" w:hAnsi="Arial" w:cs="Arial"/>
          <w:noProof/>
          <w:color w:val="auto"/>
          <w:lang w:val="fr-CA"/>
        </w:rPr>
      </w:pPr>
      <w:r>
        <w:rPr>
          <w:rFonts w:ascii="Arial" w:hAnsi="Arial" w:cs="Arial"/>
          <w:noProof/>
          <w:color w:val="auto"/>
          <w:lang w:val="fr-CA"/>
        </w:rPr>
        <w:t xml:space="preserve">Considérations </w:t>
      </w:r>
      <w:r w:rsidR="006C0CC7">
        <w:rPr>
          <w:rFonts w:ascii="Arial" w:hAnsi="Arial" w:cs="Arial"/>
          <w:noProof/>
          <w:color w:val="auto"/>
          <w:lang w:val="fr-CA"/>
        </w:rPr>
        <w:t xml:space="preserve">d’ordre </w:t>
      </w:r>
      <w:r>
        <w:rPr>
          <w:rFonts w:ascii="Arial" w:hAnsi="Arial" w:cs="Arial"/>
          <w:noProof/>
          <w:color w:val="auto"/>
          <w:lang w:val="fr-CA"/>
        </w:rPr>
        <w:t>juridique</w:t>
      </w:r>
    </w:p>
    <w:p w:rsidR="005F7F37" w:rsidRPr="000E37D6" w:rsidRDefault="006B3C45" w:rsidP="005F7F37">
      <w:pPr>
        <w:pStyle w:val="Mainparagraph"/>
        <w:tabs>
          <w:tab w:val="clear" w:pos="1350"/>
          <w:tab w:val="left" w:pos="900"/>
        </w:tabs>
        <w:spacing w:line="360" w:lineRule="auto"/>
        <w:rPr>
          <w:rFonts w:ascii="Arial" w:hAnsi="Arial" w:cs="Arial"/>
          <w:noProof/>
          <w:szCs w:val="24"/>
          <w:lang w:val="fr-CA"/>
        </w:rPr>
      </w:pPr>
      <w:r>
        <w:rPr>
          <w:rFonts w:ascii="Arial" w:hAnsi="Arial" w:cs="Arial"/>
          <w:noProof/>
          <w:szCs w:val="24"/>
          <w:lang w:val="fr-CA"/>
        </w:rPr>
        <w:t xml:space="preserve">Le </w:t>
      </w:r>
      <w:r w:rsidR="006C0CC7">
        <w:rPr>
          <w:rFonts w:ascii="Arial" w:hAnsi="Arial" w:cs="Arial"/>
          <w:noProof/>
          <w:szCs w:val="24"/>
          <w:lang w:val="fr-CA"/>
        </w:rPr>
        <w:t>document de</w:t>
      </w:r>
      <w:r>
        <w:rPr>
          <w:rFonts w:ascii="Arial" w:hAnsi="Arial" w:cs="Arial"/>
          <w:noProof/>
          <w:szCs w:val="24"/>
          <w:lang w:val="fr-CA"/>
        </w:rPr>
        <w:t xml:space="preserve"> procédure</w:t>
      </w:r>
      <w:r w:rsidR="006C0CC7">
        <w:rPr>
          <w:rFonts w:ascii="Arial" w:hAnsi="Arial" w:cs="Arial"/>
          <w:noProof/>
          <w:szCs w:val="24"/>
          <w:lang w:val="fr-CA"/>
        </w:rPr>
        <w:t>s</w:t>
      </w:r>
      <w:r>
        <w:rPr>
          <w:rFonts w:ascii="Arial" w:hAnsi="Arial" w:cs="Arial"/>
          <w:noProof/>
          <w:szCs w:val="24"/>
          <w:lang w:val="fr-CA"/>
        </w:rPr>
        <w:t xml:space="preserve"> du Conseil d’évaluation prévoit ce qui suit :</w:t>
      </w:r>
    </w:p>
    <w:p w:rsidR="005F7F37" w:rsidRPr="000E37D6" w:rsidRDefault="005F7F37" w:rsidP="00DF64AA">
      <w:pPr>
        <w:pStyle w:val="Mainparagraph"/>
        <w:numPr>
          <w:ilvl w:val="0"/>
          <w:numId w:val="0"/>
        </w:numPr>
        <w:tabs>
          <w:tab w:val="left" w:pos="1701"/>
        </w:tabs>
        <w:ind w:left="1843" w:hanging="709"/>
        <w:rPr>
          <w:rFonts w:ascii="Arial" w:hAnsi="Arial" w:cs="Arial"/>
          <w:noProof/>
          <w:szCs w:val="24"/>
          <w:lang w:val="fr-CA"/>
        </w:rPr>
      </w:pPr>
      <w:r w:rsidRPr="000E37D6">
        <w:rPr>
          <w:rFonts w:ascii="Arial" w:hAnsi="Arial" w:cs="Arial"/>
          <w:noProof/>
          <w:szCs w:val="24"/>
          <w:lang w:val="fr-CA"/>
        </w:rPr>
        <w:t>6. (1)</w:t>
      </w:r>
      <w:r w:rsidR="009158DB" w:rsidRPr="000E37D6">
        <w:rPr>
          <w:rFonts w:ascii="Arial" w:hAnsi="Arial" w:cs="Arial"/>
          <w:noProof/>
          <w:szCs w:val="24"/>
          <w:lang w:val="fr-CA"/>
        </w:rPr>
        <w:t xml:space="preserve"> </w:t>
      </w:r>
      <w:r w:rsidR="0085280D" w:rsidRPr="000E37D6">
        <w:rPr>
          <w:rFonts w:ascii="Arial" w:hAnsi="Arial" w:cs="Arial"/>
          <w:noProof/>
          <w:szCs w:val="24"/>
          <w:lang w:val="fr-CA"/>
        </w:rPr>
        <w:t xml:space="preserve"> L’audience doit être précédée d’un avis d’audience conformément à la présente partie.</w:t>
      </w:r>
    </w:p>
    <w:p w:rsidR="005F7F37" w:rsidRPr="000E37D6" w:rsidRDefault="005F7F37" w:rsidP="00DF64AA">
      <w:pPr>
        <w:pStyle w:val="Mainparagraph"/>
        <w:numPr>
          <w:ilvl w:val="0"/>
          <w:numId w:val="0"/>
        </w:numPr>
        <w:tabs>
          <w:tab w:val="left" w:pos="1701"/>
        </w:tabs>
        <w:ind w:left="1886" w:hanging="450"/>
        <w:rPr>
          <w:rFonts w:ascii="Arial" w:hAnsi="Arial" w:cs="Arial"/>
          <w:noProof/>
          <w:szCs w:val="24"/>
          <w:lang w:val="fr-CA"/>
        </w:rPr>
      </w:pPr>
      <w:r w:rsidRPr="000E37D6">
        <w:rPr>
          <w:rFonts w:ascii="Arial" w:hAnsi="Arial" w:cs="Arial"/>
          <w:noProof/>
          <w:szCs w:val="24"/>
          <w:lang w:val="fr-CA"/>
        </w:rPr>
        <w:t xml:space="preserve">(2) </w:t>
      </w:r>
      <w:r w:rsidR="0085280D" w:rsidRPr="000E37D6">
        <w:rPr>
          <w:rFonts w:ascii="Arial" w:hAnsi="Arial" w:cs="Arial"/>
          <w:noProof/>
          <w:szCs w:val="24"/>
          <w:lang w:val="fr-CA"/>
        </w:rPr>
        <w:t>Comme la procédure de traitement des plaintes est essentielle pour maintenir, et restaurer, la confiance du public, et que les exigences législatives de maintien de la confidentialité ne s’appliquent plus aux audiences formelles aux termes de l’article 11.1 de la Loi, une fois que l’avocat chargé de la présentation dépose, à la date prévue, l’avis d’audience comme preuve à l’instance initiale présidée par le comité d’audition, la procédure de traitement des plaintes devient publique, sous réserve des ordonnances rendues par le comité d’audition.</w:t>
      </w:r>
    </w:p>
    <w:p w:rsidR="005F7F37" w:rsidRPr="000E37D6" w:rsidRDefault="005F7F37" w:rsidP="00FE713E">
      <w:pPr>
        <w:pStyle w:val="Mainparagraph"/>
        <w:numPr>
          <w:ilvl w:val="0"/>
          <w:numId w:val="0"/>
        </w:numPr>
        <w:tabs>
          <w:tab w:val="left" w:pos="1980"/>
        </w:tabs>
        <w:ind w:left="1890" w:hanging="450"/>
        <w:rPr>
          <w:rFonts w:ascii="Arial" w:hAnsi="Arial" w:cs="Arial"/>
          <w:noProof/>
          <w:szCs w:val="24"/>
          <w:lang w:val="fr-CA"/>
        </w:rPr>
      </w:pPr>
      <w:r w:rsidRPr="000E37D6">
        <w:rPr>
          <w:rFonts w:ascii="Arial" w:hAnsi="Arial" w:cs="Arial"/>
          <w:noProof/>
          <w:szCs w:val="24"/>
          <w:lang w:val="fr-CA"/>
        </w:rPr>
        <w:t xml:space="preserve">(3) </w:t>
      </w:r>
      <w:r w:rsidR="0085280D" w:rsidRPr="000E37D6">
        <w:rPr>
          <w:rFonts w:ascii="Arial" w:hAnsi="Arial" w:cs="Arial"/>
          <w:noProof/>
          <w:szCs w:val="24"/>
          <w:lang w:val="fr-CA"/>
        </w:rPr>
        <w:t>Une fois la plainte publique, le greffier affichera un avis d’audience, selon la formule prescrite, sur le site Web du Conseil d’évaluation, sous réserve des ordonnances rendues par le comité d’audition. Au moins deux (2) semaines avant la tenue de l’audience, le greffier fera paraître l’avis, selon la formule prescrite, dans le journal local. L’avis public contiendra un bref résumé des allégations sur la conduite, mais ne mentionnera pas l’identité des plaignants ni des témoins, car ces derniers pourront, s’ils le souhaitent, présenter une motion à l’instance afin d’obtenir une ordonnance de non-publication d’identité. Le comité d’audition peut, pour les motifs qu’il juge appropriés, rac</w:t>
      </w:r>
      <w:r w:rsidR="0038132C">
        <w:rPr>
          <w:rFonts w:ascii="Arial" w:hAnsi="Arial" w:cs="Arial"/>
          <w:noProof/>
          <w:szCs w:val="24"/>
          <w:lang w:val="fr-CA"/>
        </w:rPr>
        <w:t>courcir le délai de publication.</w:t>
      </w:r>
    </w:p>
    <w:p w:rsidR="005F7F37" w:rsidRPr="000E37D6" w:rsidRDefault="00404221"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Ce</w:t>
      </w:r>
      <w:r w:rsidR="0053432C">
        <w:rPr>
          <w:rFonts w:ascii="Arial" w:hAnsi="Arial" w:cs="Arial"/>
          <w:noProof/>
          <w:szCs w:val="24"/>
          <w:lang w:val="fr-CA"/>
        </w:rPr>
        <w:t>s</w:t>
      </w:r>
      <w:r>
        <w:rPr>
          <w:rFonts w:ascii="Arial" w:hAnsi="Arial" w:cs="Arial"/>
          <w:noProof/>
          <w:szCs w:val="24"/>
          <w:lang w:val="fr-CA"/>
        </w:rPr>
        <w:t xml:space="preserve"> procédure</w:t>
      </w:r>
      <w:r w:rsidR="0053432C">
        <w:rPr>
          <w:rFonts w:ascii="Arial" w:hAnsi="Arial" w:cs="Arial"/>
          <w:noProof/>
          <w:szCs w:val="24"/>
          <w:lang w:val="fr-CA"/>
        </w:rPr>
        <w:t>s</w:t>
      </w:r>
      <w:r>
        <w:rPr>
          <w:rFonts w:ascii="Arial" w:hAnsi="Arial" w:cs="Arial"/>
          <w:noProof/>
          <w:szCs w:val="24"/>
          <w:lang w:val="fr-CA"/>
        </w:rPr>
        <w:t xml:space="preserve"> reconna</w:t>
      </w:r>
      <w:r w:rsidR="0053432C">
        <w:rPr>
          <w:rFonts w:ascii="Arial" w:hAnsi="Arial" w:cs="Arial"/>
          <w:noProof/>
          <w:szCs w:val="24"/>
          <w:lang w:val="fr-CA"/>
        </w:rPr>
        <w:t>issen</w:t>
      </w:r>
      <w:r>
        <w:rPr>
          <w:rFonts w:ascii="Arial" w:hAnsi="Arial" w:cs="Arial"/>
          <w:noProof/>
          <w:szCs w:val="24"/>
          <w:lang w:val="fr-CA"/>
        </w:rPr>
        <w:t xml:space="preserve">t que le processus de traitement des plaintes est conçu pour aider à rétablir la confiance du public et que cet objectif ne s’atteint que par un processus qui est </w:t>
      </w:r>
      <w:r w:rsidR="0053432C">
        <w:rPr>
          <w:rFonts w:ascii="Arial" w:hAnsi="Arial" w:cs="Arial"/>
          <w:noProof/>
          <w:szCs w:val="24"/>
          <w:lang w:val="fr-CA"/>
        </w:rPr>
        <w:t xml:space="preserve">ouvert et </w:t>
      </w:r>
      <w:r>
        <w:rPr>
          <w:rFonts w:ascii="Arial" w:hAnsi="Arial" w:cs="Arial"/>
          <w:noProof/>
          <w:szCs w:val="24"/>
          <w:lang w:val="fr-CA"/>
        </w:rPr>
        <w:t>accessible au public</w:t>
      </w:r>
      <w:r w:rsidR="00605734" w:rsidRPr="000E37D6">
        <w:rPr>
          <w:rFonts w:ascii="Arial" w:hAnsi="Arial" w:cs="Arial"/>
          <w:noProof/>
          <w:szCs w:val="24"/>
          <w:lang w:val="fr-CA"/>
        </w:rPr>
        <w:t>.</w:t>
      </w:r>
    </w:p>
    <w:p w:rsidR="005F7F37" w:rsidRPr="000E37D6" w:rsidRDefault="00404221" w:rsidP="001F5B30">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Cette </w:t>
      </w:r>
      <w:r w:rsidR="005F7F37" w:rsidRPr="000E37D6">
        <w:rPr>
          <w:rFonts w:ascii="Arial" w:hAnsi="Arial" w:cs="Arial"/>
          <w:noProof/>
          <w:szCs w:val="24"/>
          <w:lang w:val="fr-CA"/>
        </w:rPr>
        <w:t xml:space="preserve">intention </w:t>
      </w:r>
      <w:r>
        <w:rPr>
          <w:rFonts w:ascii="Arial" w:hAnsi="Arial" w:cs="Arial"/>
          <w:noProof/>
          <w:szCs w:val="24"/>
          <w:lang w:val="fr-CA"/>
        </w:rPr>
        <w:t>est également exposée au paragraphe</w:t>
      </w:r>
      <w:r w:rsidR="005F7F37" w:rsidRPr="000E37D6">
        <w:rPr>
          <w:rFonts w:ascii="Arial" w:hAnsi="Arial" w:cs="Arial"/>
          <w:noProof/>
          <w:szCs w:val="24"/>
          <w:lang w:val="fr-CA"/>
        </w:rPr>
        <w:t xml:space="preserve"> 9(6) </w:t>
      </w:r>
      <w:r>
        <w:rPr>
          <w:rFonts w:ascii="Arial" w:hAnsi="Arial" w:cs="Arial"/>
          <w:noProof/>
          <w:szCs w:val="24"/>
          <w:lang w:val="fr-CA"/>
        </w:rPr>
        <w:t xml:space="preserve">de la </w:t>
      </w:r>
      <w:r w:rsidRPr="00404221">
        <w:rPr>
          <w:rFonts w:ascii="Arial" w:hAnsi="Arial" w:cs="Arial"/>
          <w:i/>
          <w:noProof/>
          <w:szCs w:val="24"/>
          <w:lang w:val="fr-CA"/>
        </w:rPr>
        <w:t>Loi</w:t>
      </w:r>
      <w:r w:rsidR="005F7F37" w:rsidRPr="000E37D6">
        <w:rPr>
          <w:rFonts w:ascii="Arial" w:hAnsi="Arial" w:cs="Arial"/>
          <w:noProof/>
          <w:szCs w:val="24"/>
          <w:lang w:val="fr-CA"/>
        </w:rPr>
        <w:t xml:space="preserve">.  </w:t>
      </w:r>
      <w:r>
        <w:rPr>
          <w:rFonts w:ascii="Arial" w:hAnsi="Arial" w:cs="Arial"/>
          <w:noProof/>
          <w:szCs w:val="24"/>
          <w:lang w:val="fr-CA"/>
        </w:rPr>
        <w:t>Ce paragraphe énonce ce qui suit :</w:t>
      </w:r>
      <w:r w:rsidR="005F7F37" w:rsidRPr="000E37D6">
        <w:rPr>
          <w:rFonts w:ascii="Arial" w:hAnsi="Arial" w:cs="Arial"/>
          <w:noProof/>
          <w:szCs w:val="24"/>
          <w:lang w:val="fr-CA"/>
        </w:rPr>
        <w:t xml:space="preserve"> </w:t>
      </w:r>
    </w:p>
    <w:p w:rsidR="005F7F37" w:rsidRPr="000E37D6" w:rsidRDefault="0085280D" w:rsidP="001F5B30">
      <w:pPr>
        <w:pStyle w:val="Mainparagraph"/>
        <w:numPr>
          <w:ilvl w:val="0"/>
          <w:numId w:val="0"/>
        </w:numPr>
        <w:tabs>
          <w:tab w:val="left" w:pos="900"/>
        </w:tabs>
        <w:ind w:left="907" w:right="720"/>
        <w:rPr>
          <w:rFonts w:ascii="Arial" w:hAnsi="Arial" w:cs="Arial"/>
          <w:noProof/>
          <w:szCs w:val="24"/>
          <w:lang w:val="fr-CA"/>
        </w:rPr>
      </w:pPr>
      <w:r w:rsidRPr="000E37D6">
        <w:rPr>
          <w:rFonts w:ascii="Arial" w:hAnsi="Arial" w:cs="Arial"/>
          <w:noProof/>
          <w:color w:val="222222"/>
          <w:szCs w:val="24"/>
          <w:lang w:val="fr-CA"/>
        </w:rPr>
        <w:t>Les réunions du Conseil d’évaluation et de ses comités des plaintes sont tenues à huis clos mais, sous réserve du paragraphe 11.1 (4), les audiences prévues à l’article 11.1 sont ouvertes au public.  2006, chap. 21, annexe B, art. 7.</w:t>
      </w:r>
    </w:p>
    <w:p w:rsidR="005F7F37" w:rsidRPr="000E37D6" w:rsidRDefault="00404221"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Un examen de ces dispositions confirme que la loi habilitante et ses règles de procédure créent une « forte présomption de publicité ».</w:t>
      </w:r>
      <w:r w:rsidR="005F7F37" w:rsidRPr="000E37D6">
        <w:rPr>
          <w:rFonts w:ascii="Arial" w:hAnsi="Arial" w:cs="Arial"/>
          <w:noProof/>
          <w:szCs w:val="24"/>
          <w:lang w:val="fr-CA"/>
        </w:rPr>
        <w:t xml:space="preserve"> </w:t>
      </w:r>
      <w:r>
        <w:rPr>
          <w:rFonts w:ascii="Arial" w:hAnsi="Arial" w:cs="Arial"/>
          <w:noProof/>
          <w:szCs w:val="24"/>
          <w:lang w:val="fr-CA"/>
        </w:rPr>
        <w:t>Cette intention reflète l</w:t>
      </w:r>
      <w:r w:rsidR="00D95B00">
        <w:rPr>
          <w:rFonts w:ascii="Arial" w:hAnsi="Arial" w:cs="Arial"/>
          <w:noProof/>
          <w:szCs w:val="24"/>
          <w:lang w:val="fr-CA"/>
        </w:rPr>
        <w:t>’existence d’un</w:t>
      </w:r>
      <w:r>
        <w:rPr>
          <w:rFonts w:ascii="Arial" w:hAnsi="Arial" w:cs="Arial"/>
          <w:noProof/>
          <w:szCs w:val="24"/>
          <w:lang w:val="fr-CA"/>
        </w:rPr>
        <w:t xml:space="preserve"> intérêt</w:t>
      </w:r>
      <w:r w:rsidR="00D95B00">
        <w:rPr>
          <w:rFonts w:ascii="Arial" w:hAnsi="Arial" w:cs="Arial"/>
          <w:noProof/>
          <w:szCs w:val="24"/>
          <w:lang w:val="fr-CA"/>
        </w:rPr>
        <w:t xml:space="preserve"> public significatif et </w:t>
      </w:r>
      <w:r w:rsidR="005F7F37" w:rsidRPr="000E37D6">
        <w:rPr>
          <w:rFonts w:ascii="Arial" w:hAnsi="Arial" w:cs="Arial"/>
          <w:noProof/>
          <w:szCs w:val="24"/>
          <w:lang w:val="fr-CA"/>
        </w:rPr>
        <w:t>continu</w:t>
      </w:r>
      <w:r w:rsidR="00D95B00">
        <w:rPr>
          <w:rFonts w:ascii="Arial" w:hAnsi="Arial" w:cs="Arial"/>
          <w:noProof/>
          <w:szCs w:val="24"/>
          <w:lang w:val="fr-CA"/>
        </w:rPr>
        <w:t xml:space="preserve"> dans le maintien d’une procédure de </w:t>
      </w:r>
      <w:r w:rsidR="0053432C">
        <w:rPr>
          <w:rFonts w:ascii="Arial" w:hAnsi="Arial" w:cs="Arial"/>
          <w:noProof/>
          <w:szCs w:val="24"/>
          <w:lang w:val="fr-CA"/>
        </w:rPr>
        <w:t>conduite</w:t>
      </w:r>
      <w:r w:rsidR="00D95B00">
        <w:rPr>
          <w:rFonts w:ascii="Arial" w:hAnsi="Arial" w:cs="Arial"/>
          <w:noProof/>
          <w:szCs w:val="24"/>
          <w:lang w:val="fr-CA"/>
        </w:rPr>
        <w:t xml:space="preserve"> judiciaire transparente et </w:t>
      </w:r>
      <w:r w:rsidR="00605734" w:rsidRPr="000E37D6">
        <w:rPr>
          <w:rFonts w:ascii="Arial" w:hAnsi="Arial" w:cs="Arial"/>
          <w:noProof/>
          <w:szCs w:val="24"/>
          <w:lang w:val="fr-CA"/>
        </w:rPr>
        <w:t>accessible.</w:t>
      </w:r>
    </w:p>
    <w:p w:rsidR="005F7F37" w:rsidRPr="000E37D6" w:rsidRDefault="00607903"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La décision de la Cour suprême du Canada dans l’arrêt </w:t>
      </w:r>
      <w:r w:rsidR="005F7F37" w:rsidRPr="000E37D6">
        <w:rPr>
          <w:rFonts w:ascii="Arial" w:hAnsi="Arial" w:cs="Arial"/>
          <w:i/>
          <w:noProof/>
          <w:szCs w:val="24"/>
          <w:lang w:val="fr-CA"/>
        </w:rPr>
        <w:t xml:space="preserve">R. </w:t>
      </w:r>
      <w:r>
        <w:rPr>
          <w:rFonts w:ascii="Arial" w:hAnsi="Arial" w:cs="Arial"/>
          <w:i/>
          <w:noProof/>
          <w:szCs w:val="24"/>
          <w:lang w:val="fr-CA"/>
        </w:rPr>
        <w:t>c</w:t>
      </w:r>
      <w:r w:rsidR="005F7F37" w:rsidRPr="000E37D6">
        <w:rPr>
          <w:rFonts w:ascii="Arial" w:hAnsi="Arial" w:cs="Arial"/>
          <w:i/>
          <w:noProof/>
          <w:szCs w:val="24"/>
          <w:lang w:val="fr-CA"/>
        </w:rPr>
        <w:t>. Mentuck</w:t>
      </w:r>
      <w:r w:rsidR="005F7F37" w:rsidRPr="000E37D6">
        <w:rPr>
          <w:rFonts w:ascii="Arial" w:hAnsi="Arial" w:cs="Arial"/>
          <w:noProof/>
          <w:szCs w:val="24"/>
          <w:lang w:val="fr-CA"/>
        </w:rPr>
        <w:t xml:space="preserve">, [2001] 3 </w:t>
      </w:r>
      <w:r>
        <w:rPr>
          <w:rFonts w:ascii="Arial" w:hAnsi="Arial" w:cs="Arial"/>
          <w:noProof/>
          <w:szCs w:val="24"/>
          <w:lang w:val="fr-CA"/>
        </w:rPr>
        <w:t>R.C.</w:t>
      </w:r>
      <w:r w:rsidR="005F7F37" w:rsidRPr="000E37D6">
        <w:rPr>
          <w:rFonts w:ascii="Arial" w:hAnsi="Arial" w:cs="Arial"/>
          <w:noProof/>
          <w:szCs w:val="24"/>
          <w:lang w:val="fr-CA"/>
        </w:rPr>
        <w:t xml:space="preserve">S. 442 </w:t>
      </w:r>
      <w:r w:rsidR="0007798C">
        <w:rPr>
          <w:rFonts w:ascii="Arial" w:hAnsi="Arial" w:cs="Arial"/>
          <w:noProof/>
          <w:szCs w:val="24"/>
          <w:lang w:val="fr-CA"/>
        </w:rPr>
        <w:t xml:space="preserve">affirme qu’un demandeur qui veut obtenir une interdiction de publication dans de telles </w:t>
      </w:r>
      <w:r w:rsidR="005F7F37" w:rsidRPr="000E37D6">
        <w:rPr>
          <w:rFonts w:ascii="Arial" w:hAnsi="Arial" w:cs="Arial"/>
          <w:noProof/>
          <w:szCs w:val="24"/>
          <w:lang w:val="fr-CA"/>
        </w:rPr>
        <w:t>circ</w:t>
      </w:r>
      <w:r w:rsidR="0007798C">
        <w:rPr>
          <w:rFonts w:ascii="Arial" w:hAnsi="Arial" w:cs="Arial"/>
          <w:noProof/>
          <w:szCs w:val="24"/>
          <w:lang w:val="fr-CA"/>
        </w:rPr>
        <w:t>on</w:t>
      </w:r>
      <w:r w:rsidR="005F7F37" w:rsidRPr="000E37D6">
        <w:rPr>
          <w:rFonts w:ascii="Arial" w:hAnsi="Arial" w:cs="Arial"/>
          <w:noProof/>
          <w:szCs w:val="24"/>
          <w:lang w:val="fr-CA"/>
        </w:rPr>
        <w:t xml:space="preserve">stances </w:t>
      </w:r>
      <w:r w:rsidR="0007798C">
        <w:rPr>
          <w:rFonts w:ascii="Arial" w:hAnsi="Arial" w:cs="Arial"/>
          <w:noProof/>
          <w:szCs w:val="24"/>
          <w:lang w:val="fr-CA"/>
        </w:rPr>
        <w:t>doit démontrer que ses intérêts privés sont plus importants que l’intérêt public</w:t>
      </w:r>
      <w:r w:rsidR="005F7F37" w:rsidRPr="000E37D6">
        <w:rPr>
          <w:rFonts w:ascii="Arial" w:hAnsi="Arial" w:cs="Arial"/>
          <w:noProof/>
          <w:szCs w:val="24"/>
          <w:lang w:val="fr-CA"/>
        </w:rPr>
        <w:t xml:space="preserve">, </w:t>
      </w:r>
      <w:r w:rsidR="0007798C">
        <w:rPr>
          <w:rFonts w:ascii="Arial" w:hAnsi="Arial" w:cs="Arial"/>
          <w:noProof/>
          <w:szCs w:val="24"/>
          <w:lang w:val="fr-CA"/>
        </w:rPr>
        <w:t>y compris le droit à la libre expression et le maintien d’un système de justice transparent</w:t>
      </w:r>
      <w:r w:rsidR="00605734" w:rsidRPr="000E37D6">
        <w:rPr>
          <w:rFonts w:ascii="Arial" w:hAnsi="Arial" w:cs="Arial"/>
          <w:noProof/>
          <w:szCs w:val="24"/>
          <w:lang w:val="fr-CA"/>
        </w:rPr>
        <w:t>.</w:t>
      </w:r>
    </w:p>
    <w:p w:rsidR="005F7F37" w:rsidRPr="000E37D6" w:rsidRDefault="00375EC7"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Comme l’avocat chargé de la présentation l’a fait justement observé, le paragraphe </w:t>
      </w:r>
      <w:r w:rsidR="005F7F37" w:rsidRPr="000E37D6">
        <w:rPr>
          <w:rFonts w:ascii="Arial" w:hAnsi="Arial" w:cs="Arial"/>
          <w:noProof/>
          <w:szCs w:val="24"/>
          <w:lang w:val="fr-CA"/>
        </w:rPr>
        <w:t xml:space="preserve">9(6) </w:t>
      </w:r>
      <w:r>
        <w:rPr>
          <w:rFonts w:ascii="Arial" w:hAnsi="Arial" w:cs="Arial"/>
          <w:noProof/>
          <w:szCs w:val="24"/>
          <w:lang w:val="fr-CA"/>
        </w:rPr>
        <w:t xml:space="preserve">de la </w:t>
      </w:r>
      <w:r>
        <w:rPr>
          <w:rFonts w:ascii="Arial" w:hAnsi="Arial" w:cs="Arial"/>
          <w:i/>
          <w:noProof/>
          <w:szCs w:val="24"/>
          <w:lang w:val="fr-CA"/>
        </w:rPr>
        <w:t>Loi</w:t>
      </w:r>
      <w:r w:rsidR="005F7F37" w:rsidRPr="000E37D6">
        <w:rPr>
          <w:rFonts w:ascii="Arial" w:hAnsi="Arial" w:cs="Arial"/>
          <w:i/>
          <w:noProof/>
          <w:szCs w:val="24"/>
          <w:lang w:val="fr-CA"/>
        </w:rPr>
        <w:t xml:space="preserve"> </w:t>
      </w:r>
      <w:r>
        <w:rPr>
          <w:rFonts w:ascii="Arial" w:hAnsi="Arial" w:cs="Arial"/>
          <w:noProof/>
          <w:szCs w:val="24"/>
          <w:lang w:val="fr-CA"/>
        </w:rPr>
        <w:t>énonce que les audiences « sont ouvertes au public ».</w:t>
      </w:r>
      <w:r w:rsidR="005F7F37" w:rsidRPr="000E37D6">
        <w:rPr>
          <w:rFonts w:ascii="Arial" w:hAnsi="Arial" w:cs="Arial"/>
          <w:noProof/>
          <w:szCs w:val="24"/>
          <w:lang w:val="fr-CA"/>
        </w:rPr>
        <w:t xml:space="preserve"> </w:t>
      </w:r>
      <w:r>
        <w:rPr>
          <w:rFonts w:ascii="Arial" w:hAnsi="Arial" w:cs="Arial"/>
          <w:noProof/>
          <w:szCs w:val="24"/>
          <w:lang w:val="fr-CA"/>
        </w:rPr>
        <w:t>En vertu de la loi habilitante même, ces audiences sont destinées à être publiques.</w:t>
      </w:r>
    </w:p>
    <w:p w:rsidR="005F7F37" w:rsidRPr="000E37D6" w:rsidRDefault="0007444D" w:rsidP="00605734">
      <w:pPr>
        <w:pStyle w:val="Mainparagraph"/>
        <w:tabs>
          <w:tab w:val="clear" w:pos="1350"/>
          <w:tab w:val="left" w:pos="900"/>
        </w:tabs>
        <w:rPr>
          <w:rFonts w:ascii="Arial" w:hAnsi="Arial" w:cs="Arial"/>
          <w:noProof/>
          <w:szCs w:val="24"/>
          <w:lang w:val="fr-CA"/>
        </w:rPr>
      </w:pPr>
      <w:r w:rsidRPr="000E37D6">
        <w:rPr>
          <w:rFonts w:ascii="Arial" w:hAnsi="Arial" w:cs="Arial"/>
          <w:noProof/>
          <w:szCs w:val="24"/>
          <w:lang w:val="fr-CA"/>
        </w:rPr>
        <w:t xml:space="preserve">La </w:t>
      </w:r>
      <w:r w:rsidRPr="000E37D6">
        <w:rPr>
          <w:rFonts w:ascii="Arial" w:hAnsi="Arial" w:cs="Arial"/>
          <w:bCs/>
          <w:i/>
          <w:noProof/>
          <w:szCs w:val="24"/>
          <w:shd w:val="clear" w:color="auto" w:fill="FFFFFF"/>
          <w:lang w:val="fr-CA"/>
        </w:rPr>
        <w:t>Loi sur l’exercice des compétences légales</w:t>
      </w:r>
      <w:r w:rsidR="005F7F37" w:rsidRPr="000E37D6">
        <w:rPr>
          <w:rFonts w:ascii="Arial" w:hAnsi="Arial" w:cs="Arial"/>
          <w:noProof/>
          <w:szCs w:val="24"/>
          <w:lang w:val="fr-CA"/>
        </w:rPr>
        <w:t xml:space="preserve"> </w:t>
      </w:r>
      <w:r w:rsidRPr="000E37D6">
        <w:rPr>
          <w:rFonts w:ascii="Arial" w:hAnsi="Arial" w:cs="Arial"/>
          <w:noProof/>
          <w:szCs w:val="24"/>
          <w:lang w:val="fr-CA"/>
        </w:rPr>
        <w:t xml:space="preserve">s’applique à la présente audience, et l’article 9 de cette </w:t>
      </w:r>
      <w:r w:rsidR="00AD6C0A">
        <w:rPr>
          <w:rFonts w:ascii="Arial" w:hAnsi="Arial" w:cs="Arial"/>
          <w:noProof/>
          <w:szCs w:val="24"/>
          <w:lang w:val="fr-CA"/>
        </w:rPr>
        <w:t>loi</w:t>
      </w:r>
      <w:r w:rsidRPr="000E37D6">
        <w:rPr>
          <w:rFonts w:ascii="Arial" w:hAnsi="Arial" w:cs="Arial"/>
          <w:noProof/>
          <w:szCs w:val="24"/>
          <w:lang w:val="fr-CA"/>
        </w:rPr>
        <w:t xml:space="preserve"> indique que « [l]es audiences orales sont ouvertes au public ». Le paragraphe 6(2) </w:t>
      </w:r>
      <w:r w:rsidR="00B702FB">
        <w:rPr>
          <w:rFonts w:ascii="Arial" w:hAnsi="Arial" w:cs="Arial"/>
          <w:noProof/>
          <w:szCs w:val="24"/>
          <w:lang w:val="fr-CA"/>
        </w:rPr>
        <w:t xml:space="preserve">du </w:t>
      </w:r>
      <w:r w:rsidR="00E8074D">
        <w:rPr>
          <w:rFonts w:ascii="Arial" w:hAnsi="Arial" w:cs="Arial"/>
          <w:noProof/>
          <w:szCs w:val="24"/>
          <w:lang w:val="fr-CA"/>
        </w:rPr>
        <w:t>document de procédures</w:t>
      </w:r>
      <w:r w:rsidR="00B702FB">
        <w:rPr>
          <w:rFonts w:ascii="Arial" w:hAnsi="Arial" w:cs="Arial"/>
          <w:noProof/>
          <w:szCs w:val="24"/>
          <w:lang w:val="fr-CA"/>
        </w:rPr>
        <w:t xml:space="preserve"> </w:t>
      </w:r>
      <w:r w:rsidR="005F7F37" w:rsidRPr="000E37D6">
        <w:rPr>
          <w:rFonts w:ascii="Arial" w:hAnsi="Arial" w:cs="Arial"/>
          <w:noProof/>
          <w:szCs w:val="24"/>
          <w:lang w:val="fr-CA"/>
        </w:rPr>
        <w:t>re</w:t>
      </w:r>
      <w:r w:rsidR="00E8074D">
        <w:rPr>
          <w:rFonts w:ascii="Arial" w:hAnsi="Arial" w:cs="Arial"/>
          <w:noProof/>
          <w:szCs w:val="24"/>
          <w:lang w:val="fr-CA"/>
        </w:rPr>
        <w:t>produit</w:t>
      </w:r>
      <w:r w:rsidR="00BB24B2">
        <w:rPr>
          <w:rFonts w:ascii="Arial" w:hAnsi="Arial" w:cs="Arial"/>
          <w:noProof/>
          <w:szCs w:val="24"/>
          <w:lang w:val="fr-CA"/>
        </w:rPr>
        <w:t xml:space="preserve"> cet objectif en prévoyant que le processus de traitement des plaintes devient public une fois que l’avis d’audience est reçu </w:t>
      </w:r>
      <w:r w:rsidR="00E8074D">
        <w:rPr>
          <w:rFonts w:ascii="Arial" w:hAnsi="Arial" w:cs="Arial"/>
          <w:noProof/>
          <w:szCs w:val="24"/>
          <w:lang w:val="fr-CA"/>
        </w:rPr>
        <w:t xml:space="preserve">comme </w:t>
      </w:r>
      <w:r w:rsidR="00BB24B2">
        <w:rPr>
          <w:rFonts w:ascii="Arial" w:hAnsi="Arial" w:cs="Arial"/>
          <w:noProof/>
          <w:szCs w:val="24"/>
          <w:lang w:val="fr-CA"/>
        </w:rPr>
        <w:t xml:space="preserve">pièce numérotée. </w:t>
      </w:r>
    </w:p>
    <w:p w:rsidR="005F7F37" w:rsidRPr="000E37D6" w:rsidRDefault="00C23E1C"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Comme </w:t>
      </w:r>
      <w:r w:rsidR="006D199F">
        <w:rPr>
          <w:rFonts w:ascii="Arial" w:hAnsi="Arial" w:cs="Arial"/>
          <w:noProof/>
          <w:szCs w:val="24"/>
          <w:lang w:val="fr-CA"/>
        </w:rPr>
        <w:t>le</w:t>
      </w:r>
      <w:r>
        <w:rPr>
          <w:rFonts w:ascii="Arial" w:hAnsi="Arial" w:cs="Arial"/>
          <w:noProof/>
          <w:szCs w:val="24"/>
          <w:lang w:val="fr-CA"/>
        </w:rPr>
        <w:t xml:space="preserve"> processus d</w:t>
      </w:r>
      <w:r w:rsidR="00E465A6">
        <w:rPr>
          <w:rFonts w:ascii="Arial" w:hAnsi="Arial" w:cs="Arial"/>
          <w:noProof/>
          <w:szCs w:val="24"/>
          <w:lang w:val="fr-CA"/>
        </w:rPr>
        <w:t>’examen</w:t>
      </w:r>
      <w:r>
        <w:rPr>
          <w:rFonts w:ascii="Arial" w:hAnsi="Arial" w:cs="Arial"/>
          <w:noProof/>
          <w:szCs w:val="24"/>
          <w:lang w:val="fr-CA"/>
        </w:rPr>
        <w:t xml:space="preserve"> </w:t>
      </w:r>
      <w:r w:rsidR="006D199F">
        <w:rPr>
          <w:rFonts w:ascii="Arial" w:hAnsi="Arial" w:cs="Arial"/>
          <w:noProof/>
          <w:szCs w:val="24"/>
          <w:lang w:val="fr-CA"/>
        </w:rPr>
        <w:t xml:space="preserve">est </w:t>
      </w:r>
      <w:r w:rsidR="00855733">
        <w:rPr>
          <w:rFonts w:ascii="Arial" w:hAnsi="Arial" w:cs="Arial"/>
          <w:noProof/>
          <w:szCs w:val="24"/>
          <w:lang w:val="fr-CA"/>
        </w:rPr>
        <w:t xml:space="preserve">caractérisé par </w:t>
      </w:r>
      <w:r>
        <w:rPr>
          <w:rFonts w:ascii="Arial" w:hAnsi="Arial" w:cs="Arial"/>
          <w:noProof/>
          <w:szCs w:val="24"/>
          <w:lang w:val="fr-CA"/>
        </w:rPr>
        <w:t>l</w:t>
      </w:r>
      <w:r w:rsidR="00855733">
        <w:rPr>
          <w:rFonts w:ascii="Arial" w:hAnsi="Arial" w:cs="Arial"/>
          <w:noProof/>
          <w:szCs w:val="24"/>
          <w:lang w:val="fr-CA"/>
        </w:rPr>
        <w:t>a publicité</w:t>
      </w:r>
      <w:r>
        <w:rPr>
          <w:rFonts w:ascii="Arial" w:hAnsi="Arial" w:cs="Arial"/>
          <w:noProof/>
          <w:szCs w:val="24"/>
          <w:lang w:val="fr-CA"/>
        </w:rPr>
        <w:t xml:space="preserve"> et la transparence, l’av</w:t>
      </w:r>
      <w:r w:rsidR="006D199F">
        <w:rPr>
          <w:rFonts w:ascii="Arial" w:hAnsi="Arial" w:cs="Arial"/>
          <w:noProof/>
          <w:szCs w:val="24"/>
          <w:lang w:val="fr-CA"/>
        </w:rPr>
        <w:t>o</w:t>
      </w:r>
      <w:r>
        <w:rPr>
          <w:rFonts w:ascii="Arial" w:hAnsi="Arial" w:cs="Arial"/>
          <w:noProof/>
          <w:szCs w:val="24"/>
          <w:lang w:val="fr-CA"/>
        </w:rPr>
        <w:t>cat chargé de la présentation a indiqué que l</w:t>
      </w:r>
      <w:r w:rsidR="00855733">
        <w:rPr>
          <w:rFonts w:ascii="Arial" w:hAnsi="Arial" w:cs="Arial"/>
          <w:noProof/>
          <w:szCs w:val="24"/>
          <w:lang w:val="fr-CA"/>
        </w:rPr>
        <w:t>a publicité</w:t>
      </w:r>
      <w:r>
        <w:rPr>
          <w:rFonts w:ascii="Arial" w:hAnsi="Arial" w:cs="Arial"/>
          <w:noProof/>
          <w:szCs w:val="24"/>
          <w:lang w:val="fr-CA"/>
        </w:rPr>
        <w:t xml:space="preserve"> des </w:t>
      </w:r>
      <w:r w:rsidR="00E91041">
        <w:rPr>
          <w:rFonts w:ascii="Arial" w:hAnsi="Arial" w:cs="Arial"/>
          <w:noProof/>
          <w:szCs w:val="24"/>
          <w:lang w:val="fr-CA"/>
        </w:rPr>
        <w:t>procédures</w:t>
      </w:r>
      <w:r>
        <w:rPr>
          <w:rFonts w:ascii="Arial" w:hAnsi="Arial" w:cs="Arial"/>
          <w:noProof/>
          <w:szCs w:val="24"/>
          <w:lang w:val="fr-CA"/>
        </w:rPr>
        <w:t xml:space="preserve"> ne devrait pas </w:t>
      </w:r>
      <w:r w:rsidR="00855733">
        <w:rPr>
          <w:rFonts w:ascii="Arial" w:hAnsi="Arial" w:cs="Arial"/>
          <w:noProof/>
          <w:szCs w:val="24"/>
          <w:lang w:val="fr-CA"/>
        </w:rPr>
        <w:t>attendre le</w:t>
      </w:r>
      <w:r>
        <w:rPr>
          <w:rFonts w:ascii="Arial" w:hAnsi="Arial" w:cs="Arial"/>
          <w:noProof/>
          <w:szCs w:val="24"/>
          <w:lang w:val="fr-CA"/>
        </w:rPr>
        <w:t xml:space="preserve"> moment où l’avocat est officiellement engagé ou que les contestations envisagées du comité d’audition ont été </w:t>
      </w:r>
      <w:r w:rsidR="00855733">
        <w:rPr>
          <w:rFonts w:ascii="Arial" w:hAnsi="Arial" w:cs="Arial"/>
          <w:noProof/>
          <w:szCs w:val="24"/>
          <w:lang w:val="fr-CA"/>
        </w:rPr>
        <w:t xml:space="preserve">présentées ou </w:t>
      </w:r>
      <w:r w:rsidR="006E799B">
        <w:rPr>
          <w:rFonts w:ascii="Arial" w:hAnsi="Arial" w:cs="Arial"/>
          <w:noProof/>
          <w:szCs w:val="24"/>
          <w:lang w:val="fr-CA"/>
        </w:rPr>
        <w:t xml:space="preserve">ont </w:t>
      </w:r>
      <w:r w:rsidR="00855733">
        <w:rPr>
          <w:rFonts w:ascii="Arial" w:hAnsi="Arial" w:cs="Arial"/>
          <w:noProof/>
          <w:szCs w:val="24"/>
          <w:lang w:val="fr-CA"/>
        </w:rPr>
        <w:t>fait l’objet d’une décision</w:t>
      </w:r>
      <w:r w:rsidR="005F7F37" w:rsidRPr="000E37D6">
        <w:rPr>
          <w:rFonts w:ascii="Arial" w:hAnsi="Arial" w:cs="Arial"/>
          <w:noProof/>
          <w:szCs w:val="24"/>
          <w:lang w:val="fr-CA"/>
        </w:rPr>
        <w:t>.</w:t>
      </w:r>
    </w:p>
    <w:p w:rsidR="00D63A8E" w:rsidRDefault="00855733" w:rsidP="00605734">
      <w:pPr>
        <w:pStyle w:val="Mainparagraph"/>
        <w:tabs>
          <w:tab w:val="clear" w:pos="1350"/>
          <w:tab w:val="left" w:pos="900"/>
        </w:tabs>
        <w:rPr>
          <w:rFonts w:ascii="Arial" w:hAnsi="Arial" w:cs="Arial"/>
          <w:noProof/>
          <w:szCs w:val="24"/>
          <w:lang w:val="fr-CA"/>
        </w:rPr>
      </w:pPr>
      <w:r w:rsidRPr="00D63A8E">
        <w:rPr>
          <w:rFonts w:ascii="Arial" w:hAnsi="Arial" w:cs="Arial"/>
          <w:noProof/>
          <w:szCs w:val="24"/>
          <w:lang w:val="fr-CA"/>
        </w:rPr>
        <w:t xml:space="preserve">Selon les </w:t>
      </w:r>
      <w:r w:rsidR="006E799B">
        <w:rPr>
          <w:rFonts w:ascii="Arial" w:hAnsi="Arial" w:cs="Arial"/>
          <w:noProof/>
          <w:szCs w:val="24"/>
          <w:lang w:val="fr-CA"/>
        </w:rPr>
        <w:t>observations</w:t>
      </w:r>
      <w:r w:rsidRPr="00D63A8E">
        <w:rPr>
          <w:rFonts w:ascii="Arial" w:hAnsi="Arial" w:cs="Arial"/>
          <w:noProof/>
          <w:szCs w:val="24"/>
          <w:lang w:val="fr-CA"/>
        </w:rPr>
        <w:t xml:space="preserve"> de l’avocat chargé de la présentation, l’avis d’audience </w:t>
      </w:r>
      <w:r w:rsidR="006E799B">
        <w:rPr>
          <w:rFonts w:ascii="Arial" w:hAnsi="Arial" w:cs="Arial"/>
          <w:noProof/>
          <w:szCs w:val="24"/>
          <w:lang w:val="fr-CA"/>
        </w:rPr>
        <w:t xml:space="preserve">correspond </w:t>
      </w:r>
      <w:r w:rsidRPr="00D63A8E">
        <w:rPr>
          <w:rFonts w:ascii="Arial" w:hAnsi="Arial" w:cs="Arial"/>
          <w:noProof/>
          <w:szCs w:val="24"/>
          <w:lang w:val="fr-CA"/>
        </w:rPr>
        <w:t xml:space="preserve">à une dénonciation dans un dossier criminel et peut être considéré </w:t>
      </w:r>
      <w:r w:rsidR="00D63A8E" w:rsidRPr="00D63A8E">
        <w:rPr>
          <w:rFonts w:ascii="Arial" w:hAnsi="Arial" w:cs="Arial"/>
          <w:noProof/>
          <w:szCs w:val="24"/>
          <w:lang w:val="fr-CA"/>
        </w:rPr>
        <w:t xml:space="preserve">tout simplement comme une allégation non fondée ou non prouvée. </w:t>
      </w:r>
    </w:p>
    <w:p w:rsidR="005F7F37" w:rsidRPr="00D63A8E" w:rsidRDefault="00D63A8E"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L’avocat chargé de la présentation </w:t>
      </w:r>
      <w:r w:rsidR="00DF1190">
        <w:rPr>
          <w:rFonts w:ascii="Arial" w:hAnsi="Arial" w:cs="Arial"/>
          <w:noProof/>
          <w:szCs w:val="24"/>
          <w:lang w:val="fr-CA"/>
        </w:rPr>
        <w:t>me</w:t>
      </w:r>
      <w:r w:rsidR="00E465A6">
        <w:rPr>
          <w:rFonts w:ascii="Arial" w:hAnsi="Arial" w:cs="Arial"/>
          <w:noProof/>
          <w:szCs w:val="24"/>
          <w:lang w:val="fr-CA"/>
        </w:rPr>
        <w:t>n</w:t>
      </w:r>
      <w:r w:rsidR="00DF1190">
        <w:rPr>
          <w:rFonts w:ascii="Arial" w:hAnsi="Arial" w:cs="Arial"/>
          <w:noProof/>
          <w:szCs w:val="24"/>
          <w:lang w:val="fr-CA"/>
        </w:rPr>
        <w:t>tionne</w:t>
      </w:r>
      <w:r>
        <w:rPr>
          <w:rFonts w:ascii="Arial" w:hAnsi="Arial" w:cs="Arial"/>
          <w:noProof/>
          <w:szCs w:val="24"/>
          <w:lang w:val="fr-CA"/>
        </w:rPr>
        <w:t xml:space="preserve"> également </w:t>
      </w:r>
      <w:r w:rsidR="00DF1190">
        <w:rPr>
          <w:rFonts w:ascii="Arial" w:hAnsi="Arial" w:cs="Arial"/>
          <w:noProof/>
          <w:szCs w:val="24"/>
          <w:lang w:val="fr-CA"/>
        </w:rPr>
        <w:t>que le</w:t>
      </w:r>
      <w:r>
        <w:rPr>
          <w:rFonts w:ascii="Arial" w:hAnsi="Arial" w:cs="Arial"/>
          <w:noProof/>
          <w:szCs w:val="24"/>
          <w:lang w:val="fr-CA"/>
        </w:rPr>
        <w:t xml:space="preserve"> critère susmentionné dans les décisions </w:t>
      </w:r>
      <w:r w:rsidR="005F7F37" w:rsidRPr="00D63A8E">
        <w:rPr>
          <w:rFonts w:ascii="Arial" w:hAnsi="Arial" w:cs="Arial"/>
          <w:i/>
          <w:noProof/>
          <w:szCs w:val="24"/>
          <w:lang w:val="fr-CA"/>
        </w:rPr>
        <w:t>Dagenais/Mentuck</w:t>
      </w:r>
      <w:r w:rsidR="005F7F37" w:rsidRPr="00D63A8E">
        <w:rPr>
          <w:rFonts w:ascii="Arial" w:hAnsi="Arial" w:cs="Arial"/>
          <w:noProof/>
          <w:szCs w:val="24"/>
          <w:lang w:val="fr-CA"/>
        </w:rPr>
        <w:t xml:space="preserve"> </w:t>
      </w:r>
      <w:r>
        <w:rPr>
          <w:rFonts w:ascii="Arial" w:hAnsi="Arial" w:cs="Arial"/>
          <w:noProof/>
          <w:szCs w:val="24"/>
          <w:lang w:val="fr-CA"/>
        </w:rPr>
        <w:t>et l’obligation d’</w:t>
      </w:r>
      <w:r w:rsidR="006E799B">
        <w:rPr>
          <w:rFonts w:ascii="Arial" w:hAnsi="Arial" w:cs="Arial"/>
          <w:noProof/>
          <w:szCs w:val="24"/>
          <w:lang w:val="fr-CA"/>
        </w:rPr>
        <w:t>informer</w:t>
      </w:r>
      <w:r>
        <w:rPr>
          <w:rFonts w:ascii="Arial" w:hAnsi="Arial" w:cs="Arial"/>
          <w:noProof/>
          <w:szCs w:val="24"/>
          <w:lang w:val="fr-CA"/>
        </w:rPr>
        <w:t xml:space="preserve"> les médias avant la </w:t>
      </w:r>
      <w:r w:rsidR="006E799B">
        <w:rPr>
          <w:rFonts w:ascii="Arial" w:hAnsi="Arial" w:cs="Arial"/>
          <w:noProof/>
          <w:szCs w:val="24"/>
          <w:lang w:val="fr-CA"/>
        </w:rPr>
        <w:t xml:space="preserve">présentation de la </w:t>
      </w:r>
      <w:r>
        <w:rPr>
          <w:rFonts w:ascii="Arial" w:hAnsi="Arial" w:cs="Arial"/>
          <w:noProof/>
          <w:szCs w:val="24"/>
          <w:lang w:val="fr-CA"/>
        </w:rPr>
        <w:t>demande du type env</w:t>
      </w:r>
      <w:r w:rsidR="00083CE0">
        <w:rPr>
          <w:rFonts w:ascii="Arial" w:hAnsi="Arial" w:cs="Arial"/>
          <w:noProof/>
          <w:szCs w:val="24"/>
          <w:lang w:val="fr-CA"/>
        </w:rPr>
        <w:t>i</w:t>
      </w:r>
      <w:r>
        <w:rPr>
          <w:rFonts w:ascii="Arial" w:hAnsi="Arial" w:cs="Arial"/>
          <w:noProof/>
          <w:szCs w:val="24"/>
          <w:lang w:val="fr-CA"/>
        </w:rPr>
        <w:t xml:space="preserve">sagé par son Honneur et </w:t>
      </w:r>
      <w:r w:rsidR="00DA7D9B" w:rsidRPr="00D63A8E">
        <w:rPr>
          <w:rFonts w:ascii="Arial" w:hAnsi="Arial" w:cs="Arial"/>
          <w:noProof/>
          <w:szCs w:val="24"/>
          <w:lang w:val="fr-CA"/>
        </w:rPr>
        <w:t>M.</w:t>
      </w:r>
      <w:r w:rsidR="0066386D">
        <w:rPr>
          <w:rFonts w:ascii="Arial" w:hAnsi="Arial" w:cs="Arial"/>
          <w:noProof/>
          <w:szCs w:val="24"/>
          <w:lang w:val="fr-CA"/>
        </w:rPr>
        <w:t> </w:t>
      </w:r>
      <w:r w:rsidR="00DA7D9B" w:rsidRPr="00D63A8E">
        <w:rPr>
          <w:rFonts w:ascii="Arial" w:hAnsi="Arial" w:cs="Arial"/>
          <w:noProof/>
          <w:szCs w:val="24"/>
          <w:lang w:val="fr-CA"/>
        </w:rPr>
        <w:t xml:space="preserve">Sandler </w:t>
      </w:r>
      <w:r w:rsidR="00DF1190">
        <w:rPr>
          <w:rFonts w:ascii="Arial" w:hAnsi="Arial" w:cs="Arial"/>
          <w:noProof/>
          <w:szCs w:val="24"/>
          <w:lang w:val="fr-CA"/>
        </w:rPr>
        <w:t>résulte</w:t>
      </w:r>
      <w:r w:rsidR="00E465A6">
        <w:rPr>
          <w:rFonts w:ascii="Arial" w:hAnsi="Arial" w:cs="Arial"/>
          <w:noProof/>
          <w:szCs w:val="24"/>
          <w:lang w:val="fr-CA"/>
        </w:rPr>
        <w:t>nt</w:t>
      </w:r>
      <w:r>
        <w:rPr>
          <w:rFonts w:ascii="Arial" w:hAnsi="Arial" w:cs="Arial"/>
          <w:noProof/>
          <w:szCs w:val="24"/>
          <w:lang w:val="fr-CA"/>
        </w:rPr>
        <w:t xml:space="preserve"> </w:t>
      </w:r>
      <w:r w:rsidR="00DF1190">
        <w:rPr>
          <w:rFonts w:ascii="Arial" w:hAnsi="Arial" w:cs="Arial"/>
          <w:noProof/>
          <w:szCs w:val="24"/>
          <w:lang w:val="fr-CA"/>
        </w:rPr>
        <w:t>de</w:t>
      </w:r>
      <w:r>
        <w:rPr>
          <w:rFonts w:ascii="Arial" w:hAnsi="Arial" w:cs="Arial"/>
          <w:noProof/>
          <w:szCs w:val="24"/>
          <w:lang w:val="fr-CA"/>
        </w:rPr>
        <w:t xml:space="preserve"> l’intérêt public significatif dans la responsabilisation et la transparence que </w:t>
      </w:r>
      <w:r w:rsidR="0066386D">
        <w:rPr>
          <w:rFonts w:ascii="Arial" w:hAnsi="Arial" w:cs="Arial"/>
          <w:noProof/>
          <w:szCs w:val="24"/>
          <w:lang w:val="fr-CA"/>
        </w:rPr>
        <w:t>nécessitent</w:t>
      </w:r>
      <w:r>
        <w:rPr>
          <w:rFonts w:ascii="Arial" w:hAnsi="Arial" w:cs="Arial"/>
          <w:noProof/>
          <w:szCs w:val="24"/>
          <w:lang w:val="fr-CA"/>
        </w:rPr>
        <w:t xml:space="preserve"> les audiences de ce type.</w:t>
      </w:r>
    </w:p>
    <w:p w:rsidR="005F7F37" w:rsidRPr="000E37D6" w:rsidRDefault="003563D2"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L’avocat chargé de la présentation </w:t>
      </w:r>
      <w:r w:rsidR="002846DA">
        <w:rPr>
          <w:rFonts w:ascii="Arial" w:hAnsi="Arial" w:cs="Arial"/>
          <w:noProof/>
          <w:szCs w:val="24"/>
          <w:lang w:val="fr-CA"/>
        </w:rPr>
        <w:t>renvoie</w:t>
      </w:r>
      <w:r>
        <w:rPr>
          <w:rFonts w:ascii="Arial" w:hAnsi="Arial" w:cs="Arial"/>
          <w:noProof/>
          <w:szCs w:val="24"/>
          <w:lang w:val="fr-CA"/>
        </w:rPr>
        <w:t xml:space="preserve"> à deux décisions antérieures de comités d’audition du Conseil d’évaluation dans lesquelles on avait demandé des ordonnances </w:t>
      </w:r>
      <w:r w:rsidR="00994A96">
        <w:rPr>
          <w:rFonts w:ascii="Arial" w:hAnsi="Arial" w:cs="Arial"/>
          <w:noProof/>
          <w:szCs w:val="24"/>
          <w:lang w:val="fr-CA"/>
        </w:rPr>
        <w:t>interdisant la publication du contenu de l’avis d’audience</w:t>
      </w:r>
      <w:r>
        <w:rPr>
          <w:rFonts w:ascii="Arial" w:hAnsi="Arial" w:cs="Arial"/>
          <w:noProof/>
          <w:szCs w:val="24"/>
          <w:lang w:val="fr-CA"/>
        </w:rPr>
        <w:t xml:space="preserve">. Ces demandes incluent la décision </w:t>
      </w:r>
      <w:r w:rsidR="00FD1F5F">
        <w:rPr>
          <w:rFonts w:ascii="Arial" w:hAnsi="Arial" w:cs="Arial"/>
          <w:noProof/>
          <w:szCs w:val="24"/>
          <w:lang w:val="fr-CA"/>
        </w:rPr>
        <w:t>concernant</w:t>
      </w:r>
      <w:r>
        <w:rPr>
          <w:rFonts w:ascii="Arial" w:hAnsi="Arial" w:cs="Arial"/>
          <w:noProof/>
          <w:szCs w:val="24"/>
          <w:lang w:val="fr-CA"/>
        </w:rPr>
        <w:t xml:space="preserve"> la plainte relative à la conduite de la juge de paix </w:t>
      </w:r>
      <w:r w:rsidR="005F7F37" w:rsidRPr="000E37D6">
        <w:rPr>
          <w:rFonts w:ascii="Arial" w:hAnsi="Arial" w:cs="Arial"/>
          <w:noProof/>
          <w:szCs w:val="24"/>
          <w:lang w:val="fr-CA"/>
        </w:rPr>
        <w:t xml:space="preserve">Solange Guberman, </w:t>
      </w:r>
      <w:r>
        <w:rPr>
          <w:rFonts w:ascii="Arial" w:hAnsi="Arial" w:cs="Arial"/>
          <w:noProof/>
          <w:szCs w:val="24"/>
          <w:lang w:val="fr-CA"/>
        </w:rPr>
        <w:t>datée du 11 octobre 2011</w:t>
      </w:r>
      <w:r w:rsidR="002846DA">
        <w:rPr>
          <w:rFonts w:ascii="Arial" w:hAnsi="Arial" w:cs="Arial"/>
          <w:noProof/>
          <w:szCs w:val="24"/>
          <w:lang w:val="fr-CA"/>
        </w:rPr>
        <w:t>,</w:t>
      </w:r>
      <w:r>
        <w:rPr>
          <w:rFonts w:ascii="Arial" w:hAnsi="Arial" w:cs="Arial"/>
          <w:noProof/>
          <w:szCs w:val="24"/>
          <w:lang w:val="fr-CA"/>
        </w:rPr>
        <w:t xml:space="preserve"> et la décision </w:t>
      </w:r>
      <w:r w:rsidR="00FD1F5F">
        <w:rPr>
          <w:rFonts w:ascii="Arial" w:hAnsi="Arial" w:cs="Arial"/>
          <w:noProof/>
          <w:szCs w:val="24"/>
          <w:lang w:val="fr-CA"/>
        </w:rPr>
        <w:t>concernant</w:t>
      </w:r>
      <w:r>
        <w:rPr>
          <w:rFonts w:ascii="Arial" w:hAnsi="Arial" w:cs="Arial"/>
          <w:noProof/>
          <w:szCs w:val="24"/>
          <w:lang w:val="fr-CA"/>
        </w:rPr>
        <w:t xml:space="preserve"> la plainte relative à la conduite du juge de paix</w:t>
      </w:r>
      <w:r w:rsidR="005F7F37" w:rsidRPr="000E37D6">
        <w:rPr>
          <w:rFonts w:ascii="Arial" w:hAnsi="Arial" w:cs="Arial"/>
          <w:noProof/>
          <w:szCs w:val="24"/>
          <w:lang w:val="fr-CA"/>
        </w:rPr>
        <w:t xml:space="preserve"> Errol Massiah</w:t>
      </w:r>
      <w:r w:rsidR="00717126" w:rsidRPr="000E37D6">
        <w:rPr>
          <w:rFonts w:ascii="Arial" w:hAnsi="Arial" w:cs="Arial"/>
          <w:noProof/>
          <w:szCs w:val="24"/>
          <w:lang w:val="fr-CA"/>
        </w:rPr>
        <w:t>,</w:t>
      </w:r>
      <w:r w:rsidR="00605734" w:rsidRPr="000E37D6">
        <w:rPr>
          <w:rFonts w:ascii="Arial" w:hAnsi="Arial" w:cs="Arial"/>
          <w:noProof/>
          <w:szCs w:val="24"/>
          <w:lang w:val="fr-CA"/>
        </w:rPr>
        <w:t xml:space="preserve"> dat</w:t>
      </w:r>
      <w:r>
        <w:rPr>
          <w:rFonts w:ascii="Arial" w:hAnsi="Arial" w:cs="Arial"/>
          <w:noProof/>
          <w:szCs w:val="24"/>
          <w:lang w:val="fr-CA"/>
        </w:rPr>
        <w:t>é</w:t>
      </w:r>
      <w:r w:rsidR="00605734" w:rsidRPr="000E37D6">
        <w:rPr>
          <w:rFonts w:ascii="Arial" w:hAnsi="Arial" w:cs="Arial"/>
          <w:noProof/>
          <w:szCs w:val="24"/>
          <w:lang w:val="fr-CA"/>
        </w:rPr>
        <w:t>e</w:t>
      </w:r>
      <w:r>
        <w:rPr>
          <w:rFonts w:ascii="Arial" w:hAnsi="Arial" w:cs="Arial"/>
          <w:noProof/>
          <w:szCs w:val="24"/>
          <w:lang w:val="fr-CA"/>
        </w:rPr>
        <w:t xml:space="preserve"> du 11 avril 2014</w:t>
      </w:r>
      <w:r w:rsidR="00605734" w:rsidRPr="000E37D6">
        <w:rPr>
          <w:rFonts w:ascii="Arial" w:hAnsi="Arial" w:cs="Arial"/>
          <w:noProof/>
          <w:szCs w:val="24"/>
          <w:lang w:val="fr-CA"/>
        </w:rPr>
        <w:t>.</w:t>
      </w:r>
    </w:p>
    <w:p w:rsidR="005F7F37" w:rsidRPr="000E37D6" w:rsidRDefault="00AD6C0A"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Ces décisions viennent réitérer et confirmer l’importance qui est accordée au maintien de l</w:t>
      </w:r>
      <w:r w:rsidR="003563D2">
        <w:rPr>
          <w:rFonts w:ascii="Arial" w:hAnsi="Arial" w:cs="Arial"/>
          <w:noProof/>
          <w:szCs w:val="24"/>
          <w:lang w:val="fr-CA"/>
        </w:rPr>
        <w:t>a publication</w:t>
      </w:r>
      <w:r>
        <w:rPr>
          <w:rFonts w:ascii="Arial" w:hAnsi="Arial" w:cs="Arial"/>
          <w:noProof/>
          <w:szCs w:val="24"/>
          <w:lang w:val="fr-CA"/>
        </w:rPr>
        <w:t xml:space="preserve"> et de l’accessibilité du public à ces audiences.</w:t>
      </w:r>
    </w:p>
    <w:p w:rsidR="005F7F37" w:rsidRPr="000E37D6" w:rsidRDefault="0007444D" w:rsidP="00605734">
      <w:pPr>
        <w:pStyle w:val="Heading1"/>
        <w:spacing w:after="240"/>
        <w:rPr>
          <w:rFonts w:ascii="Arial" w:hAnsi="Arial" w:cs="Arial"/>
          <w:noProof/>
          <w:color w:val="auto"/>
          <w:lang w:val="fr-CA"/>
        </w:rPr>
      </w:pPr>
      <w:r w:rsidRPr="000E37D6">
        <w:rPr>
          <w:rFonts w:ascii="Arial" w:hAnsi="Arial" w:cs="Arial"/>
          <w:noProof/>
          <w:color w:val="auto"/>
          <w:lang w:val="fr-CA"/>
        </w:rPr>
        <w:t>Analyse et c</w:t>
      </w:r>
      <w:r w:rsidR="005F7F37" w:rsidRPr="000E37D6">
        <w:rPr>
          <w:rFonts w:ascii="Arial" w:hAnsi="Arial" w:cs="Arial"/>
          <w:noProof/>
          <w:color w:val="auto"/>
          <w:lang w:val="fr-CA"/>
        </w:rPr>
        <w:t>onclusion</w:t>
      </w:r>
    </w:p>
    <w:p w:rsidR="005F7F37" w:rsidRPr="000E37D6" w:rsidRDefault="00B7146F"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Avant de </w:t>
      </w:r>
      <w:r w:rsidR="00083CE0">
        <w:rPr>
          <w:rFonts w:ascii="Arial" w:hAnsi="Arial" w:cs="Arial"/>
          <w:noProof/>
          <w:szCs w:val="24"/>
          <w:lang w:val="fr-CA"/>
        </w:rPr>
        <w:t>rejet</w:t>
      </w:r>
      <w:r>
        <w:rPr>
          <w:rFonts w:ascii="Arial" w:hAnsi="Arial" w:cs="Arial"/>
          <w:noProof/>
          <w:szCs w:val="24"/>
          <w:lang w:val="fr-CA"/>
        </w:rPr>
        <w:t>er</w:t>
      </w:r>
      <w:r w:rsidR="00083CE0">
        <w:rPr>
          <w:rFonts w:ascii="Arial" w:hAnsi="Arial" w:cs="Arial"/>
          <w:noProof/>
          <w:szCs w:val="24"/>
          <w:lang w:val="fr-CA"/>
        </w:rPr>
        <w:t xml:space="preserve"> la demande de l’intimé</w:t>
      </w:r>
      <w:r w:rsidR="005F7F37" w:rsidRPr="000E37D6">
        <w:rPr>
          <w:rFonts w:ascii="Arial" w:hAnsi="Arial" w:cs="Arial"/>
          <w:noProof/>
          <w:szCs w:val="24"/>
          <w:lang w:val="fr-CA"/>
        </w:rPr>
        <w:t xml:space="preserve">, </w:t>
      </w:r>
      <w:r w:rsidR="00083CE0">
        <w:rPr>
          <w:rFonts w:ascii="Arial" w:hAnsi="Arial" w:cs="Arial"/>
          <w:noProof/>
          <w:szCs w:val="24"/>
          <w:lang w:val="fr-CA"/>
        </w:rPr>
        <w:t>le</w:t>
      </w:r>
      <w:r>
        <w:rPr>
          <w:rFonts w:ascii="Arial" w:hAnsi="Arial" w:cs="Arial"/>
          <w:noProof/>
          <w:szCs w:val="24"/>
          <w:lang w:val="fr-CA"/>
        </w:rPr>
        <w:t xml:space="preserve"> comité a examiné les considérations </w:t>
      </w:r>
      <w:r w:rsidR="00083CE0">
        <w:rPr>
          <w:rFonts w:ascii="Arial" w:hAnsi="Arial" w:cs="Arial"/>
          <w:noProof/>
          <w:szCs w:val="24"/>
          <w:lang w:val="fr-CA"/>
        </w:rPr>
        <w:t>factuelles et juridiques suivantes</w:t>
      </w:r>
      <w:r>
        <w:rPr>
          <w:rFonts w:ascii="Arial" w:hAnsi="Arial" w:cs="Arial"/>
          <w:noProof/>
          <w:szCs w:val="24"/>
          <w:lang w:val="fr-CA"/>
        </w:rPr>
        <w:t> </w:t>
      </w:r>
      <w:r w:rsidR="00083CE0">
        <w:rPr>
          <w:rFonts w:ascii="Arial" w:hAnsi="Arial" w:cs="Arial"/>
          <w:noProof/>
          <w:szCs w:val="24"/>
          <w:lang w:val="fr-CA"/>
        </w:rPr>
        <w:t>:</w:t>
      </w:r>
    </w:p>
    <w:p w:rsidR="005F7F37" w:rsidRPr="000E37D6" w:rsidRDefault="00CB32DD"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Des cours et </w:t>
      </w:r>
      <w:r w:rsidR="00781C0C">
        <w:rPr>
          <w:rFonts w:ascii="Arial" w:hAnsi="Arial" w:cs="Arial"/>
          <w:noProof/>
          <w:szCs w:val="24"/>
          <w:lang w:val="fr-CA"/>
        </w:rPr>
        <w:t xml:space="preserve">des </w:t>
      </w:r>
      <w:r>
        <w:rPr>
          <w:rFonts w:ascii="Arial" w:hAnsi="Arial" w:cs="Arial"/>
          <w:noProof/>
          <w:szCs w:val="24"/>
          <w:lang w:val="fr-CA"/>
        </w:rPr>
        <w:t xml:space="preserve">tribunaux </w:t>
      </w:r>
      <w:r w:rsidR="00781C0C">
        <w:rPr>
          <w:rFonts w:ascii="Arial" w:hAnsi="Arial" w:cs="Arial"/>
          <w:noProof/>
          <w:szCs w:val="24"/>
          <w:lang w:val="fr-CA"/>
        </w:rPr>
        <w:t xml:space="preserve">administratifs </w:t>
      </w:r>
      <w:r>
        <w:rPr>
          <w:rFonts w:ascii="Arial" w:hAnsi="Arial" w:cs="Arial"/>
          <w:noProof/>
          <w:szCs w:val="24"/>
          <w:lang w:val="fr-CA"/>
        </w:rPr>
        <w:t xml:space="preserve">ouverts et accessibles aux membres du public sont </w:t>
      </w:r>
      <w:r w:rsidR="00781C0C">
        <w:rPr>
          <w:rFonts w:ascii="Arial" w:hAnsi="Arial" w:cs="Arial"/>
          <w:noProof/>
          <w:szCs w:val="24"/>
          <w:lang w:val="fr-CA"/>
        </w:rPr>
        <w:t>une</w:t>
      </w:r>
      <w:r>
        <w:rPr>
          <w:rFonts w:ascii="Arial" w:hAnsi="Arial" w:cs="Arial"/>
          <w:noProof/>
          <w:szCs w:val="24"/>
          <w:lang w:val="fr-CA"/>
        </w:rPr>
        <w:t xml:space="preserve"> caractéristique de notre système de justice et un </w:t>
      </w:r>
      <w:r w:rsidR="00B7146F">
        <w:rPr>
          <w:rFonts w:ascii="Arial" w:hAnsi="Arial" w:cs="Arial"/>
          <w:noProof/>
          <w:szCs w:val="24"/>
          <w:lang w:val="fr-CA"/>
        </w:rPr>
        <w:t>trait</w:t>
      </w:r>
      <w:r>
        <w:rPr>
          <w:rFonts w:ascii="Arial" w:hAnsi="Arial" w:cs="Arial"/>
          <w:noProof/>
          <w:szCs w:val="24"/>
          <w:lang w:val="fr-CA"/>
        </w:rPr>
        <w:t xml:space="preserve"> convoité de notre société démocratique</w:t>
      </w:r>
      <w:r w:rsidR="005F7F37" w:rsidRPr="000E37D6">
        <w:rPr>
          <w:rFonts w:ascii="Arial" w:hAnsi="Arial" w:cs="Arial"/>
          <w:noProof/>
          <w:szCs w:val="24"/>
          <w:lang w:val="fr-CA"/>
        </w:rPr>
        <w:t>;</w:t>
      </w:r>
    </w:p>
    <w:p w:rsidR="005F7F37" w:rsidRPr="00CB32DD" w:rsidRDefault="00CB32DD"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Ces principes</w:t>
      </w:r>
      <w:r w:rsidR="005F7F37" w:rsidRPr="000E37D6">
        <w:rPr>
          <w:rFonts w:ascii="Arial" w:hAnsi="Arial" w:cs="Arial"/>
          <w:noProof/>
          <w:szCs w:val="24"/>
          <w:lang w:val="fr-CA"/>
        </w:rPr>
        <w:t xml:space="preserve"> (</w:t>
      </w:r>
      <w:r>
        <w:rPr>
          <w:rFonts w:ascii="Arial" w:hAnsi="Arial" w:cs="Arial"/>
          <w:noProof/>
          <w:szCs w:val="24"/>
          <w:lang w:val="fr-CA"/>
        </w:rPr>
        <w:t>publicité et accessibilité</w:t>
      </w:r>
      <w:r w:rsidR="005F7F37" w:rsidRPr="000E37D6">
        <w:rPr>
          <w:rFonts w:ascii="Arial" w:hAnsi="Arial" w:cs="Arial"/>
          <w:noProof/>
          <w:szCs w:val="24"/>
          <w:lang w:val="fr-CA"/>
        </w:rPr>
        <w:t xml:space="preserve">) </w:t>
      </w:r>
      <w:r w:rsidR="006737D7">
        <w:rPr>
          <w:rFonts w:ascii="Arial" w:hAnsi="Arial" w:cs="Arial"/>
          <w:noProof/>
          <w:szCs w:val="24"/>
          <w:lang w:val="fr-CA"/>
        </w:rPr>
        <w:t>ont été i</w:t>
      </w:r>
      <w:r>
        <w:rPr>
          <w:rFonts w:ascii="Arial" w:hAnsi="Arial" w:cs="Arial"/>
          <w:noProof/>
          <w:szCs w:val="24"/>
          <w:lang w:val="fr-CA"/>
        </w:rPr>
        <w:t xml:space="preserve">ncorporés dans la </w:t>
      </w:r>
      <w:r w:rsidRPr="00CB32DD">
        <w:rPr>
          <w:rFonts w:ascii="Arial" w:hAnsi="Arial" w:cs="Arial"/>
          <w:bCs/>
          <w:i/>
          <w:noProof/>
          <w:szCs w:val="24"/>
          <w:lang w:val="fr-CA"/>
        </w:rPr>
        <w:t>Loi sur l’exercice des compétences légales</w:t>
      </w:r>
      <w:r w:rsidRPr="00CB32DD">
        <w:rPr>
          <w:rFonts w:ascii="Arial" w:hAnsi="Arial" w:cs="Arial"/>
          <w:noProof/>
          <w:szCs w:val="24"/>
          <w:lang w:val="fr-CA"/>
        </w:rPr>
        <w:t xml:space="preserve"> </w:t>
      </w:r>
      <w:r>
        <w:rPr>
          <w:rFonts w:ascii="Arial" w:hAnsi="Arial" w:cs="Arial"/>
          <w:noProof/>
          <w:szCs w:val="24"/>
          <w:lang w:val="fr-CA"/>
        </w:rPr>
        <w:t>et sont re</w:t>
      </w:r>
      <w:r w:rsidR="00781C0C">
        <w:rPr>
          <w:rFonts w:ascii="Arial" w:hAnsi="Arial" w:cs="Arial"/>
          <w:noProof/>
          <w:szCs w:val="24"/>
          <w:lang w:val="fr-CA"/>
        </w:rPr>
        <w:t>pris</w:t>
      </w:r>
      <w:r>
        <w:rPr>
          <w:rFonts w:ascii="Arial" w:hAnsi="Arial" w:cs="Arial"/>
          <w:noProof/>
          <w:szCs w:val="24"/>
          <w:lang w:val="fr-CA"/>
        </w:rPr>
        <w:t xml:space="preserve"> dan</w:t>
      </w:r>
      <w:r w:rsidRPr="00CB32DD">
        <w:rPr>
          <w:rFonts w:ascii="Arial" w:hAnsi="Arial" w:cs="Arial"/>
          <w:noProof/>
          <w:szCs w:val="24"/>
          <w:lang w:val="fr-CA"/>
        </w:rPr>
        <w:t xml:space="preserve">s la </w:t>
      </w:r>
      <w:r>
        <w:rPr>
          <w:rFonts w:ascii="Arial" w:hAnsi="Arial" w:cs="Arial"/>
          <w:noProof/>
          <w:szCs w:val="24"/>
          <w:lang w:val="fr-CA"/>
        </w:rPr>
        <w:t>procédure du Conseil d’évalua</w:t>
      </w:r>
      <w:r w:rsidR="00781C0C">
        <w:rPr>
          <w:rFonts w:ascii="Arial" w:hAnsi="Arial" w:cs="Arial"/>
          <w:noProof/>
          <w:szCs w:val="24"/>
          <w:lang w:val="fr-CA"/>
        </w:rPr>
        <w:t>tion, comme il est susmentionné</w:t>
      </w:r>
      <w:r>
        <w:rPr>
          <w:rFonts w:ascii="Arial" w:hAnsi="Arial" w:cs="Arial"/>
          <w:noProof/>
          <w:szCs w:val="24"/>
          <w:lang w:val="fr-CA"/>
        </w:rPr>
        <w:t xml:space="preserve"> </w:t>
      </w:r>
      <w:r w:rsidR="005F7F37" w:rsidRPr="00CB32DD">
        <w:rPr>
          <w:rFonts w:ascii="Arial" w:hAnsi="Arial" w:cs="Arial"/>
          <w:noProof/>
          <w:szCs w:val="24"/>
          <w:lang w:val="fr-CA"/>
        </w:rPr>
        <w:t>(</w:t>
      </w:r>
      <w:r>
        <w:rPr>
          <w:rFonts w:ascii="Arial" w:hAnsi="Arial" w:cs="Arial"/>
          <w:noProof/>
          <w:szCs w:val="24"/>
          <w:lang w:val="fr-CA"/>
        </w:rPr>
        <w:t xml:space="preserve">voir l’article </w:t>
      </w:r>
      <w:r w:rsidR="005F7F37" w:rsidRPr="00CB32DD">
        <w:rPr>
          <w:rFonts w:ascii="Arial" w:hAnsi="Arial" w:cs="Arial"/>
          <w:noProof/>
          <w:szCs w:val="24"/>
          <w:lang w:val="fr-CA"/>
        </w:rPr>
        <w:t>6);</w:t>
      </w:r>
    </w:p>
    <w:p w:rsidR="005F7F37" w:rsidRPr="000E37D6" w:rsidRDefault="006737D7"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En l’espèce, l’avis d’audience</w:t>
      </w:r>
      <w:r w:rsidR="00306CD4">
        <w:rPr>
          <w:rFonts w:ascii="Arial" w:hAnsi="Arial" w:cs="Arial"/>
          <w:noProof/>
          <w:szCs w:val="24"/>
          <w:lang w:val="fr-CA"/>
        </w:rPr>
        <w:t xml:space="preserve"> a été rédigé selon la formule prescrite et signifié le 2 septembre 2016</w:t>
      </w:r>
      <w:r w:rsidR="005F7F37" w:rsidRPr="000E37D6">
        <w:rPr>
          <w:rFonts w:ascii="Arial" w:hAnsi="Arial" w:cs="Arial"/>
          <w:noProof/>
          <w:szCs w:val="24"/>
          <w:lang w:val="fr-CA"/>
        </w:rPr>
        <w:t xml:space="preserve">, </w:t>
      </w:r>
      <w:r w:rsidR="009B7F4D">
        <w:rPr>
          <w:rFonts w:ascii="Arial" w:hAnsi="Arial" w:cs="Arial"/>
          <w:noProof/>
          <w:szCs w:val="24"/>
          <w:lang w:val="fr-CA"/>
        </w:rPr>
        <w:t>envir</w:t>
      </w:r>
      <w:r w:rsidR="00306CD4">
        <w:rPr>
          <w:rFonts w:ascii="Arial" w:hAnsi="Arial" w:cs="Arial"/>
          <w:noProof/>
          <w:szCs w:val="24"/>
          <w:lang w:val="fr-CA"/>
        </w:rPr>
        <w:t xml:space="preserve">on quatre semaines avant la première comparution, sans que le comité des plaintes ne recommande que l’affaire soit entendue </w:t>
      </w:r>
      <w:r w:rsidR="006939CD">
        <w:rPr>
          <w:rFonts w:ascii="Arial" w:hAnsi="Arial" w:cs="Arial"/>
          <w:noProof/>
          <w:szCs w:val="24"/>
          <w:lang w:val="fr-CA"/>
        </w:rPr>
        <w:t>à huis clos</w:t>
      </w:r>
      <w:r w:rsidR="00306CD4">
        <w:rPr>
          <w:rFonts w:ascii="Arial" w:hAnsi="Arial" w:cs="Arial"/>
          <w:noProof/>
          <w:szCs w:val="24"/>
          <w:lang w:val="fr-CA"/>
        </w:rPr>
        <w:t xml:space="preserve"> comme le permet le paragraphe 9(1) de la </w:t>
      </w:r>
      <w:r w:rsidR="00306CD4" w:rsidRPr="00CB32DD">
        <w:rPr>
          <w:rFonts w:ascii="Arial" w:hAnsi="Arial" w:cs="Arial"/>
          <w:bCs/>
          <w:i/>
          <w:noProof/>
          <w:szCs w:val="24"/>
          <w:lang w:val="fr-CA"/>
        </w:rPr>
        <w:t>Loi sur l’exercice des compétences légales</w:t>
      </w:r>
      <w:r w:rsidR="005F7F37" w:rsidRPr="000E37D6">
        <w:rPr>
          <w:rFonts w:ascii="Arial" w:hAnsi="Arial" w:cs="Arial"/>
          <w:noProof/>
          <w:szCs w:val="24"/>
          <w:lang w:val="fr-CA"/>
        </w:rPr>
        <w:t>;</w:t>
      </w:r>
    </w:p>
    <w:p w:rsidR="005F7F37" w:rsidRPr="000E37D6" w:rsidRDefault="005A0077"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L’intimé n’a pas satisfait au critère applicable à une ordonnance de non</w:t>
      </w:r>
      <w:r>
        <w:rPr>
          <w:rFonts w:ascii="Arial" w:hAnsi="Arial" w:cs="Arial"/>
          <w:noProof/>
          <w:szCs w:val="24"/>
          <w:lang w:val="fr-CA"/>
        </w:rPr>
        <w:noBreakHyphen/>
      </w:r>
      <w:r w:rsidR="005F7F37" w:rsidRPr="000E37D6">
        <w:rPr>
          <w:rFonts w:ascii="Arial" w:hAnsi="Arial" w:cs="Arial"/>
          <w:noProof/>
          <w:szCs w:val="24"/>
          <w:lang w:val="fr-CA"/>
        </w:rPr>
        <w:t>publication</w:t>
      </w:r>
      <w:r w:rsidR="000B3F7A">
        <w:rPr>
          <w:rFonts w:ascii="Arial" w:hAnsi="Arial" w:cs="Arial"/>
          <w:noProof/>
          <w:szCs w:val="24"/>
          <w:lang w:val="fr-CA"/>
        </w:rPr>
        <w:t xml:space="preserve"> </w:t>
      </w:r>
      <w:r w:rsidR="00525229">
        <w:rPr>
          <w:rFonts w:ascii="Arial" w:hAnsi="Arial" w:cs="Arial"/>
          <w:noProof/>
          <w:szCs w:val="24"/>
          <w:lang w:val="fr-CA"/>
        </w:rPr>
        <w:t>qu</w:t>
      </w:r>
      <w:r w:rsidR="000B3F7A">
        <w:rPr>
          <w:rFonts w:ascii="Arial" w:hAnsi="Arial" w:cs="Arial"/>
          <w:noProof/>
          <w:szCs w:val="24"/>
          <w:lang w:val="fr-CA"/>
        </w:rPr>
        <w:t xml:space="preserve">’a établi </w:t>
      </w:r>
      <w:r w:rsidR="00CF5919" w:rsidRPr="000E37D6">
        <w:rPr>
          <w:rFonts w:ascii="Arial" w:hAnsi="Arial" w:cs="Arial"/>
          <w:noProof/>
          <w:szCs w:val="24"/>
          <w:lang w:val="fr-CA"/>
        </w:rPr>
        <w:t>la Cour suprême du Canada dans l’arrêt</w:t>
      </w:r>
      <w:r w:rsidR="005F7F37" w:rsidRPr="000E37D6">
        <w:rPr>
          <w:rFonts w:ascii="Arial" w:hAnsi="Arial" w:cs="Arial"/>
          <w:noProof/>
          <w:szCs w:val="24"/>
          <w:lang w:val="fr-CA"/>
        </w:rPr>
        <w:t xml:space="preserve"> </w:t>
      </w:r>
      <w:r w:rsidR="00CF5919" w:rsidRPr="000E37D6">
        <w:rPr>
          <w:rFonts w:ascii="Arial" w:hAnsi="Arial" w:cs="Arial"/>
          <w:i/>
          <w:noProof/>
          <w:szCs w:val="24"/>
          <w:lang w:val="fr-CA"/>
        </w:rPr>
        <w:t>La Reine c</w:t>
      </w:r>
      <w:r w:rsidR="005F7F37" w:rsidRPr="000E37D6">
        <w:rPr>
          <w:rFonts w:ascii="Arial" w:hAnsi="Arial" w:cs="Arial"/>
          <w:i/>
          <w:noProof/>
          <w:szCs w:val="24"/>
          <w:lang w:val="fr-CA"/>
        </w:rPr>
        <w:t>. Toronto Star Newspapers</w:t>
      </w:r>
      <w:r w:rsidR="00CF5919" w:rsidRPr="000E37D6">
        <w:rPr>
          <w:rFonts w:ascii="Arial" w:hAnsi="Arial" w:cs="Arial"/>
          <w:noProof/>
          <w:szCs w:val="24"/>
          <w:lang w:val="fr-CA"/>
        </w:rPr>
        <w:t xml:space="preserve">, 2005 </w:t>
      </w:r>
      <w:r w:rsidR="005F7F37" w:rsidRPr="000E37D6">
        <w:rPr>
          <w:rFonts w:ascii="Arial" w:hAnsi="Arial" w:cs="Arial"/>
          <w:noProof/>
          <w:szCs w:val="24"/>
          <w:lang w:val="fr-CA"/>
        </w:rPr>
        <w:t>C.</w:t>
      </w:r>
      <w:r w:rsidR="00CF5919" w:rsidRPr="000E37D6">
        <w:rPr>
          <w:rFonts w:ascii="Arial" w:hAnsi="Arial" w:cs="Arial"/>
          <w:noProof/>
          <w:szCs w:val="24"/>
          <w:lang w:val="fr-CA"/>
        </w:rPr>
        <w:t>S.</w:t>
      </w:r>
      <w:r w:rsidR="005F7F37" w:rsidRPr="000E37D6">
        <w:rPr>
          <w:rFonts w:ascii="Arial" w:hAnsi="Arial" w:cs="Arial"/>
          <w:noProof/>
          <w:szCs w:val="24"/>
          <w:lang w:val="fr-CA"/>
        </w:rPr>
        <w:t xml:space="preserve">C. 41, [2005] 2 </w:t>
      </w:r>
      <w:r w:rsidR="00CF5919" w:rsidRPr="000E37D6">
        <w:rPr>
          <w:rFonts w:ascii="Arial" w:hAnsi="Arial" w:cs="Arial"/>
          <w:noProof/>
          <w:szCs w:val="24"/>
          <w:lang w:val="fr-CA"/>
        </w:rPr>
        <w:t>R.C.S. 188, au</w:t>
      </w:r>
      <w:r w:rsidR="005F7F37" w:rsidRPr="000E37D6">
        <w:rPr>
          <w:rFonts w:ascii="Arial" w:hAnsi="Arial" w:cs="Arial"/>
          <w:noProof/>
          <w:szCs w:val="24"/>
          <w:lang w:val="fr-CA"/>
        </w:rPr>
        <w:t xml:space="preserve"> paragraph</w:t>
      </w:r>
      <w:r w:rsidR="00CF5919" w:rsidRPr="000E37D6">
        <w:rPr>
          <w:rFonts w:ascii="Arial" w:hAnsi="Arial" w:cs="Arial"/>
          <w:noProof/>
          <w:szCs w:val="24"/>
          <w:lang w:val="fr-CA"/>
        </w:rPr>
        <w:t>e</w:t>
      </w:r>
      <w:r w:rsidR="005F7F37" w:rsidRPr="000E37D6">
        <w:rPr>
          <w:rFonts w:ascii="Arial" w:hAnsi="Arial" w:cs="Arial"/>
          <w:noProof/>
          <w:szCs w:val="24"/>
          <w:lang w:val="fr-CA"/>
        </w:rPr>
        <w:t xml:space="preserve"> 26. </w:t>
      </w:r>
      <w:r w:rsidR="00CF5919" w:rsidRPr="000E37D6">
        <w:rPr>
          <w:rFonts w:ascii="Arial" w:hAnsi="Arial" w:cs="Arial"/>
          <w:noProof/>
          <w:szCs w:val="24"/>
          <w:lang w:val="fr-CA"/>
        </w:rPr>
        <w:t>À cet égard, l’intimé n’a pas démontré pourquoi une telle ordonnance « est nécessaire pour écarter un risque sérieux pour la bonne administration de la justice, vu l’absence d’autres mesures raisonnables pouvant écarter ce risque » ni établi que les « effets bénéfiques [de l’interdiction de publication] sont plus importants que ses effets préjudiciables sur les droits et les intérêts des parties et du public, notamment ses effets sur le droit à la libre expression, sur le droit de l’accusé à un procès public et équitable, et sur l’efficacité de l’administration de la justice »</w:t>
      </w:r>
      <w:r w:rsidR="008F1F6F">
        <w:rPr>
          <w:rFonts w:ascii="Arial" w:hAnsi="Arial" w:cs="Arial"/>
          <w:noProof/>
          <w:szCs w:val="24"/>
          <w:lang w:val="fr-CA"/>
        </w:rPr>
        <w:t>;</w:t>
      </w:r>
    </w:p>
    <w:p w:rsidR="005F7F37" w:rsidRPr="000E37D6" w:rsidRDefault="000B3F7A"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Bien que les allégations d’inconduite puissent causer de l’embarras à l’intimé, rien ne </w:t>
      </w:r>
      <w:r w:rsidR="008F1F6F">
        <w:rPr>
          <w:rFonts w:ascii="Arial" w:hAnsi="Arial" w:cs="Arial"/>
          <w:noProof/>
          <w:szCs w:val="24"/>
          <w:lang w:val="fr-CA"/>
        </w:rPr>
        <w:t>permet de croire</w:t>
      </w:r>
      <w:r>
        <w:rPr>
          <w:rFonts w:ascii="Arial" w:hAnsi="Arial" w:cs="Arial"/>
          <w:noProof/>
          <w:szCs w:val="24"/>
          <w:lang w:val="fr-CA"/>
        </w:rPr>
        <w:t xml:space="preserve"> que la simple réception de l’avis d’audience et des </w:t>
      </w:r>
      <w:r w:rsidR="008F1F6F">
        <w:rPr>
          <w:rFonts w:ascii="Arial" w:hAnsi="Arial" w:cs="Arial"/>
          <w:noProof/>
          <w:szCs w:val="24"/>
          <w:lang w:val="fr-CA"/>
        </w:rPr>
        <w:t>éléments</w:t>
      </w:r>
      <w:r>
        <w:rPr>
          <w:rFonts w:ascii="Arial" w:hAnsi="Arial" w:cs="Arial"/>
          <w:noProof/>
          <w:szCs w:val="24"/>
          <w:lang w:val="fr-CA"/>
        </w:rPr>
        <w:t xml:space="preserve"> de la plainte nuiront à eux seuls à la capacité de l’intimé de s’acquitter de ses fonctions</w:t>
      </w:r>
      <w:r w:rsidR="005F7F37" w:rsidRPr="000E37D6">
        <w:rPr>
          <w:rFonts w:ascii="Arial" w:hAnsi="Arial" w:cs="Arial"/>
          <w:noProof/>
          <w:szCs w:val="24"/>
          <w:lang w:val="fr-CA"/>
        </w:rPr>
        <w:t xml:space="preserve">. </w:t>
      </w:r>
      <w:r>
        <w:rPr>
          <w:rFonts w:ascii="Arial" w:hAnsi="Arial" w:cs="Arial"/>
          <w:noProof/>
          <w:szCs w:val="24"/>
          <w:lang w:val="fr-CA"/>
        </w:rPr>
        <w:t xml:space="preserve">Cela dit, les allégations portent directement sur l’exercice par l’intimé de ses obligations d’officier de justice. Dans ces circonstances, on ne peut raisonnablement s’attendre à ce que cette conduite ne soit pas </w:t>
      </w:r>
      <w:r w:rsidR="00942B7D">
        <w:rPr>
          <w:rFonts w:ascii="Arial" w:hAnsi="Arial" w:cs="Arial"/>
          <w:noProof/>
          <w:szCs w:val="24"/>
          <w:lang w:val="fr-CA"/>
        </w:rPr>
        <w:t xml:space="preserve">soumise </w:t>
      </w:r>
      <w:r>
        <w:rPr>
          <w:rFonts w:ascii="Arial" w:hAnsi="Arial" w:cs="Arial"/>
          <w:noProof/>
          <w:szCs w:val="24"/>
          <w:lang w:val="fr-CA"/>
        </w:rPr>
        <w:t>à l’examen du public</w:t>
      </w:r>
      <w:r w:rsidR="005F7F37" w:rsidRPr="000E37D6">
        <w:rPr>
          <w:rFonts w:ascii="Arial" w:hAnsi="Arial" w:cs="Arial"/>
          <w:noProof/>
          <w:szCs w:val="24"/>
          <w:lang w:val="fr-CA"/>
        </w:rPr>
        <w:t>;</w:t>
      </w:r>
    </w:p>
    <w:p w:rsidR="005F7F37" w:rsidRPr="000E37D6" w:rsidRDefault="004F4743"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Le comité conclut </w:t>
      </w:r>
      <w:r w:rsidR="00CD1966">
        <w:rPr>
          <w:rFonts w:ascii="Arial" w:hAnsi="Arial" w:cs="Arial"/>
          <w:noProof/>
          <w:szCs w:val="24"/>
          <w:lang w:val="fr-CA"/>
        </w:rPr>
        <w:t xml:space="preserve">que la demande visant à désigner l’avis d’audience </w:t>
      </w:r>
      <w:r w:rsidR="008F1F6F">
        <w:rPr>
          <w:rFonts w:ascii="Arial" w:hAnsi="Arial" w:cs="Arial"/>
          <w:noProof/>
          <w:szCs w:val="24"/>
          <w:lang w:val="fr-CA"/>
        </w:rPr>
        <w:t>comme</w:t>
      </w:r>
      <w:r w:rsidR="00CD1966">
        <w:rPr>
          <w:rFonts w:ascii="Arial" w:hAnsi="Arial" w:cs="Arial"/>
          <w:noProof/>
          <w:szCs w:val="24"/>
          <w:lang w:val="fr-CA"/>
        </w:rPr>
        <w:t xml:space="preserve"> pièce « A »</w:t>
      </w:r>
      <w:r w:rsidR="008F1F6F">
        <w:rPr>
          <w:rFonts w:ascii="Arial" w:hAnsi="Arial" w:cs="Arial"/>
          <w:noProof/>
          <w:szCs w:val="24"/>
          <w:lang w:val="fr-CA"/>
        </w:rPr>
        <w:t>,</w:t>
      </w:r>
      <w:r w:rsidR="00CD1966">
        <w:rPr>
          <w:rFonts w:ascii="Arial" w:hAnsi="Arial" w:cs="Arial"/>
          <w:noProof/>
          <w:szCs w:val="24"/>
          <w:lang w:val="fr-CA"/>
        </w:rPr>
        <w:t xml:space="preserve"> </w:t>
      </w:r>
      <w:r w:rsidR="008F1F6F">
        <w:rPr>
          <w:rFonts w:ascii="Arial" w:hAnsi="Arial" w:cs="Arial"/>
          <w:noProof/>
          <w:szCs w:val="24"/>
          <w:lang w:val="fr-CA"/>
        </w:rPr>
        <w:t>et non comme</w:t>
      </w:r>
      <w:r w:rsidR="00CD1966">
        <w:rPr>
          <w:rFonts w:ascii="Arial" w:hAnsi="Arial" w:cs="Arial"/>
          <w:noProof/>
          <w:szCs w:val="24"/>
          <w:lang w:val="fr-CA"/>
        </w:rPr>
        <w:t xml:space="preserve"> </w:t>
      </w:r>
      <w:r w:rsidR="006D5FA0">
        <w:rPr>
          <w:rFonts w:ascii="Arial" w:hAnsi="Arial" w:cs="Arial"/>
          <w:noProof/>
          <w:szCs w:val="24"/>
          <w:lang w:val="fr-CA"/>
        </w:rPr>
        <w:t xml:space="preserve">pièce du domaine </w:t>
      </w:r>
      <w:r w:rsidR="002F6977" w:rsidRPr="000E37D6">
        <w:rPr>
          <w:rFonts w:ascii="Arial" w:hAnsi="Arial" w:cs="Arial"/>
          <w:noProof/>
          <w:szCs w:val="24"/>
          <w:lang w:val="fr-CA"/>
        </w:rPr>
        <w:t>public</w:t>
      </w:r>
      <w:r w:rsidR="008F1F6F">
        <w:rPr>
          <w:rFonts w:ascii="Arial" w:hAnsi="Arial" w:cs="Arial"/>
          <w:noProof/>
          <w:szCs w:val="24"/>
          <w:lang w:val="fr-CA"/>
        </w:rPr>
        <w:t>,</w:t>
      </w:r>
      <w:r w:rsidR="005F7F37" w:rsidRPr="000E37D6">
        <w:rPr>
          <w:rFonts w:ascii="Arial" w:hAnsi="Arial" w:cs="Arial"/>
          <w:noProof/>
          <w:szCs w:val="24"/>
          <w:lang w:val="fr-CA"/>
        </w:rPr>
        <w:t xml:space="preserve"> </w:t>
      </w:r>
      <w:r w:rsidR="00CD1966">
        <w:rPr>
          <w:rFonts w:ascii="Arial" w:hAnsi="Arial" w:cs="Arial"/>
          <w:noProof/>
          <w:szCs w:val="24"/>
          <w:lang w:val="fr-CA"/>
        </w:rPr>
        <w:t>équivaut à une interdiction de publication provisoire de fait qui irait à l’encontre du principe de la publicité</w:t>
      </w:r>
      <w:r>
        <w:rPr>
          <w:rFonts w:ascii="Arial" w:hAnsi="Arial" w:cs="Arial"/>
          <w:noProof/>
          <w:szCs w:val="24"/>
          <w:lang w:val="fr-CA"/>
        </w:rPr>
        <w:t>, lequel</w:t>
      </w:r>
      <w:r w:rsidR="00CD1966">
        <w:rPr>
          <w:rFonts w:ascii="Arial" w:hAnsi="Arial" w:cs="Arial"/>
          <w:noProof/>
          <w:szCs w:val="24"/>
          <w:lang w:val="fr-CA"/>
        </w:rPr>
        <w:t xml:space="preserve"> </w:t>
      </w:r>
      <w:r w:rsidR="008C0A0B">
        <w:rPr>
          <w:rFonts w:ascii="Arial" w:hAnsi="Arial" w:cs="Arial"/>
          <w:noProof/>
          <w:szCs w:val="24"/>
          <w:lang w:val="fr-CA"/>
        </w:rPr>
        <w:t xml:space="preserve">principe </w:t>
      </w:r>
      <w:r w:rsidR="00CD1966">
        <w:rPr>
          <w:rFonts w:ascii="Arial" w:hAnsi="Arial" w:cs="Arial"/>
          <w:noProof/>
          <w:szCs w:val="24"/>
          <w:lang w:val="fr-CA"/>
        </w:rPr>
        <w:t>constitue une priorité des présentes procédures</w:t>
      </w:r>
      <w:r w:rsidR="005F7F37" w:rsidRPr="000E37D6">
        <w:rPr>
          <w:rFonts w:ascii="Arial" w:hAnsi="Arial" w:cs="Arial"/>
          <w:noProof/>
          <w:szCs w:val="24"/>
          <w:lang w:val="fr-CA"/>
        </w:rPr>
        <w:t>;</w:t>
      </w:r>
    </w:p>
    <w:p w:rsidR="003A71EA" w:rsidRPr="000E37D6" w:rsidRDefault="00CD1966"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Comme il n’y a pas de directive judiciaire préexistante </w:t>
      </w:r>
      <w:r w:rsidR="008C0A0B">
        <w:rPr>
          <w:rFonts w:ascii="Arial" w:hAnsi="Arial" w:cs="Arial"/>
          <w:noProof/>
          <w:szCs w:val="24"/>
          <w:lang w:val="fr-CA"/>
        </w:rPr>
        <w:t>voulant</w:t>
      </w:r>
      <w:r>
        <w:rPr>
          <w:rFonts w:ascii="Arial" w:hAnsi="Arial" w:cs="Arial"/>
          <w:noProof/>
          <w:szCs w:val="24"/>
          <w:lang w:val="fr-CA"/>
        </w:rPr>
        <w:t xml:space="preserve"> que la présente audience soit </w:t>
      </w:r>
      <w:r w:rsidR="008C0A0B">
        <w:rPr>
          <w:rFonts w:ascii="Arial" w:hAnsi="Arial" w:cs="Arial"/>
          <w:noProof/>
          <w:szCs w:val="24"/>
          <w:lang w:val="fr-CA"/>
        </w:rPr>
        <w:t>déclar</w:t>
      </w:r>
      <w:r w:rsidR="004F4743">
        <w:rPr>
          <w:rFonts w:ascii="Arial" w:hAnsi="Arial" w:cs="Arial"/>
          <w:noProof/>
          <w:szCs w:val="24"/>
          <w:lang w:val="fr-CA"/>
        </w:rPr>
        <w:t xml:space="preserve">ée </w:t>
      </w:r>
      <w:r>
        <w:rPr>
          <w:rFonts w:ascii="Arial" w:hAnsi="Arial" w:cs="Arial"/>
          <w:noProof/>
          <w:szCs w:val="24"/>
          <w:lang w:val="fr-CA"/>
        </w:rPr>
        <w:t xml:space="preserve">« non publique », et que la presse ne soit pas avisée préalablement, </w:t>
      </w:r>
      <w:r w:rsidR="004F4743">
        <w:rPr>
          <w:rFonts w:ascii="Arial" w:hAnsi="Arial" w:cs="Arial"/>
          <w:noProof/>
          <w:szCs w:val="24"/>
          <w:lang w:val="fr-CA"/>
        </w:rPr>
        <w:t>ni</w:t>
      </w:r>
      <w:r>
        <w:rPr>
          <w:rFonts w:ascii="Arial" w:hAnsi="Arial" w:cs="Arial"/>
          <w:noProof/>
          <w:szCs w:val="24"/>
          <w:lang w:val="fr-CA"/>
        </w:rPr>
        <w:t xml:space="preserve"> motion </w:t>
      </w:r>
      <w:r w:rsidR="004F4743">
        <w:rPr>
          <w:rFonts w:ascii="Arial" w:hAnsi="Arial" w:cs="Arial"/>
          <w:noProof/>
          <w:szCs w:val="24"/>
          <w:lang w:val="fr-CA"/>
        </w:rPr>
        <w:t>formelle,</w:t>
      </w:r>
      <w:r>
        <w:rPr>
          <w:rFonts w:ascii="Arial" w:hAnsi="Arial" w:cs="Arial"/>
          <w:noProof/>
          <w:szCs w:val="24"/>
          <w:lang w:val="fr-CA"/>
        </w:rPr>
        <w:t xml:space="preserve"> </w:t>
      </w:r>
      <w:r w:rsidR="004F4743">
        <w:rPr>
          <w:rFonts w:ascii="Arial" w:hAnsi="Arial" w:cs="Arial"/>
          <w:noProof/>
          <w:szCs w:val="24"/>
          <w:lang w:val="fr-CA"/>
        </w:rPr>
        <w:t>ni</w:t>
      </w:r>
      <w:r w:rsidR="0058465A">
        <w:rPr>
          <w:rFonts w:ascii="Arial" w:hAnsi="Arial" w:cs="Arial"/>
          <w:noProof/>
          <w:szCs w:val="24"/>
          <w:lang w:val="fr-CA"/>
        </w:rPr>
        <w:t xml:space="preserve"> </w:t>
      </w:r>
      <w:r w:rsidR="004F4743">
        <w:rPr>
          <w:rFonts w:ascii="Arial" w:hAnsi="Arial" w:cs="Arial"/>
          <w:noProof/>
          <w:szCs w:val="24"/>
          <w:lang w:val="fr-CA"/>
        </w:rPr>
        <w:t>pièce justificative</w:t>
      </w:r>
      <w:r w:rsidR="0058465A">
        <w:rPr>
          <w:rFonts w:ascii="Arial" w:hAnsi="Arial" w:cs="Arial"/>
          <w:noProof/>
          <w:szCs w:val="24"/>
          <w:lang w:val="fr-CA"/>
        </w:rPr>
        <w:t xml:space="preserve">, le comité prend la décision, en appliquant le principe de la publicité susmentionné, de rejeter la motion orale et de recevoir l’avis d’audience </w:t>
      </w:r>
      <w:r w:rsidR="004F4743">
        <w:rPr>
          <w:rFonts w:ascii="Arial" w:hAnsi="Arial" w:cs="Arial"/>
          <w:noProof/>
          <w:szCs w:val="24"/>
          <w:lang w:val="fr-CA"/>
        </w:rPr>
        <w:t>comme</w:t>
      </w:r>
      <w:r w:rsidR="0058465A">
        <w:rPr>
          <w:rFonts w:ascii="Arial" w:hAnsi="Arial" w:cs="Arial"/>
          <w:noProof/>
          <w:szCs w:val="24"/>
          <w:lang w:val="fr-CA"/>
        </w:rPr>
        <w:t xml:space="preserve"> pièce et conformément au </w:t>
      </w:r>
      <w:r w:rsidR="004F4743">
        <w:rPr>
          <w:rFonts w:ascii="Arial" w:hAnsi="Arial" w:cs="Arial"/>
          <w:noProof/>
          <w:szCs w:val="24"/>
          <w:lang w:val="fr-CA"/>
        </w:rPr>
        <w:t xml:space="preserve">document de </w:t>
      </w:r>
      <w:r w:rsidR="0058465A">
        <w:rPr>
          <w:rFonts w:ascii="Arial" w:hAnsi="Arial" w:cs="Arial"/>
          <w:noProof/>
          <w:szCs w:val="24"/>
          <w:lang w:val="fr-CA"/>
        </w:rPr>
        <w:t>procédure</w:t>
      </w:r>
      <w:r w:rsidR="004F4743">
        <w:rPr>
          <w:rFonts w:ascii="Arial" w:hAnsi="Arial" w:cs="Arial"/>
          <w:noProof/>
          <w:szCs w:val="24"/>
          <w:lang w:val="fr-CA"/>
        </w:rPr>
        <w:t>s</w:t>
      </w:r>
      <w:r w:rsidR="0058465A">
        <w:rPr>
          <w:rFonts w:ascii="Arial" w:hAnsi="Arial" w:cs="Arial"/>
          <w:noProof/>
          <w:szCs w:val="24"/>
          <w:lang w:val="fr-CA"/>
        </w:rPr>
        <w:t xml:space="preserve"> du Conseil d’évaluation</w:t>
      </w:r>
      <w:r w:rsidR="004F4743">
        <w:rPr>
          <w:rFonts w:ascii="Arial" w:hAnsi="Arial" w:cs="Arial"/>
          <w:noProof/>
          <w:szCs w:val="24"/>
          <w:lang w:val="fr-CA"/>
        </w:rPr>
        <w:t>,</w:t>
      </w:r>
      <w:r w:rsidR="0058465A">
        <w:rPr>
          <w:rFonts w:ascii="Arial" w:hAnsi="Arial" w:cs="Arial"/>
          <w:noProof/>
          <w:szCs w:val="24"/>
          <w:lang w:val="fr-CA"/>
        </w:rPr>
        <w:t xml:space="preserve"> et de rendre public le processus de traitement des plaintes</w:t>
      </w:r>
      <w:r w:rsidR="005F7F37" w:rsidRPr="000E37D6">
        <w:rPr>
          <w:rFonts w:ascii="Arial" w:hAnsi="Arial" w:cs="Arial"/>
          <w:noProof/>
          <w:szCs w:val="24"/>
          <w:lang w:val="fr-CA"/>
        </w:rPr>
        <w:t xml:space="preserve">. </w:t>
      </w:r>
      <w:r w:rsidR="0058465A">
        <w:rPr>
          <w:rFonts w:ascii="Arial" w:hAnsi="Arial" w:cs="Arial"/>
          <w:noProof/>
          <w:szCs w:val="24"/>
          <w:lang w:val="fr-CA"/>
        </w:rPr>
        <w:t xml:space="preserve">Conformément au </w:t>
      </w:r>
      <w:r w:rsidR="004F4743">
        <w:rPr>
          <w:rFonts w:ascii="Arial" w:hAnsi="Arial" w:cs="Arial"/>
          <w:noProof/>
          <w:szCs w:val="24"/>
          <w:lang w:val="fr-CA"/>
        </w:rPr>
        <w:t xml:space="preserve">document </w:t>
      </w:r>
      <w:r w:rsidR="0058465A">
        <w:rPr>
          <w:rFonts w:ascii="Arial" w:hAnsi="Arial" w:cs="Arial"/>
          <w:noProof/>
          <w:szCs w:val="24"/>
          <w:lang w:val="fr-CA"/>
        </w:rPr>
        <w:t>de procédure</w:t>
      </w:r>
      <w:r w:rsidR="004F4743">
        <w:rPr>
          <w:rFonts w:ascii="Arial" w:hAnsi="Arial" w:cs="Arial"/>
          <w:noProof/>
          <w:szCs w:val="24"/>
          <w:lang w:val="fr-CA"/>
        </w:rPr>
        <w:t>s</w:t>
      </w:r>
      <w:r w:rsidR="0058465A">
        <w:rPr>
          <w:rFonts w:ascii="Arial" w:hAnsi="Arial" w:cs="Arial"/>
          <w:noProof/>
          <w:szCs w:val="24"/>
          <w:lang w:val="fr-CA"/>
        </w:rPr>
        <w:t xml:space="preserve"> du Conseil d’évaluation</w:t>
      </w:r>
      <w:r w:rsidR="003A71EA" w:rsidRPr="000E37D6">
        <w:rPr>
          <w:rFonts w:ascii="Arial" w:hAnsi="Arial" w:cs="Arial"/>
          <w:noProof/>
          <w:szCs w:val="24"/>
          <w:lang w:val="fr-CA"/>
        </w:rPr>
        <w:t xml:space="preserve">, </w:t>
      </w:r>
      <w:r w:rsidR="0058465A">
        <w:rPr>
          <w:rFonts w:ascii="Arial" w:hAnsi="Arial" w:cs="Arial"/>
          <w:noProof/>
          <w:szCs w:val="24"/>
          <w:lang w:val="fr-CA"/>
        </w:rPr>
        <w:t xml:space="preserve">l’avis public ne doit mentionner le nom d’aucun plaignant ou témoin, étant donné la possibilité </w:t>
      </w:r>
      <w:r w:rsidR="001569E3">
        <w:rPr>
          <w:rFonts w:ascii="Arial" w:hAnsi="Arial" w:cs="Arial"/>
          <w:noProof/>
          <w:szCs w:val="24"/>
          <w:lang w:val="fr-CA"/>
        </w:rPr>
        <w:t xml:space="preserve">qu’un plaignant ou témoin </w:t>
      </w:r>
      <w:r w:rsidR="004F4743">
        <w:rPr>
          <w:rFonts w:ascii="Arial" w:hAnsi="Arial" w:cs="Arial"/>
          <w:noProof/>
          <w:szCs w:val="24"/>
          <w:lang w:val="fr-CA"/>
        </w:rPr>
        <w:t>présente une</w:t>
      </w:r>
      <w:r w:rsidR="001569E3">
        <w:rPr>
          <w:rFonts w:ascii="Arial" w:hAnsi="Arial" w:cs="Arial"/>
          <w:noProof/>
          <w:szCs w:val="24"/>
          <w:lang w:val="fr-CA"/>
        </w:rPr>
        <w:t xml:space="preserve"> motion dans l’instance en vue d’obtenir une ordonnance de non</w:t>
      </w:r>
      <w:r w:rsidR="001569E3">
        <w:rPr>
          <w:rFonts w:ascii="Arial" w:hAnsi="Arial" w:cs="Arial"/>
          <w:noProof/>
          <w:szCs w:val="24"/>
          <w:lang w:val="fr-CA"/>
        </w:rPr>
        <w:noBreakHyphen/>
        <w:t xml:space="preserve">publication de </w:t>
      </w:r>
      <w:r w:rsidR="004F4743">
        <w:rPr>
          <w:rFonts w:ascii="Arial" w:hAnsi="Arial" w:cs="Arial"/>
          <w:noProof/>
          <w:szCs w:val="24"/>
          <w:lang w:val="fr-CA"/>
        </w:rPr>
        <w:t>s</w:t>
      </w:r>
      <w:r w:rsidR="001569E3">
        <w:rPr>
          <w:rFonts w:ascii="Arial" w:hAnsi="Arial" w:cs="Arial"/>
          <w:noProof/>
          <w:szCs w:val="24"/>
          <w:lang w:val="fr-CA"/>
        </w:rPr>
        <w:t>on identité</w:t>
      </w:r>
      <w:r w:rsidR="006316F2" w:rsidRPr="000E37D6">
        <w:rPr>
          <w:rFonts w:ascii="Arial" w:hAnsi="Arial" w:cs="Arial"/>
          <w:noProof/>
          <w:szCs w:val="24"/>
          <w:lang w:val="fr-CA"/>
        </w:rPr>
        <w:t xml:space="preserve">. </w:t>
      </w:r>
      <w:r w:rsidR="006D5FA0">
        <w:rPr>
          <w:rFonts w:ascii="Arial" w:hAnsi="Arial" w:cs="Arial"/>
          <w:noProof/>
          <w:szCs w:val="24"/>
          <w:lang w:val="fr-CA"/>
        </w:rPr>
        <w:t>Par conséquent, la version rédigée de l’avis d’audience, à l’exclusion du nom de plaignants, est reçu</w:t>
      </w:r>
      <w:r w:rsidR="004F4743">
        <w:rPr>
          <w:rFonts w:ascii="Arial" w:hAnsi="Arial" w:cs="Arial"/>
          <w:noProof/>
          <w:szCs w:val="24"/>
          <w:lang w:val="fr-CA"/>
        </w:rPr>
        <w:t>e comme</w:t>
      </w:r>
      <w:r w:rsidR="006D5FA0">
        <w:rPr>
          <w:rFonts w:ascii="Arial" w:hAnsi="Arial" w:cs="Arial"/>
          <w:noProof/>
          <w:szCs w:val="24"/>
          <w:lang w:val="fr-CA"/>
        </w:rPr>
        <w:t xml:space="preserve"> pièce</w:t>
      </w:r>
      <w:r w:rsidR="006316F2" w:rsidRPr="000E37D6">
        <w:rPr>
          <w:rFonts w:ascii="Arial" w:hAnsi="Arial" w:cs="Arial"/>
          <w:noProof/>
          <w:szCs w:val="24"/>
          <w:lang w:val="fr-CA"/>
        </w:rPr>
        <w:t xml:space="preserve"> 1(B) </w:t>
      </w:r>
      <w:r w:rsidR="006D5FA0">
        <w:rPr>
          <w:rFonts w:ascii="Arial" w:hAnsi="Arial" w:cs="Arial"/>
          <w:noProof/>
          <w:szCs w:val="24"/>
          <w:lang w:val="fr-CA"/>
        </w:rPr>
        <w:t>et constitue une pièce publique</w:t>
      </w:r>
      <w:r w:rsidR="008F1F6F">
        <w:rPr>
          <w:rFonts w:ascii="Arial" w:hAnsi="Arial" w:cs="Arial"/>
          <w:noProof/>
          <w:szCs w:val="24"/>
          <w:lang w:val="fr-CA"/>
        </w:rPr>
        <w:t>;</w:t>
      </w:r>
    </w:p>
    <w:p w:rsidR="005F7F37" w:rsidRPr="000E37D6" w:rsidRDefault="004E5C99"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En </w:t>
      </w:r>
      <w:r w:rsidR="000B1F21">
        <w:rPr>
          <w:rFonts w:ascii="Arial" w:hAnsi="Arial" w:cs="Arial"/>
          <w:noProof/>
          <w:szCs w:val="24"/>
          <w:lang w:val="fr-CA"/>
        </w:rPr>
        <w:t>rendant</w:t>
      </w:r>
      <w:r>
        <w:rPr>
          <w:rFonts w:ascii="Arial" w:hAnsi="Arial" w:cs="Arial"/>
          <w:noProof/>
          <w:szCs w:val="24"/>
          <w:lang w:val="fr-CA"/>
        </w:rPr>
        <w:t xml:space="preserve"> </w:t>
      </w:r>
      <w:r w:rsidR="000B1F21">
        <w:rPr>
          <w:rFonts w:ascii="Arial" w:hAnsi="Arial" w:cs="Arial"/>
          <w:noProof/>
          <w:szCs w:val="24"/>
          <w:lang w:val="fr-CA"/>
        </w:rPr>
        <w:t>la présente</w:t>
      </w:r>
      <w:r>
        <w:rPr>
          <w:rFonts w:ascii="Arial" w:hAnsi="Arial" w:cs="Arial"/>
          <w:noProof/>
          <w:szCs w:val="24"/>
          <w:lang w:val="fr-CA"/>
        </w:rPr>
        <w:t xml:space="preserve"> décision, le comité reconnaît que la</w:t>
      </w:r>
      <w:r w:rsidR="005F7F37" w:rsidRPr="000E37D6">
        <w:rPr>
          <w:rFonts w:ascii="Arial" w:hAnsi="Arial" w:cs="Arial"/>
          <w:noProof/>
          <w:szCs w:val="24"/>
          <w:lang w:val="fr-CA"/>
        </w:rPr>
        <w:t xml:space="preserve"> publication </w:t>
      </w:r>
      <w:r>
        <w:rPr>
          <w:rFonts w:ascii="Arial" w:hAnsi="Arial" w:cs="Arial"/>
          <w:noProof/>
          <w:szCs w:val="24"/>
          <w:lang w:val="fr-CA"/>
        </w:rPr>
        <w:t>d’un avis d’audience ne peut faire l’objet d’une contestation avant que cet avis ne devienne une pièce.</w:t>
      </w:r>
      <w:r w:rsidR="005F7F37" w:rsidRPr="000E37D6">
        <w:rPr>
          <w:rFonts w:ascii="Arial" w:hAnsi="Arial" w:cs="Arial"/>
          <w:noProof/>
          <w:szCs w:val="24"/>
          <w:lang w:val="fr-CA"/>
        </w:rPr>
        <w:t xml:space="preserve"> </w:t>
      </w:r>
      <w:r>
        <w:rPr>
          <w:rFonts w:ascii="Arial" w:hAnsi="Arial" w:cs="Arial"/>
          <w:noProof/>
          <w:szCs w:val="24"/>
          <w:lang w:val="fr-CA"/>
        </w:rPr>
        <w:t>E</w:t>
      </w:r>
      <w:r w:rsidR="005F7F37" w:rsidRPr="000E37D6">
        <w:rPr>
          <w:rFonts w:ascii="Arial" w:hAnsi="Arial" w:cs="Arial"/>
          <w:noProof/>
          <w:szCs w:val="24"/>
          <w:lang w:val="fr-CA"/>
        </w:rPr>
        <w:t xml:space="preserve">n effet, </w:t>
      </w:r>
      <w:r>
        <w:rPr>
          <w:rFonts w:ascii="Arial" w:hAnsi="Arial" w:cs="Arial"/>
          <w:noProof/>
          <w:szCs w:val="24"/>
          <w:lang w:val="fr-CA"/>
        </w:rPr>
        <w:t>l’intimé est privé de la possibilité d</w:t>
      </w:r>
      <w:r w:rsidR="000B1F21">
        <w:rPr>
          <w:rFonts w:ascii="Arial" w:hAnsi="Arial" w:cs="Arial"/>
          <w:noProof/>
          <w:szCs w:val="24"/>
          <w:lang w:val="fr-CA"/>
        </w:rPr>
        <w:t>’obtenir</w:t>
      </w:r>
      <w:r w:rsidR="000421E4">
        <w:rPr>
          <w:rFonts w:ascii="Arial" w:hAnsi="Arial" w:cs="Arial"/>
          <w:noProof/>
          <w:szCs w:val="24"/>
          <w:lang w:val="fr-CA"/>
        </w:rPr>
        <w:t xml:space="preserve"> une « ordonnance préventive »</w:t>
      </w:r>
      <w:r w:rsidR="005F7F37" w:rsidRPr="000E37D6">
        <w:rPr>
          <w:rFonts w:ascii="Arial" w:hAnsi="Arial" w:cs="Arial"/>
          <w:noProof/>
          <w:szCs w:val="24"/>
          <w:lang w:val="fr-CA"/>
        </w:rPr>
        <w:t xml:space="preserve"> </w:t>
      </w:r>
      <w:r w:rsidR="000B1F21">
        <w:rPr>
          <w:rFonts w:ascii="Arial" w:hAnsi="Arial" w:cs="Arial"/>
          <w:noProof/>
          <w:szCs w:val="24"/>
          <w:lang w:val="fr-CA"/>
        </w:rPr>
        <w:t>au moyen d’une demande</w:t>
      </w:r>
      <w:r>
        <w:rPr>
          <w:rFonts w:ascii="Arial" w:hAnsi="Arial" w:cs="Arial"/>
          <w:noProof/>
          <w:szCs w:val="24"/>
          <w:lang w:val="fr-CA"/>
        </w:rPr>
        <w:t xml:space="preserve"> de contrôle judiciaire</w:t>
      </w:r>
      <w:r w:rsidR="005F7F37" w:rsidRPr="000E37D6">
        <w:rPr>
          <w:rFonts w:ascii="Arial" w:hAnsi="Arial" w:cs="Arial"/>
          <w:noProof/>
          <w:szCs w:val="24"/>
          <w:lang w:val="fr-CA"/>
        </w:rPr>
        <w:t xml:space="preserve">. </w:t>
      </w:r>
      <w:r>
        <w:rPr>
          <w:rFonts w:ascii="Arial" w:hAnsi="Arial" w:cs="Arial"/>
          <w:noProof/>
          <w:szCs w:val="24"/>
          <w:lang w:val="fr-CA"/>
        </w:rPr>
        <w:t xml:space="preserve">Cette </w:t>
      </w:r>
      <w:r w:rsidR="000B1F21">
        <w:rPr>
          <w:rFonts w:ascii="Arial" w:hAnsi="Arial" w:cs="Arial"/>
          <w:noProof/>
          <w:szCs w:val="24"/>
          <w:lang w:val="fr-CA"/>
        </w:rPr>
        <w:t>situation</w:t>
      </w:r>
      <w:r>
        <w:rPr>
          <w:rFonts w:ascii="Arial" w:hAnsi="Arial" w:cs="Arial"/>
          <w:noProof/>
          <w:szCs w:val="24"/>
          <w:lang w:val="fr-CA"/>
        </w:rPr>
        <w:t xml:space="preserve"> seule, de l’avis du comité d’audi</w:t>
      </w:r>
      <w:r w:rsidR="00AC5D88">
        <w:rPr>
          <w:rFonts w:ascii="Arial" w:hAnsi="Arial" w:cs="Arial"/>
          <w:noProof/>
          <w:szCs w:val="24"/>
          <w:lang w:val="fr-CA"/>
        </w:rPr>
        <w:t>tion</w:t>
      </w:r>
      <w:r>
        <w:rPr>
          <w:rFonts w:ascii="Arial" w:hAnsi="Arial" w:cs="Arial"/>
          <w:noProof/>
          <w:szCs w:val="24"/>
          <w:lang w:val="fr-CA"/>
        </w:rPr>
        <w:t xml:space="preserve">, ne constitue pas un </w:t>
      </w:r>
      <w:r w:rsidR="00A0428D">
        <w:rPr>
          <w:rFonts w:ascii="Arial" w:hAnsi="Arial" w:cs="Arial"/>
          <w:noProof/>
          <w:szCs w:val="24"/>
          <w:lang w:val="fr-CA"/>
        </w:rPr>
        <w:t>cas d’in</w:t>
      </w:r>
      <w:r w:rsidR="00B77991">
        <w:rPr>
          <w:rFonts w:ascii="Arial" w:hAnsi="Arial" w:cs="Arial"/>
          <w:noProof/>
          <w:szCs w:val="24"/>
          <w:lang w:val="fr-CA"/>
        </w:rPr>
        <w:t>i</w:t>
      </w:r>
      <w:r w:rsidR="00A0428D">
        <w:rPr>
          <w:rFonts w:ascii="Arial" w:hAnsi="Arial" w:cs="Arial"/>
          <w:noProof/>
          <w:szCs w:val="24"/>
          <w:lang w:val="fr-CA"/>
        </w:rPr>
        <w:t>quité procédurale</w:t>
      </w:r>
      <w:r w:rsidR="005F7F37" w:rsidRPr="000E37D6">
        <w:rPr>
          <w:rFonts w:ascii="Arial" w:hAnsi="Arial" w:cs="Arial"/>
          <w:noProof/>
          <w:szCs w:val="24"/>
          <w:lang w:val="fr-CA"/>
        </w:rPr>
        <w:t xml:space="preserve"> </w:t>
      </w:r>
      <w:r w:rsidR="008F1F6F">
        <w:rPr>
          <w:rFonts w:ascii="Arial" w:hAnsi="Arial" w:cs="Arial"/>
          <w:noProof/>
          <w:szCs w:val="24"/>
          <w:lang w:val="fr-CA"/>
        </w:rPr>
        <w:t>et n’est pas déraisonnable;</w:t>
      </w:r>
    </w:p>
    <w:p w:rsidR="005F7F37" w:rsidRPr="000E37D6" w:rsidRDefault="004E5C99" w:rsidP="005F7F37">
      <w:pPr>
        <w:pStyle w:val="Mainparagraph"/>
        <w:numPr>
          <w:ilvl w:val="0"/>
          <w:numId w:val="6"/>
        </w:numPr>
        <w:ind w:left="1714" w:hanging="634"/>
        <w:rPr>
          <w:rFonts w:ascii="Arial" w:hAnsi="Arial" w:cs="Arial"/>
          <w:noProof/>
          <w:szCs w:val="24"/>
          <w:lang w:val="fr-CA"/>
        </w:rPr>
      </w:pPr>
      <w:r>
        <w:rPr>
          <w:rFonts w:ascii="Arial" w:hAnsi="Arial" w:cs="Arial"/>
          <w:noProof/>
          <w:szCs w:val="24"/>
          <w:lang w:val="fr-CA"/>
        </w:rPr>
        <w:t xml:space="preserve">En </w:t>
      </w:r>
      <w:r w:rsidR="000B1F21">
        <w:rPr>
          <w:rFonts w:ascii="Arial" w:hAnsi="Arial" w:cs="Arial"/>
          <w:noProof/>
          <w:szCs w:val="24"/>
          <w:lang w:val="fr-CA"/>
        </w:rPr>
        <w:t>rend</w:t>
      </w:r>
      <w:r>
        <w:rPr>
          <w:rFonts w:ascii="Arial" w:hAnsi="Arial" w:cs="Arial"/>
          <w:noProof/>
          <w:szCs w:val="24"/>
          <w:lang w:val="fr-CA"/>
        </w:rPr>
        <w:t xml:space="preserve">ant </w:t>
      </w:r>
      <w:r w:rsidR="000B1F21">
        <w:rPr>
          <w:rFonts w:ascii="Arial" w:hAnsi="Arial" w:cs="Arial"/>
          <w:noProof/>
          <w:szCs w:val="24"/>
          <w:lang w:val="fr-CA"/>
        </w:rPr>
        <w:t>la présente</w:t>
      </w:r>
      <w:r>
        <w:rPr>
          <w:rFonts w:ascii="Arial" w:hAnsi="Arial" w:cs="Arial"/>
          <w:noProof/>
          <w:szCs w:val="24"/>
          <w:lang w:val="fr-CA"/>
        </w:rPr>
        <w:t xml:space="preserve"> décision le comité d’audi</w:t>
      </w:r>
      <w:r w:rsidR="00AC5D88">
        <w:rPr>
          <w:rFonts w:ascii="Arial" w:hAnsi="Arial" w:cs="Arial"/>
          <w:noProof/>
          <w:szCs w:val="24"/>
          <w:lang w:val="fr-CA"/>
        </w:rPr>
        <w:t>tion</w:t>
      </w:r>
      <w:r>
        <w:rPr>
          <w:rFonts w:ascii="Arial" w:hAnsi="Arial" w:cs="Arial"/>
          <w:noProof/>
          <w:szCs w:val="24"/>
          <w:lang w:val="fr-CA"/>
        </w:rPr>
        <w:t xml:space="preserve"> comprend que la réception de l’avis d’audience </w:t>
      </w:r>
      <w:r w:rsidR="000B1F21">
        <w:rPr>
          <w:rFonts w:ascii="Arial" w:hAnsi="Arial" w:cs="Arial"/>
          <w:noProof/>
          <w:szCs w:val="24"/>
          <w:lang w:val="fr-CA"/>
        </w:rPr>
        <w:t>comme</w:t>
      </w:r>
      <w:r>
        <w:rPr>
          <w:rFonts w:ascii="Arial" w:hAnsi="Arial" w:cs="Arial"/>
          <w:noProof/>
          <w:szCs w:val="24"/>
          <w:lang w:val="fr-CA"/>
        </w:rPr>
        <w:t xml:space="preserve"> pièce équivaut effectivement à rendre public les </w:t>
      </w:r>
      <w:r w:rsidR="000B1F21">
        <w:rPr>
          <w:rFonts w:ascii="Arial" w:hAnsi="Arial" w:cs="Arial"/>
          <w:noProof/>
          <w:szCs w:val="24"/>
          <w:lang w:val="fr-CA"/>
        </w:rPr>
        <w:t>éléments</w:t>
      </w:r>
      <w:r>
        <w:rPr>
          <w:rFonts w:ascii="Arial" w:hAnsi="Arial" w:cs="Arial"/>
          <w:noProof/>
          <w:szCs w:val="24"/>
          <w:lang w:val="fr-CA"/>
        </w:rPr>
        <w:t xml:space="preserve"> de la plainte et peut </w:t>
      </w:r>
      <w:r w:rsidR="00A0428D">
        <w:rPr>
          <w:rFonts w:ascii="Arial" w:hAnsi="Arial" w:cs="Arial"/>
          <w:noProof/>
          <w:szCs w:val="24"/>
          <w:lang w:val="fr-CA"/>
        </w:rPr>
        <w:t>compromettre</w:t>
      </w:r>
      <w:r>
        <w:rPr>
          <w:rFonts w:ascii="Arial" w:hAnsi="Arial" w:cs="Arial"/>
          <w:noProof/>
          <w:szCs w:val="24"/>
          <w:lang w:val="fr-CA"/>
        </w:rPr>
        <w:t xml:space="preserve"> l’efficacité de toute</w:t>
      </w:r>
      <w:r w:rsidR="005F7F37" w:rsidRPr="000E37D6">
        <w:rPr>
          <w:rFonts w:ascii="Arial" w:hAnsi="Arial" w:cs="Arial"/>
          <w:noProof/>
          <w:szCs w:val="24"/>
          <w:lang w:val="fr-CA"/>
        </w:rPr>
        <w:t xml:space="preserve"> </w:t>
      </w:r>
      <w:r>
        <w:rPr>
          <w:rFonts w:ascii="Arial" w:hAnsi="Arial" w:cs="Arial"/>
          <w:noProof/>
          <w:szCs w:val="24"/>
          <w:lang w:val="fr-CA"/>
        </w:rPr>
        <w:t xml:space="preserve">demande future de </w:t>
      </w:r>
      <w:r w:rsidR="005F7F37" w:rsidRPr="000E37D6">
        <w:rPr>
          <w:rFonts w:ascii="Arial" w:hAnsi="Arial" w:cs="Arial"/>
          <w:noProof/>
          <w:szCs w:val="24"/>
          <w:lang w:val="fr-CA"/>
        </w:rPr>
        <w:t xml:space="preserve">non-publication. </w:t>
      </w:r>
      <w:r w:rsidR="008A43E7">
        <w:rPr>
          <w:rFonts w:ascii="Arial" w:hAnsi="Arial" w:cs="Arial"/>
          <w:noProof/>
          <w:szCs w:val="24"/>
          <w:lang w:val="fr-CA"/>
        </w:rPr>
        <w:t>Le comité reconnaît que l’avis d’audience et l’annexe qui y est jointe exposent en détails les éléments de la plainte</w:t>
      </w:r>
      <w:r w:rsidR="00FE713E" w:rsidRPr="000E37D6">
        <w:rPr>
          <w:rFonts w:ascii="Arial" w:hAnsi="Arial" w:cs="Arial"/>
          <w:noProof/>
          <w:szCs w:val="24"/>
          <w:lang w:val="fr-CA"/>
        </w:rPr>
        <w:t>.</w:t>
      </w:r>
      <w:r w:rsidR="005F7F37" w:rsidRPr="000E37D6">
        <w:rPr>
          <w:rFonts w:ascii="Arial" w:hAnsi="Arial" w:cs="Arial"/>
          <w:noProof/>
          <w:szCs w:val="24"/>
          <w:lang w:val="fr-CA"/>
        </w:rPr>
        <w:t xml:space="preserve"> </w:t>
      </w:r>
      <w:r w:rsidR="008A43E7">
        <w:rPr>
          <w:rFonts w:ascii="Arial" w:hAnsi="Arial" w:cs="Arial"/>
          <w:noProof/>
          <w:szCs w:val="24"/>
          <w:lang w:val="fr-CA"/>
        </w:rPr>
        <w:t xml:space="preserve">C’est effectivement </w:t>
      </w:r>
      <w:r w:rsidR="000B1F21">
        <w:rPr>
          <w:rFonts w:ascii="Arial" w:hAnsi="Arial" w:cs="Arial"/>
          <w:noProof/>
          <w:szCs w:val="24"/>
          <w:lang w:val="fr-CA"/>
        </w:rPr>
        <w:t>la conséquence</w:t>
      </w:r>
      <w:r w:rsidR="008A43E7">
        <w:rPr>
          <w:rFonts w:ascii="Arial" w:hAnsi="Arial" w:cs="Arial"/>
          <w:noProof/>
          <w:szCs w:val="24"/>
          <w:lang w:val="fr-CA"/>
        </w:rPr>
        <w:t xml:space="preserve"> de la réception de l’avis d’audience </w:t>
      </w:r>
      <w:r w:rsidR="000B1F21">
        <w:rPr>
          <w:rFonts w:ascii="Arial" w:hAnsi="Arial" w:cs="Arial"/>
          <w:noProof/>
          <w:szCs w:val="24"/>
          <w:lang w:val="fr-CA"/>
        </w:rPr>
        <w:t>comme</w:t>
      </w:r>
      <w:r w:rsidR="008A43E7">
        <w:rPr>
          <w:rFonts w:ascii="Arial" w:hAnsi="Arial" w:cs="Arial"/>
          <w:noProof/>
          <w:szCs w:val="24"/>
          <w:lang w:val="fr-CA"/>
        </w:rPr>
        <w:t xml:space="preserve"> pièce publique numérotée. Le comité est conscient de cette réalité.</w:t>
      </w:r>
    </w:p>
    <w:p w:rsidR="005F7F37" w:rsidRPr="000E37D6" w:rsidRDefault="005F7F37" w:rsidP="00605734">
      <w:pPr>
        <w:pStyle w:val="Heading1"/>
        <w:spacing w:after="240"/>
        <w:rPr>
          <w:rFonts w:ascii="Arial" w:hAnsi="Arial" w:cs="Arial"/>
          <w:noProof/>
          <w:color w:val="auto"/>
          <w:lang w:val="fr-CA"/>
        </w:rPr>
      </w:pPr>
      <w:r w:rsidRPr="000E37D6">
        <w:rPr>
          <w:rFonts w:ascii="Arial" w:hAnsi="Arial" w:cs="Arial"/>
          <w:noProof/>
          <w:color w:val="auto"/>
          <w:lang w:val="fr-CA"/>
        </w:rPr>
        <w:t>Conclusion</w:t>
      </w:r>
    </w:p>
    <w:p w:rsidR="005F7F37" w:rsidRPr="000E37D6" w:rsidRDefault="00E85501" w:rsidP="00605734">
      <w:pPr>
        <w:pStyle w:val="Mainparagraph"/>
        <w:tabs>
          <w:tab w:val="clear" w:pos="1350"/>
          <w:tab w:val="left" w:pos="900"/>
        </w:tabs>
        <w:rPr>
          <w:rFonts w:ascii="Arial" w:hAnsi="Arial" w:cs="Arial"/>
          <w:noProof/>
          <w:szCs w:val="24"/>
          <w:lang w:val="fr-CA"/>
        </w:rPr>
      </w:pPr>
      <w:r>
        <w:rPr>
          <w:rFonts w:ascii="Arial" w:hAnsi="Arial" w:cs="Arial"/>
          <w:noProof/>
          <w:szCs w:val="24"/>
          <w:lang w:val="fr-CA"/>
        </w:rPr>
        <w:t xml:space="preserve">Même si la </w:t>
      </w:r>
      <w:r w:rsidR="005F7F37" w:rsidRPr="000E37D6">
        <w:rPr>
          <w:rFonts w:ascii="Arial" w:hAnsi="Arial" w:cs="Arial"/>
          <w:noProof/>
          <w:szCs w:val="24"/>
          <w:lang w:val="fr-CA"/>
        </w:rPr>
        <w:t xml:space="preserve">publication </w:t>
      </w:r>
      <w:r>
        <w:rPr>
          <w:rFonts w:ascii="Arial" w:hAnsi="Arial" w:cs="Arial"/>
          <w:noProof/>
          <w:szCs w:val="24"/>
          <w:lang w:val="fr-CA"/>
        </w:rPr>
        <w:t xml:space="preserve">des allégations mentionnées dans l’avis d’audience pourrait </w:t>
      </w:r>
      <w:r w:rsidR="00EA7DBE">
        <w:rPr>
          <w:rFonts w:ascii="Arial" w:hAnsi="Arial" w:cs="Arial"/>
          <w:noProof/>
          <w:szCs w:val="24"/>
          <w:lang w:val="fr-CA"/>
        </w:rPr>
        <w:t xml:space="preserve">être embarrassante pour le </w:t>
      </w:r>
      <w:r>
        <w:rPr>
          <w:rFonts w:ascii="Arial" w:hAnsi="Arial" w:cs="Arial"/>
          <w:noProof/>
          <w:szCs w:val="24"/>
          <w:lang w:val="fr-CA"/>
        </w:rPr>
        <w:t xml:space="preserve">juge de paix </w:t>
      </w:r>
      <w:r w:rsidR="005F7F37" w:rsidRPr="000E37D6">
        <w:rPr>
          <w:rFonts w:ascii="Arial" w:hAnsi="Arial" w:cs="Arial"/>
          <w:noProof/>
          <w:szCs w:val="24"/>
          <w:lang w:val="fr-CA"/>
        </w:rPr>
        <w:t>Foulds,</w:t>
      </w:r>
      <w:r>
        <w:rPr>
          <w:rFonts w:ascii="Arial" w:hAnsi="Arial" w:cs="Arial"/>
          <w:noProof/>
          <w:szCs w:val="24"/>
          <w:lang w:val="fr-CA"/>
        </w:rPr>
        <w:t xml:space="preserve"> cette possibilité seule n’est pas une raison suffisante pour accorder l’ordonnance demandée.</w:t>
      </w:r>
    </w:p>
    <w:p w:rsidR="00EA7DBE" w:rsidRPr="00EA7DBE" w:rsidRDefault="00EA7DBE" w:rsidP="00EA7DBE">
      <w:pPr>
        <w:pStyle w:val="Mainparagraph"/>
        <w:tabs>
          <w:tab w:val="clear" w:pos="1350"/>
          <w:tab w:val="left" w:pos="900"/>
        </w:tabs>
        <w:spacing w:after="960"/>
        <w:rPr>
          <w:rFonts w:ascii="Arial" w:hAnsi="Arial" w:cs="Arial"/>
          <w:noProof/>
          <w:lang w:val="fr-CA"/>
        </w:rPr>
      </w:pPr>
      <w:r>
        <w:rPr>
          <w:rFonts w:ascii="Arial" w:hAnsi="Arial" w:cs="Arial"/>
          <w:noProof/>
          <w:szCs w:val="24"/>
          <w:lang w:val="fr-CA"/>
        </w:rPr>
        <w:t>Le comité conclut également que l’affirmation selon laquelle la capacité de son Honneur de s’acquitter de ses fonctions pourrait être compromise relève de la spéculation et ne repose sur aucun fait. S</w:t>
      </w:r>
      <w:r w:rsidR="008C0A0B">
        <w:rPr>
          <w:rFonts w:ascii="Arial" w:hAnsi="Arial" w:cs="Arial"/>
          <w:noProof/>
          <w:szCs w:val="24"/>
          <w:lang w:val="fr-CA"/>
        </w:rPr>
        <w:t>e</w:t>
      </w:r>
      <w:r>
        <w:rPr>
          <w:rFonts w:ascii="Arial" w:hAnsi="Arial" w:cs="Arial"/>
          <w:noProof/>
          <w:szCs w:val="24"/>
          <w:lang w:val="fr-CA"/>
        </w:rPr>
        <w:t xml:space="preserve"> fond</w:t>
      </w:r>
      <w:r w:rsidR="008C0A0B">
        <w:rPr>
          <w:rFonts w:ascii="Arial" w:hAnsi="Arial" w:cs="Arial"/>
          <w:noProof/>
          <w:szCs w:val="24"/>
          <w:lang w:val="fr-CA"/>
        </w:rPr>
        <w:t>ant sur</w:t>
      </w:r>
      <w:r>
        <w:rPr>
          <w:rFonts w:ascii="Arial" w:hAnsi="Arial" w:cs="Arial"/>
          <w:noProof/>
          <w:szCs w:val="24"/>
          <w:lang w:val="fr-CA"/>
        </w:rPr>
        <w:t xml:space="preserve"> l’examen des principes judiciaires cités, le comité conclut que les procédures de cette nature devraient être accessibles aux membres du public et que la </w:t>
      </w:r>
      <w:r w:rsidR="005F7F37" w:rsidRPr="000E37D6">
        <w:rPr>
          <w:rFonts w:ascii="Arial" w:hAnsi="Arial" w:cs="Arial"/>
          <w:noProof/>
          <w:szCs w:val="24"/>
          <w:lang w:val="fr-CA"/>
        </w:rPr>
        <w:t xml:space="preserve">publication </w:t>
      </w:r>
      <w:r>
        <w:rPr>
          <w:rFonts w:ascii="Arial" w:hAnsi="Arial" w:cs="Arial"/>
          <w:noProof/>
          <w:szCs w:val="24"/>
          <w:lang w:val="fr-CA"/>
        </w:rPr>
        <w:t>des éléments de l’avis d’audience et de l’avis d’audience même ne devrait être restreinte d’aucune façon.</w:t>
      </w:r>
    </w:p>
    <w:p w:rsidR="00776B2D" w:rsidRPr="000E37D6" w:rsidRDefault="005F7F37" w:rsidP="00EA7DBE">
      <w:pPr>
        <w:pStyle w:val="Mainparagraph"/>
        <w:numPr>
          <w:ilvl w:val="0"/>
          <w:numId w:val="0"/>
        </w:numPr>
        <w:tabs>
          <w:tab w:val="left" w:pos="900"/>
        </w:tabs>
        <w:spacing w:after="960"/>
        <w:rPr>
          <w:rFonts w:ascii="Arial" w:hAnsi="Arial" w:cs="Arial"/>
          <w:noProof/>
          <w:lang w:val="fr-CA"/>
        </w:rPr>
      </w:pPr>
      <w:r w:rsidRPr="000E37D6">
        <w:rPr>
          <w:rFonts w:ascii="Arial" w:hAnsi="Arial" w:cs="Arial"/>
          <w:noProof/>
          <w:lang w:val="fr-CA"/>
        </w:rPr>
        <w:t>Dat</w:t>
      </w:r>
      <w:r w:rsidR="00AD6C0A">
        <w:rPr>
          <w:rFonts w:ascii="Arial" w:hAnsi="Arial" w:cs="Arial"/>
          <w:noProof/>
          <w:lang w:val="fr-CA"/>
        </w:rPr>
        <w:t>é du 19 octobre </w:t>
      </w:r>
      <w:r w:rsidRPr="000E37D6">
        <w:rPr>
          <w:rFonts w:ascii="Arial" w:hAnsi="Arial" w:cs="Arial"/>
          <w:noProof/>
          <w:lang w:val="fr-CA"/>
        </w:rPr>
        <w:t>2016</w:t>
      </w:r>
    </w:p>
    <w:p w:rsidR="00776B2D" w:rsidRPr="000E37D6" w:rsidRDefault="0026093C" w:rsidP="00EA241A">
      <w:pPr>
        <w:spacing w:line="480" w:lineRule="auto"/>
        <w:ind w:right="-446"/>
        <w:rPr>
          <w:rFonts w:ascii="Arial" w:hAnsi="Arial" w:cs="Arial"/>
          <w:noProof/>
          <w:lang w:val="fr-CA"/>
        </w:rPr>
      </w:pPr>
      <w:r w:rsidRPr="000E37D6">
        <w:rPr>
          <w:rFonts w:ascii="Arial" w:hAnsi="Arial" w:cs="Arial"/>
          <w:noProof/>
          <w:lang w:val="fr-CA"/>
        </w:rPr>
        <w:t xml:space="preserve">COMITÉ D’AUDITION </w:t>
      </w:r>
      <w:r w:rsidR="00776B2D" w:rsidRPr="000E37D6">
        <w:rPr>
          <w:rFonts w:ascii="Arial" w:hAnsi="Arial" w:cs="Arial"/>
          <w:noProof/>
          <w:lang w:val="fr-CA"/>
        </w:rPr>
        <w:t>:</w:t>
      </w:r>
    </w:p>
    <w:p w:rsidR="0026093C" w:rsidRPr="000E37D6" w:rsidRDefault="0026093C" w:rsidP="0026093C">
      <w:pPr>
        <w:spacing w:after="120"/>
        <w:ind w:right="-446"/>
        <w:rPr>
          <w:rFonts w:ascii="Arial" w:hAnsi="Arial" w:cs="Arial"/>
          <w:noProof/>
          <w:lang w:val="fr-CA"/>
        </w:rPr>
      </w:pPr>
      <w:r w:rsidRPr="000E37D6">
        <w:rPr>
          <w:rFonts w:ascii="Arial" w:hAnsi="Arial" w:cs="Arial"/>
          <w:noProof/>
          <w:lang w:val="fr-CA"/>
        </w:rPr>
        <w:t>Le juge Peter Tetley, président</w:t>
      </w:r>
    </w:p>
    <w:p w:rsidR="0026093C" w:rsidRPr="000E37D6" w:rsidRDefault="0026093C" w:rsidP="0026093C">
      <w:pPr>
        <w:spacing w:after="120"/>
        <w:ind w:right="-446"/>
        <w:rPr>
          <w:rFonts w:ascii="Arial" w:hAnsi="Arial" w:cs="Arial"/>
          <w:noProof/>
          <w:lang w:val="fr-CA"/>
        </w:rPr>
      </w:pPr>
      <w:r w:rsidRPr="000E37D6">
        <w:rPr>
          <w:rFonts w:ascii="Arial" w:hAnsi="Arial" w:cs="Arial"/>
          <w:noProof/>
          <w:lang w:val="fr-CA"/>
        </w:rPr>
        <w:t>La juge de paix Monique Séguin</w:t>
      </w:r>
    </w:p>
    <w:p w:rsidR="001F51FD" w:rsidRPr="000E37D6" w:rsidRDefault="0026093C" w:rsidP="0026093C">
      <w:pPr>
        <w:spacing w:after="120"/>
        <w:ind w:right="-446"/>
        <w:rPr>
          <w:rFonts w:ascii="Arial" w:hAnsi="Arial" w:cs="Arial"/>
          <w:noProof/>
          <w:lang w:val="fr-CA"/>
        </w:rPr>
      </w:pPr>
      <w:r w:rsidRPr="000E37D6">
        <w:rPr>
          <w:rFonts w:ascii="Arial" w:hAnsi="Arial" w:cs="Arial"/>
          <w:noProof/>
          <w:lang w:val="fr-CA"/>
        </w:rPr>
        <w:t>Madame Jenny Gumbs, membre du public</w:t>
      </w:r>
    </w:p>
    <w:sectPr w:rsidR="001F51FD" w:rsidRPr="000E37D6" w:rsidSect="00A4366B">
      <w:footerReference w:type="even" r:id="rId9"/>
      <w:footerReference w:type="default" r:id="rId10"/>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AD" w:rsidRDefault="005C3CAD">
      <w:r>
        <w:separator/>
      </w:r>
    </w:p>
  </w:endnote>
  <w:endnote w:type="continuationSeparator" w:id="0">
    <w:p w:rsidR="005C3CAD" w:rsidRDefault="005C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2C" w:rsidRDefault="00534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3432C" w:rsidRDefault="005343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2C" w:rsidRDefault="0053432C">
    <w:pPr>
      <w:pStyle w:val="Footer"/>
      <w:jc w:val="right"/>
    </w:pPr>
    <w:r>
      <w:fldChar w:fldCharType="begin"/>
    </w:r>
    <w:r>
      <w:instrText xml:space="preserve"> PAGE   \* MERGEFORMAT </w:instrText>
    </w:r>
    <w:r>
      <w:fldChar w:fldCharType="separate"/>
    </w:r>
    <w:r w:rsidR="0058373C">
      <w:rPr>
        <w:noProof/>
      </w:rPr>
      <w:t>1</w:t>
    </w:r>
    <w:r>
      <w:rPr>
        <w:noProof/>
      </w:rPr>
      <w:fldChar w:fldCharType="end"/>
    </w:r>
  </w:p>
  <w:p w:rsidR="0053432C" w:rsidRDefault="00534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AD" w:rsidRDefault="005C3CAD">
      <w:r>
        <w:separator/>
      </w:r>
    </w:p>
  </w:footnote>
  <w:footnote w:type="continuationSeparator" w:id="0">
    <w:p w:rsidR="005C3CAD" w:rsidRDefault="005C3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3">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4">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6"/>
    <w:rsid w:val="000003CE"/>
    <w:rsid w:val="00001978"/>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21E4"/>
    <w:rsid w:val="00043988"/>
    <w:rsid w:val="00044877"/>
    <w:rsid w:val="00045446"/>
    <w:rsid w:val="00047160"/>
    <w:rsid w:val="00047A60"/>
    <w:rsid w:val="00051B05"/>
    <w:rsid w:val="0005282B"/>
    <w:rsid w:val="000528C8"/>
    <w:rsid w:val="000564E3"/>
    <w:rsid w:val="00060C93"/>
    <w:rsid w:val="00063B3F"/>
    <w:rsid w:val="00063E93"/>
    <w:rsid w:val="00066FE7"/>
    <w:rsid w:val="0006783D"/>
    <w:rsid w:val="000729B9"/>
    <w:rsid w:val="00072D7E"/>
    <w:rsid w:val="0007444D"/>
    <w:rsid w:val="0007798C"/>
    <w:rsid w:val="00083CE0"/>
    <w:rsid w:val="00091F82"/>
    <w:rsid w:val="000941C2"/>
    <w:rsid w:val="00094BD0"/>
    <w:rsid w:val="00095AAB"/>
    <w:rsid w:val="00095E39"/>
    <w:rsid w:val="000A1E86"/>
    <w:rsid w:val="000A4B11"/>
    <w:rsid w:val="000A4D9C"/>
    <w:rsid w:val="000A5E25"/>
    <w:rsid w:val="000A6142"/>
    <w:rsid w:val="000A7074"/>
    <w:rsid w:val="000B0772"/>
    <w:rsid w:val="000B1F21"/>
    <w:rsid w:val="000B2A49"/>
    <w:rsid w:val="000B341D"/>
    <w:rsid w:val="000B3F7A"/>
    <w:rsid w:val="000B6221"/>
    <w:rsid w:val="000B685E"/>
    <w:rsid w:val="000B7CF7"/>
    <w:rsid w:val="000C2DA1"/>
    <w:rsid w:val="000C425B"/>
    <w:rsid w:val="000C4637"/>
    <w:rsid w:val="000C471B"/>
    <w:rsid w:val="000C5A73"/>
    <w:rsid w:val="000C633A"/>
    <w:rsid w:val="000D61E3"/>
    <w:rsid w:val="000E2C4F"/>
    <w:rsid w:val="000E37D6"/>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67E7"/>
    <w:rsid w:val="00112360"/>
    <w:rsid w:val="00113004"/>
    <w:rsid w:val="001134AA"/>
    <w:rsid w:val="0011454F"/>
    <w:rsid w:val="001152A2"/>
    <w:rsid w:val="00116282"/>
    <w:rsid w:val="001164D8"/>
    <w:rsid w:val="00117D36"/>
    <w:rsid w:val="00120312"/>
    <w:rsid w:val="00121820"/>
    <w:rsid w:val="00131420"/>
    <w:rsid w:val="00131B8D"/>
    <w:rsid w:val="001423F7"/>
    <w:rsid w:val="00142A4B"/>
    <w:rsid w:val="001436DC"/>
    <w:rsid w:val="0014470D"/>
    <w:rsid w:val="00147DBC"/>
    <w:rsid w:val="00150E2B"/>
    <w:rsid w:val="001513D5"/>
    <w:rsid w:val="00152D3E"/>
    <w:rsid w:val="00152FB6"/>
    <w:rsid w:val="00155356"/>
    <w:rsid w:val="001569E3"/>
    <w:rsid w:val="00156C97"/>
    <w:rsid w:val="00163D2E"/>
    <w:rsid w:val="00164DE4"/>
    <w:rsid w:val="00165570"/>
    <w:rsid w:val="00166599"/>
    <w:rsid w:val="001705F8"/>
    <w:rsid w:val="00171C73"/>
    <w:rsid w:val="001729E9"/>
    <w:rsid w:val="00174476"/>
    <w:rsid w:val="0017453C"/>
    <w:rsid w:val="001768D0"/>
    <w:rsid w:val="00177542"/>
    <w:rsid w:val="00180C92"/>
    <w:rsid w:val="00182217"/>
    <w:rsid w:val="0018235A"/>
    <w:rsid w:val="0018560F"/>
    <w:rsid w:val="001859CF"/>
    <w:rsid w:val="0018667B"/>
    <w:rsid w:val="001872E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6747"/>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522"/>
    <w:rsid w:val="001F296A"/>
    <w:rsid w:val="001F458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6260"/>
    <w:rsid w:val="002363A4"/>
    <w:rsid w:val="002370ED"/>
    <w:rsid w:val="00240AAD"/>
    <w:rsid w:val="002449FF"/>
    <w:rsid w:val="00250B12"/>
    <w:rsid w:val="002518B9"/>
    <w:rsid w:val="002528E9"/>
    <w:rsid w:val="00257D56"/>
    <w:rsid w:val="0026063D"/>
    <w:rsid w:val="0026093C"/>
    <w:rsid w:val="00261BB3"/>
    <w:rsid w:val="0026524D"/>
    <w:rsid w:val="002668C0"/>
    <w:rsid w:val="00273CC0"/>
    <w:rsid w:val="00274850"/>
    <w:rsid w:val="00276F8A"/>
    <w:rsid w:val="002817B3"/>
    <w:rsid w:val="00281A52"/>
    <w:rsid w:val="002825C9"/>
    <w:rsid w:val="0028339D"/>
    <w:rsid w:val="002841A6"/>
    <w:rsid w:val="002846DA"/>
    <w:rsid w:val="002864AA"/>
    <w:rsid w:val="00286552"/>
    <w:rsid w:val="002873FD"/>
    <w:rsid w:val="00287F67"/>
    <w:rsid w:val="002903BD"/>
    <w:rsid w:val="002950DE"/>
    <w:rsid w:val="00295BED"/>
    <w:rsid w:val="00297357"/>
    <w:rsid w:val="002A0FCA"/>
    <w:rsid w:val="002A3AA0"/>
    <w:rsid w:val="002A3D36"/>
    <w:rsid w:val="002A4CE5"/>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05D48"/>
    <w:rsid w:val="00306CD4"/>
    <w:rsid w:val="00310E08"/>
    <w:rsid w:val="003179B1"/>
    <w:rsid w:val="00320939"/>
    <w:rsid w:val="00321164"/>
    <w:rsid w:val="003218F5"/>
    <w:rsid w:val="00325E0E"/>
    <w:rsid w:val="003271C8"/>
    <w:rsid w:val="00330192"/>
    <w:rsid w:val="00330613"/>
    <w:rsid w:val="0033091B"/>
    <w:rsid w:val="00331C04"/>
    <w:rsid w:val="00331E07"/>
    <w:rsid w:val="00332F78"/>
    <w:rsid w:val="00336373"/>
    <w:rsid w:val="00336A81"/>
    <w:rsid w:val="00341AF8"/>
    <w:rsid w:val="00343F15"/>
    <w:rsid w:val="00345F06"/>
    <w:rsid w:val="00350655"/>
    <w:rsid w:val="00350E7B"/>
    <w:rsid w:val="003563D2"/>
    <w:rsid w:val="00357BA4"/>
    <w:rsid w:val="00361515"/>
    <w:rsid w:val="003669F3"/>
    <w:rsid w:val="0037069A"/>
    <w:rsid w:val="00371209"/>
    <w:rsid w:val="00371D1A"/>
    <w:rsid w:val="003749CD"/>
    <w:rsid w:val="00375C7C"/>
    <w:rsid w:val="00375EC7"/>
    <w:rsid w:val="00375F58"/>
    <w:rsid w:val="00376660"/>
    <w:rsid w:val="0038132C"/>
    <w:rsid w:val="00383781"/>
    <w:rsid w:val="00384D3E"/>
    <w:rsid w:val="003863EE"/>
    <w:rsid w:val="0039011A"/>
    <w:rsid w:val="00390D08"/>
    <w:rsid w:val="003914AC"/>
    <w:rsid w:val="00391C5A"/>
    <w:rsid w:val="00392DD6"/>
    <w:rsid w:val="0039413F"/>
    <w:rsid w:val="003A2B9A"/>
    <w:rsid w:val="003A59A0"/>
    <w:rsid w:val="003A5D84"/>
    <w:rsid w:val="003A71EA"/>
    <w:rsid w:val="003B1D2B"/>
    <w:rsid w:val="003B5167"/>
    <w:rsid w:val="003B5BF0"/>
    <w:rsid w:val="003B61E5"/>
    <w:rsid w:val="003C0B63"/>
    <w:rsid w:val="003C2B41"/>
    <w:rsid w:val="003C2EA0"/>
    <w:rsid w:val="003C2EC8"/>
    <w:rsid w:val="003C39FE"/>
    <w:rsid w:val="003C433E"/>
    <w:rsid w:val="003C4F7A"/>
    <w:rsid w:val="003C6924"/>
    <w:rsid w:val="003D07A1"/>
    <w:rsid w:val="003D17DA"/>
    <w:rsid w:val="003D63CE"/>
    <w:rsid w:val="003E47D2"/>
    <w:rsid w:val="003E5B63"/>
    <w:rsid w:val="003E72C9"/>
    <w:rsid w:val="003F0525"/>
    <w:rsid w:val="003F2BB8"/>
    <w:rsid w:val="003F5C87"/>
    <w:rsid w:val="003F5FE3"/>
    <w:rsid w:val="003F70D9"/>
    <w:rsid w:val="00403898"/>
    <w:rsid w:val="00404221"/>
    <w:rsid w:val="00404633"/>
    <w:rsid w:val="00406FBD"/>
    <w:rsid w:val="004126EC"/>
    <w:rsid w:val="00412BA1"/>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50D15"/>
    <w:rsid w:val="00451365"/>
    <w:rsid w:val="0045272E"/>
    <w:rsid w:val="00453429"/>
    <w:rsid w:val="00453444"/>
    <w:rsid w:val="0045363A"/>
    <w:rsid w:val="00454278"/>
    <w:rsid w:val="004568FD"/>
    <w:rsid w:val="00464C05"/>
    <w:rsid w:val="00465FBC"/>
    <w:rsid w:val="00467223"/>
    <w:rsid w:val="00467545"/>
    <w:rsid w:val="0047580E"/>
    <w:rsid w:val="0047641A"/>
    <w:rsid w:val="00480EBF"/>
    <w:rsid w:val="00485AE4"/>
    <w:rsid w:val="00491E16"/>
    <w:rsid w:val="004934AF"/>
    <w:rsid w:val="00496B26"/>
    <w:rsid w:val="004A063F"/>
    <w:rsid w:val="004A1967"/>
    <w:rsid w:val="004A29E4"/>
    <w:rsid w:val="004A3202"/>
    <w:rsid w:val="004A4B66"/>
    <w:rsid w:val="004A699A"/>
    <w:rsid w:val="004A69A6"/>
    <w:rsid w:val="004B2CE0"/>
    <w:rsid w:val="004B493E"/>
    <w:rsid w:val="004B542D"/>
    <w:rsid w:val="004B71A8"/>
    <w:rsid w:val="004B756E"/>
    <w:rsid w:val="004C023A"/>
    <w:rsid w:val="004C16BB"/>
    <w:rsid w:val="004C3B05"/>
    <w:rsid w:val="004C468D"/>
    <w:rsid w:val="004C7484"/>
    <w:rsid w:val="004D043C"/>
    <w:rsid w:val="004D1E72"/>
    <w:rsid w:val="004D2048"/>
    <w:rsid w:val="004D5B20"/>
    <w:rsid w:val="004D72A9"/>
    <w:rsid w:val="004D7650"/>
    <w:rsid w:val="004E094C"/>
    <w:rsid w:val="004E0F52"/>
    <w:rsid w:val="004E27CB"/>
    <w:rsid w:val="004E4CF3"/>
    <w:rsid w:val="004E5C99"/>
    <w:rsid w:val="004E744D"/>
    <w:rsid w:val="004E79F9"/>
    <w:rsid w:val="004F292A"/>
    <w:rsid w:val="004F294B"/>
    <w:rsid w:val="004F38AE"/>
    <w:rsid w:val="004F4743"/>
    <w:rsid w:val="004F61DA"/>
    <w:rsid w:val="00500120"/>
    <w:rsid w:val="00504880"/>
    <w:rsid w:val="005067D2"/>
    <w:rsid w:val="00512753"/>
    <w:rsid w:val="00512E9F"/>
    <w:rsid w:val="00513E23"/>
    <w:rsid w:val="00522F37"/>
    <w:rsid w:val="00524BDB"/>
    <w:rsid w:val="00525229"/>
    <w:rsid w:val="00526F13"/>
    <w:rsid w:val="005314F7"/>
    <w:rsid w:val="0053432C"/>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9F5"/>
    <w:rsid w:val="00562DBF"/>
    <w:rsid w:val="00564816"/>
    <w:rsid w:val="00564D0A"/>
    <w:rsid w:val="0056574F"/>
    <w:rsid w:val="00566C5F"/>
    <w:rsid w:val="00570ACE"/>
    <w:rsid w:val="00571C81"/>
    <w:rsid w:val="00574AB3"/>
    <w:rsid w:val="00574E64"/>
    <w:rsid w:val="0057617E"/>
    <w:rsid w:val="00576A1A"/>
    <w:rsid w:val="00577AA5"/>
    <w:rsid w:val="00580EAF"/>
    <w:rsid w:val="0058373C"/>
    <w:rsid w:val="0058428F"/>
    <w:rsid w:val="005842E0"/>
    <w:rsid w:val="0058465A"/>
    <w:rsid w:val="00584AEC"/>
    <w:rsid w:val="00584AFF"/>
    <w:rsid w:val="00585713"/>
    <w:rsid w:val="00586ADD"/>
    <w:rsid w:val="00587BC4"/>
    <w:rsid w:val="00591914"/>
    <w:rsid w:val="00592216"/>
    <w:rsid w:val="005923D6"/>
    <w:rsid w:val="00594A71"/>
    <w:rsid w:val="005A0077"/>
    <w:rsid w:val="005A0300"/>
    <w:rsid w:val="005A3131"/>
    <w:rsid w:val="005A489A"/>
    <w:rsid w:val="005A4CAB"/>
    <w:rsid w:val="005B0E49"/>
    <w:rsid w:val="005B6BB9"/>
    <w:rsid w:val="005C3374"/>
    <w:rsid w:val="005C3CAD"/>
    <w:rsid w:val="005C417D"/>
    <w:rsid w:val="005C5734"/>
    <w:rsid w:val="005C69A1"/>
    <w:rsid w:val="005D08D3"/>
    <w:rsid w:val="005D0E01"/>
    <w:rsid w:val="005D3AB7"/>
    <w:rsid w:val="005D6D2C"/>
    <w:rsid w:val="005D7780"/>
    <w:rsid w:val="005E3B6D"/>
    <w:rsid w:val="005E5B3D"/>
    <w:rsid w:val="005F07E6"/>
    <w:rsid w:val="005F155C"/>
    <w:rsid w:val="005F367A"/>
    <w:rsid w:val="005F40B7"/>
    <w:rsid w:val="005F546B"/>
    <w:rsid w:val="005F7F37"/>
    <w:rsid w:val="00601623"/>
    <w:rsid w:val="00602C87"/>
    <w:rsid w:val="00605734"/>
    <w:rsid w:val="00606FCE"/>
    <w:rsid w:val="00607187"/>
    <w:rsid w:val="00607903"/>
    <w:rsid w:val="006101CF"/>
    <w:rsid w:val="006115EC"/>
    <w:rsid w:val="00611BF6"/>
    <w:rsid w:val="006155B9"/>
    <w:rsid w:val="00615C42"/>
    <w:rsid w:val="00616098"/>
    <w:rsid w:val="006207A8"/>
    <w:rsid w:val="006223E6"/>
    <w:rsid w:val="00626D0A"/>
    <w:rsid w:val="006313CE"/>
    <w:rsid w:val="006316F2"/>
    <w:rsid w:val="00632B8F"/>
    <w:rsid w:val="0063331A"/>
    <w:rsid w:val="00633B04"/>
    <w:rsid w:val="00635686"/>
    <w:rsid w:val="0064149A"/>
    <w:rsid w:val="00642144"/>
    <w:rsid w:val="00642379"/>
    <w:rsid w:val="00642803"/>
    <w:rsid w:val="00645242"/>
    <w:rsid w:val="006456EA"/>
    <w:rsid w:val="00646D96"/>
    <w:rsid w:val="00647264"/>
    <w:rsid w:val="00647CDE"/>
    <w:rsid w:val="00650655"/>
    <w:rsid w:val="00650710"/>
    <w:rsid w:val="00653E89"/>
    <w:rsid w:val="00653F5C"/>
    <w:rsid w:val="00654384"/>
    <w:rsid w:val="006578AD"/>
    <w:rsid w:val="00661593"/>
    <w:rsid w:val="0066386D"/>
    <w:rsid w:val="006650F2"/>
    <w:rsid w:val="00665B55"/>
    <w:rsid w:val="0067021C"/>
    <w:rsid w:val="00671A2C"/>
    <w:rsid w:val="006737D7"/>
    <w:rsid w:val="006750AA"/>
    <w:rsid w:val="006760A7"/>
    <w:rsid w:val="00676D96"/>
    <w:rsid w:val="0067752B"/>
    <w:rsid w:val="00680C3B"/>
    <w:rsid w:val="00681A4D"/>
    <w:rsid w:val="006868B1"/>
    <w:rsid w:val="00687277"/>
    <w:rsid w:val="006876E8"/>
    <w:rsid w:val="006939CD"/>
    <w:rsid w:val="00694D26"/>
    <w:rsid w:val="00695438"/>
    <w:rsid w:val="0069692E"/>
    <w:rsid w:val="0069747F"/>
    <w:rsid w:val="006A2941"/>
    <w:rsid w:val="006A40ED"/>
    <w:rsid w:val="006A6940"/>
    <w:rsid w:val="006B3737"/>
    <w:rsid w:val="006B3C45"/>
    <w:rsid w:val="006B40ED"/>
    <w:rsid w:val="006B4BEC"/>
    <w:rsid w:val="006C06E4"/>
    <w:rsid w:val="006C0CC7"/>
    <w:rsid w:val="006C3507"/>
    <w:rsid w:val="006D07B2"/>
    <w:rsid w:val="006D116F"/>
    <w:rsid w:val="006D199F"/>
    <w:rsid w:val="006D1F46"/>
    <w:rsid w:val="006D5FA0"/>
    <w:rsid w:val="006D634E"/>
    <w:rsid w:val="006D707C"/>
    <w:rsid w:val="006E2C58"/>
    <w:rsid w:val="006E6ADC"/>
    <w:rsid w:val="006E73CA"/>
    <w:rsid w:val="006E799B"/>
    <w:rsid w:val="006F0E3E"/>
    <w:rsid w:val="006F14CF"/>
    <w:rsid w:val="006F4DB4"/>
    <w:rsid w:val="006F53DB"/>
    <w:rsid w:val="006F64C8"/>
    <w:rsid w:val="006F64DB"/>
    <w:rsid w:val="00711677"/>
    <w:rsid w:val="00715934"/>
    <w:rsid w:val="00717126"/>
    <w:rsid w:val="00717AB4"/>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1B9"/>
    <w:rsid w:val="00765BFB"/>
    <w:rsid w:val="0076656E"/>
    <w:rsid w:val="00775DFE"/>
    <w:rsid w:val="00776B2D"/>
    <w:rsid w:val="00781527"/>
    <w:rsid w:val="00781C0C"/>
    <w:rsid w:val="00782803"/>
    <w:rsid w:val="00783390"/>
    <w:rsid w:val="007838E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F1EC7"/>
    <w:rsid w:val="007F27E8"/>
    <w:rsid w:val="007F3A7F"/>
    <w:rsid w:val="007F46CA"/>
    <w:rsid w:val="007F6AFB"/>
    <w:rsid w:val="00801C0D"/>
    <w:rsid w:val="0080660E"/>
    <w:rsid w:val="00811633"/>
    <w:rsid w:val="00811AA6"/>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80D"/>
    <w:rsid w:val="00852ACF"/>
    <w:rsid w:val="00854FC0"/>
    <w:rsid w:val="00855733"/>
    <w:rsid w:val="008559E7"/>
    <w:rsid w:val="00855FE6"/>
    <w:rsid w:val="00857523"/>
    <w:rsid w:val="00857586"/>
    <w:rsid w:val="00861F90"/>
    <w:rsid w:val="00863A11"/>
    <w:rsid w:val="0086406E"/>
    <w:rsid w:val="008674BC"/>
    <w:rsid w:val="00867628"/>
    <w:rsid w:val="008701DA"/>
    <w:rsid w:val="00870B8B"/>
    <w:rsid w:val="0087225D"/>
    <w:rsid w:val="00872B5D"/>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3E7"/>
    <w:rsid w:val="008A4DFC"/>
    <w:rsid w:val="008B0653"/>
    <w:rsid w:val="008B12E1"/>
    <w:rsid w:val="008B2014"/>
    <w:rsid w:val="008B58E0"/>
    <w:rsid w:val="008B6726"/>
    <w:rsid w:val="008B7583"/>
    <w:rsid w:val="008C0A0B"/>
    <w:rsid w:val="008C11E0"/>
    <w:rsid w:val="008C4843"/>
    <w:rsid w:val="008C6C82"/>
    <w:rsid w:val="008D1260"/>
    <w:rsid w:val="008D27D8"/>
    <w:rsid w:val="008D327E"/>
    <w:rsid w:val="008D3F2F"/>
    <w:rsid w:val="008D421D"/>
    <w:rsid w:val="008D61F8"/>
    <w:rsid w:val="008E0E11"/>
    <w:rsid w:val="008E2279"/>
    <w:rsid w:val="008E404A"/>
    <w:rsid w:val="008E4126"/>
    <w:rsid w:val="008F1F6F"/>
    <w:rsid w:val="008F24A1"/>
    <w:rsid w:val="008F29B7"/>
    <w:rsid w:val="008F369C"/>
    <w:rsid w:val="009006EB"/>
    <w:rsid w:val="0090241A"/>
    <w:rsid w:val="009028C2"/>
    <w:rsid w:val="009065FF"/>
    <w:rsid w:val="00906710"/>
    <w:rsid w:val="00910B00"/>
    <w:rsid w:val="00911A84"/>
    <w:rsid w:val="0091349C"/>
    <w:rsid w:val="00914FA2"/>
    <w:rsid w:val="009158DB"/>
    <w:rsid w:val="0091768D"/>
    <w:rsid w:val="00917840"/>
    <w:rsid w:val="00917C2B"/>
    <w:rsid w:val="00921541"/>
    <w:rsid w:val="00923DEE"/>
    <w:rsid w:val="00925037"/>
    <w:rsid w:val="00927611"/>
    <w:rsid w:val="009278F7"/>
    <w:rsid w:val="00927E37"/>
    <w:rsid w:val="00930CC2"/>
    <w:rsid w:val="00933386"/>
    <w:rsid w:val="00934AD1"/>
    <w:rsid w:val="00935E41"/>
    <w:rsid w:val="009361F1"/>
    <w:rsid w:val="00940530"/>
    <w:rsid w:val="00942B7D"/>
    <w:rsid w:val="00943AF4"/>
    <w:rsid w:val="00943C2E"/>
    <w:rsid w:val="0094481A"/>
    <w:rsid w:val="00946426"/>
    <w:rsid w:val="00947C24"/>
    <w:rsid w:val="0095025B"/>
    <w:rsid w:val="009513E1"/>
    <w:rsid w:val="00951F0D"/>
    <w:rsid w:val="00953048"/>
    <w:rsid w:val="00953BB5"/>
    <w:rsid w:val="0095408E"/>
    <w:rsid w:val="009570CF"/>
    <w:rsid w:val="009608A7"/>
    <w:rsid w:val="00963E77"/>
    <w:rsid w:val="00964B05"/>
    <w:rsid w:val="00964F8B"/>
    <w:rsid w:val="00967B21"/>
    <w:rsid w:val="00970018"/>
    <w:rsid w:val="00970021"/>
    <w:rsid w:val="00972108"/>
    <w:rsid w:val="00972645"/>
    <w:rsid w:val="00972661"/>
    <w:rsid w:val="00973E1F"/>
    <w:rsid w:val="00973F2E"/>
    <w:rsid w:val="009767AA"/>
    <w:rsid w:val="00983564"/>
    <w:rsid w:val="00984DA1"/>
    <w:rsid w:val="00990385"/>
    <w:rsid w:val="00990BD7"/>
    <w:rsid w:val="00991C59"/>
    <w:rsid w:val="009936BD"/>
    <w:rsid w:val="00993926"/>
    <w:rsid w:val="00994304"/>
    <w:rsid w:val="00994A96"/>
    <w:rsid w:val="009954D6"/>
    <w:rsid w:val="009977F3"/>
    <w:rsid w:val="009A09FA"/>
    <w:rsid w:val="009A2572"/>
    <w:rsid w:val="009A2649"/>
    <w:rsid w:val="009A2B15"/>
    <w:rsid w:val="009A31FE"/>
    <w:rsid w:val="009A41BF"/>
    <w:rsid w:val="009A784C"/>
    <w:rsid w:val="009B2B01"/>
    <w:rsid w:val="009B6282"/>
    <w:rsid w:val="009B7F4D"/>
    <w:rsid w:val="009C1C74"/>
    <w:rsid w:val="009C37A2"/>
    <w:rsid w:val="009C3DD5"/>
    <w:rsid w:val="009C60EE"/>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428D"/>
    <w:rsid w:val="00A054BC"/>
    <w:rsid w:val="00A069B0"/>
    <w:rsid w:val="00A07362"/>
    <w:rsid w:val="00A0781E"/>
    <w:rsid w:val="00A07FFC"/>
    <w:rsid w:val="00A116FE"/>
    <w:rsid w:val="00A11F7C"/>
    <w:rsid w:val="00A12C9F"/>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674"/>
    <w:rsid w:val="00A60BD4"/>
    <w:rsid w:val="00A64473"/>
    <w:rsid w:val="00A65A5B"/>
    <w:rsid w:val="00A66415"/>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B4AE2"/>
    <w:rsid w:val="00AC5D88"/>
    <w:rsid w:val="00AC72F0"/>
    <w:rsid w:val="00AD0F71"/>
    <w:rsid w:val="00AD157A"/>
    <w:rsid w:val="00AD228C"/>
    <w:rsid w:val="00AD50CF"/>
    <w:rsid w:val="00AD6BF9"/>
    <w:rsid w:val="00AD6C0A"/>
    <w:rsid w:val="00AD6DFC"/>
    <w:rsid w:val="00AD7911"/>
    <w:rsid w:val="00AD7D63"/>
    <w:rsid w:val="00AE198B"/>
    <w:rsid w:val="00AE1A3B"/>
    <w:rsid w:val="00AE3B3C"/>
    <w:rsid w:val="00AE6574"/>
    <w:rsid w:val="00AF27A7"/>
    <w:rsid w:val="00AF3DF5"/>
    <w:rsid w:val="00AF48A1"/>
    <w:rsid w:val="00AF6A27"/>
    <w:rsid w:val="00B0079E"/>
    <w:rsid w:val="00B0346A"/>
    <w:rsid w:val="00B06713"/>
    <w:rsid w:val="00B07C08"/>
    <w:rsid w:val="00B07D56"/>
    <w:rsid w:val="00B07DDB"/>
    <w:rsid w:val="00B14FF8"/>
    <w:rsid w:val="00B17458"/>
    <w:rsid w:val="00B179C5"/>
    <w:rsid w:val="00B205DB"/>
    <w:rsid w:val="00B22DA0"/>
    <w:rsid w:val="00B23CCB"/>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33DD"/>
    <w:rsid w:val="00B54D82"/>
    <w:rsid w:val="00B55AF2"/>
    <w:rsid w:val="00B60A95"/>
    <w:rsid w:val="00B643F0"/>
    <w:rsid w:val="00B65576"/>
    <w:rsid w:val="00B67279"/>
    <w:rsid w:val="00B702FB"/>
    <w:rsid w:val="00B70A2A"/>
    <w:rsid w:val="00B71194"/>
    <w:rsid w:val="00B7146F"/>
    <w:rsid w:val="00B71C68"/>
    <w:rsid w:val="00B722D8"/>
    <w:rsid w:val="00B7621C"/>
    <w:rsid w:val="00B7745E"/>
    <w:rsid w:val="00B77991"/>
    <w:rsid w:val="00B809D7"/>
    <w:rsid w:val="00B8402C"/>
    <w:rsid w:val="00B87471"/>
    <w:rsid w:val="00B92235"/>
    <w:rsid w:val="00B94D82"/>
    <w:rsid w:val="00B94FFB"/>
    <w:rsid w:val="00BA0496"/>
    <w:rsid w:val="00BA2CF2"/>
    <w:rsid w:val="00BA2E05"/>
    <w:rsid w:val="00BA3A36"/>
    <w:rsid w:val="00BA7B59"/>
    <w:rsid w:val="00BB0773"/>
    <w:rsid w:val="00BB083F"/>
    <w:rsid w:val="00BB0A04"/>
    <w:rsid w:val="00BB0B1A"/>
    <w:rsid w:val="00BB0DF9"/>
    <w:rsid w:val="00BB24B2"/>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3E1C"/>
    <w:rsid w:val="00C26E6C"/>
    <w:rsid w:val="00C34317"/>
    <w:rsid w:val="00C35D0A"/>
    <w:rsid w:val="00C37E35"/>
    <w:rsid w:val="00C420A5"/>
    <w:rsid w:val="00C42F92"/>
    <w:rsid w:val="00C436CC"/>
    <w:rsid w:val="00C47419"/>
    <w:rsid w:val="00C513AD"/>
    <w:rsid w:val="00C55653"/>
    <w:rsid w:val="00C55F99"/>
    <w:rsid w:val="00C61C55"/>
    <w:rsid w:val="00C6393A"/>
    <w:rsid w:val="00C63AFD"/>
    <w:rsid w:val="00C73710"/>
    <w:rsid w:val="00C73AD2"/>
    <w:rsid w:val="00C7774C"/>
    <w:rsid w:val="00C77AEE"/>
    <w:rsid w:val="00C80803"/>
    <w:rsid w:val="00C8160B"/>
    <w:rsid w:val="00C817BD"/>
    <w:rsid w:val="00C82AD0"/>
    <w:rsid w:val="00C83B19"/>
    <w:rsid w:val="00C86CF0"/>
    <w:rsid w:val="00C9254F"/>
    <w:rsid w:val="00C93019"/>
    <w:rsid w:val="00C97A15"/>
    <w:rsid w:val="00CA08AD"/>
    <w:rsid w:val="00CA113E"/>
    <w:rsid w:val="00CA144F"/>
    <w:rsid w:val="00CA1903"/>
    <w:rsid w:val="00CA20A0"/>
    <w:rsid w:val="00CA3ACF"/>
    <w:rsid w:val="00CA66E9"/>
    <w:rsid w:val="00CA6978"/>
    <w:rsid w:val="00CA75DD"/>
    <w:rsid w:val="00CB04B7"/>
    <w:rsid w:val="00CB0FC9"/>
    <w:rsid w:val="00CB1209"/>
    <w:rsid w:val="00CB32DD"/>
    <w:rsid w:val="00CB3E03"/>
    <w:rsid w:val="00CB55C3"/>
    <w:rsid w:val="00CC15B7"/>
    <w:rsid w:val="00CC5236"/>
    <w:rsid w:val="00CC5AAE"/>
    <w:rsid w:val="00CC6EEB"/>
    <w:rsid w:val="00CD1966"/>
    <w:rsid w:val="00CD356A"/>
    <w:rsid w:val="00CD45C1"/>
    <w:rsid w:val="00CD7044"/>
    <w:rsid w:val="00CD714F"/>
    <w:rsid w:val="00CE081A"/>
    <w:rsid w:val="00CE1AB3"/>
    <w:rsid w:val="00CE1B96"/>
    <w:rsid w:val="00CE21F7"/>
    <w:rsid w:val="00CE39AF"/>
    <w:rsid w:val="00CE3FC9"/>
    <w:rsid w:val="00CE575D"/>
    <w:rsid w:val="00CE5CDD"/>
    <w:rsid w:val="00CE7403"/>
    <w:rsid w:val="00CF0FC3"/>
    <w:rsid w:val="00CF21D9"/>
    <w:rsid w:val="00CF324A"/>
    <w:rsid w:val="00CF4BBF"/>
    <w:rsid w:val="00CF5919"/>
    <w:rsid w:val="00CF5F56"/>
    <w:rsid w:val="00CF7488"/>
    <w:rsid w:val="00D0319F"/>
    <w:rsid w:val="00D03422"/>
    <w:rsid w:val="00D047DD"/>
    <w:rsid w:val="00D05BAA"/>
    <w:rsid w:val="00D0619B"/>
    <w:rsid w:val="00D07DD7"/>
    <w:rsid w:val="00D07FA6"/>
    <w:rsid w:val="00D10169"/>
    <w:rsid w:val="00D1189F"/>
    <w:rsid w:val="00D2239D"/>
    <w:rsid w:val="00D24B92"/>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63A8E"/>
    <w:rsid w:val="00D711B6"/>
    <w:rsid w:val="00D75E2D"/>
    <w:rsid w:val="00D77397"/>
    <w:rsid w:val="00D77502"/>
    <w:rsid w:val="00D77F2B"/>
    <w:rsid w:val="00D80F18"/>
    <w:rsid w:val="00D81ED6"/>
    <w:rsid w:val="00D822BE"/>
    <w:rsid w:val="00D85D78"/>
    <w:rsid w:val="00D8658A"/>
    <w:rsid w:val="00D93A2E"/>
    <w:rsid w:val="00D955FB"/>
    <w:rsid w:val="00D95758"/>
    <w:rsid w:val="00D95B00"/>
    <w:rsid w:val="00D966E9"/>
    <w:rsid w:val="00DA2ADE"/>
    <w:rsid w:val="00DA4C6D"/>
    <w:rsid w:val="00DA7D9B"/>
    <w:rsid w:val="00DB10F3"/>
    <w:rsid w:val="00DB3296"/>
    <w:rsid w:val="00DB6888"/>
    <w:rsid w:val="00DC1868"/>
    <w:rsid w:val="00DC2117"/>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C4F"/>
    <w:rsid w:val="00DF1190"/>
    <w:rsid w:val="00DF32CE"/>
    <w:rsid w:val="00DF4916"/>
    <w:rsid w:val="00DF64AA"/>
    <w:rsid w:val="00E00E44"/>
    <w:rsid w:val="00E03718"/>
    <w:rsid w:val="00E111AF"/>
    <w:rsid w:val="00E11F42"/>
    <w:rsid w:val="00E1250B"/>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465A6"/>
    <w:rsid w:val="00E50AB5"/>
    <w:rsid w:val="00E50CE6"/>
    <w:rsid w:val="00E52B98"/>
    <w:rsid w:val="00E535DC"/>
    <w:rsid w:val="00E54E60"/>
    <w:rsid w:val="00E55BBD"/>
    <w:rsid w:val="00E56E08"/>
    <w:rsid w:val="00E5782D"/>
    <w:rsid w:val="00E57BBB"/>
    <w:rsid w:val="00E57EA1"/>
    <w:rsid w:val="00E60511"/>
    <w:rsid w:val="00E60690"/>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074D"/>
    <w:rsid w:val="00E810BB"/>
    <w:rsid w:val="00E81623"/>
    <w:rsid w:val="00E8186E"/>
    <w:rsid w:val="00E84A46"/>
    <w:rsid w:val="00E85501"/>
    <w:rsid w:val="00E91041"/>
    <w:rsid w:val="00E93A39"/>
    <w:rsid w:val="00E9421D"/>
    <w:rsid w:val="00E97C14"/>
    <w:rsid w:val="00EA0643"/>
    <w:rsid w:val="00EA241A"/>
    <w:rsid w:val="00EA38AD"/>
    <w:rsid w:val="00EA5D2F"/>
    <w:rsid w:val="00EA7A92"/>
    <w:rsid w:val="00EA7DBE"/>
    <w:rsid w:val="00EB2376"/>
    <w:rsid w:val="00EB382D"/>
    <w:rsid w:val="00EB46F1"/>
    <w:rsid w:val="00EB768C"/>
    <w:rsid w:val="00EC1245"/>
    <w:rsid w:val="00EC23B4"/>
    <w:rsid w:val="00EC37EB"/>
    <w:rsid w:val="00EC653F"/>
    <w:rsid w:val="00EC67FD"/>
    <w:rsid w:val="00ED44D1"/>
    <w:rsid w:val="00ED587F"/>
    <w:rsid w:val="00ED5948"/>
    <w:rsid w:val="00ED5BAD"/>
    <w:rsid w:val="00ED6EED"/>
    <w:rsid w:val="00EE002F"/>
    <w:rsid w:val="00EE287B"/>
    <w:rsid w:val="00EE516C"/>
    <w:rsid w:val="00EE599F"/>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3377"/>
    <w:rsid w:val="00F35265"/>
    <w:rsid w:val="00F35399"/>
    <w:rsid w:val="00F35DFF"/>
    <w:rsid w:val="00F42416"/>
    <w:rsid w:val="00F426DA"/>
    <w:rsid w:val="00F43785"/>
    <w:rsid w:val="00F469A1"/>
    <w:rsid w:val="00F46F40"/>
    <w:rsid w:val="00F51285"/>
    <w:rsid w:val="00F53F99"/>
    <w:rsid w:val="00F54989"/>
    <w:rsid w:val="00F55548"/>
    <w:rsid w:val="00F66FE8"/>
    <w:rsid w:val="00F6707F"/>
    <w:rsid w:val="00F73047"/>
    <w:rsid w:val="00F76996"/>
    <w:rsid w:val="00F836C6"/>
    <w:rsid w:val="00F83A73"/>
    <w:rsid w:val="00F83AA3"/>
    <w:rsid w:val="00F83EE8"/>
    <w:rsid w:val="00F84EF4"/>
    <w:rsid w:val="00F8503C"/>
    <w:rsid w:val="00F853AF"/>
    <w:rsid w:val="00F8737F"/>
    <w:rsid w:val="00F90C43"/>
    <w:rsid w:val="00F937D2"/>
    <w:rsid w:val="00F9427B"/>
    <w:rsid w:val="00F9533D"/>
    <w:rsid w:val="00F96A13"/>
    <w:rsid w:val="00F96C87"/>
    <w:rsid w:val="00F96F09"/>
    <w:rsid w:val="00FA0E16"/>
    <w:rsid w:val="00FA131E"/>
    <w:rsid w:val="00FA237D"/>
    <w:rsid w:val="00FA3190"/>
    <w:rsid w:val="00FA5AF2"/>
    <w:rsid w:val="00FA62F9"/>
    <w:rsid w:val="00FB1593"/>
    <w:rsid w:val="00FB1726"/>
    <w:rsid w:val="00FB4F18"/>
    <w:rsid w:val="00FC05E4"/>
    <w:rsid w:val="00FC0A89"/>
    <w:rsid w:val="00FC1239"/>
    <w:rsid w:val="00FC18CE"/>
    <w:rsid w:val="00FC2CE9"/>
    <w:rsid w:val="00FC2D58"/>
    <w:rsid w:val="00FC2DC1"/>
    <w:rsid w:val="00FC3B4F"/>
    <w:rsid w:val="00FD0037"/>
    <w:rsid w:val="00FD028D"/>
    <w:rsid w:val="00FD0477"/>
    <w:rsid w:val="00FD0A3C"/>
    <w:rsid w:val="00FD1F5F"/>
    <w:rsid w:val="00FD4AD9"/>
    <w:rsid w:val="00FE0330"/>
    <w:rsid w:val="00FE0515"/>
    <w:rsid w:val="00FE1F7E"/>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 w:type="paragraph" w:customStyle="1" w:styleId="BodyA">
    <w:name w:val="Body A"/>
    <w:rsid w:val="0065065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 w:type="paragraph" w:customStyle="1" w:styleId="BodyA">
    <w:name w:val="Body A"/>
    <w:rsid w:val="00650655"/>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0FDE-5415-4FB2-BEF3-9558EF64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2444</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 ce qui concerne une plainte au sujet de la conduite  du juge de paix Tom Foulds</vt:lpstr>
      <vt:lpstr/>
    </vt:vector>
  </TitlesOfParts>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ce qui concerne une plainte au sujet de la conduite  du juge de paix Tom Foulds</dc:title>
  <dc:creator/>
  <cp:lastModifiedBy/>
  <cp:revision>1</cp:revision>
  <dcterms:created xsi:type="dcterms:W3CDTF">2017-04-24T18:39:00Z</dcterms:created>
  <dcterms:modified xsi:type="dcterms:W3CDTF">2017-04-24T18:39:00Z</dcterms:modified>
</cp:coreProperties>
</file>